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PII Redaction Evaluation Report</w:t>
      </w:r>
    </w:p>
    <w:p>
      <w:pPr/>
      <w:r>
        <w:rPr>
          <w:b w:val="0"/>
          <w:i w:val="0"/>
        </w:rPr>
        <w:t>The nine-type controlled benchmark found 9 true positives with no false positives or false negatives. The final prospectus DOCX passed release QA. This report explains the evaluation method and separates benchmark metrics from full-document checks.</w:t>
      </w:r>
    </w:p>
    <w:p>
      <w:pPr>
        <w:pStyle w:val="Heading1"/>
      </w:pPr>
      <w:r>
        <w:rPr>
          <w:b w:val="0"/>
          <w:i w:val="0"/>
        </w:rPr>
        <w:t>Evaluation scope</w:t>
      </w:r>
    </w:p>
    <w:p>
      <w:pPr/>
      <w:r>
        <w:rPr>
          <w:b w:val="0"/>
          <w:i w:val="0"/>
        </w:rPr>
        <w:t xml:space="preserve">The benchmark is a </w:t>
      </w:r>
      <w:r>
        <w:rPr>
          <w:b/>
          <w:i w:val="0"/>
        </w:rPr>
        <w:t>frozen manually defined gold benchmark</w:t>
      </w:r>
      <w:r>
        <w:rPr>
          <w:b w:val="0"/>
          <w:i w:val="0"/>
        </w:rPr>
        <w:t>, not independently annotated full-document ground truth. It contains one positive exact-span fixture for each assignment-required type and twelve explicit hard-negative blocks.</w:t>
      </w:r>
    </w:p>
    <w:p>
      <w:pPr/>
      <w:r>
        <w:rPr>
          <w:b w:val="0"/>
          <w:i w:val="0"/>
        </w:rPr>
        <w:t xml:space="preserve">Required types: </w:t>
      </w:r>
      <w:r>
        <w:rPr>
          <w:rFonts w:ascii="Consolas" w:hAnsi="Consolas"/>
          <w:b w:val="0"/>
          <w:i w:val="0"/>
          <w:sz w:val="17"/>
        </w:rPr>
        <w:t>PERSON</w:t>
      </w:r>
      <w:r>
        <w:rPr>
          <w:b w:val="0"/>
          <w:i w:val="0"/>
        </w:rPr>
        <w:t xml:space="preserve">, </w:t>
      </w:r>
      <w:r>
        <w:rPr>
          <w:rFonts w:ascii="Consolas" w:hAnsi="Consolas"/>
          <w:b w:val="0"/>
          <w:i w:val="0"/>
          <w:sz w:val="17"/>
        </w:rPr>
        <w:t>EMAIL</w:t>
      </w:r>
      <w:r>
        <w:rPr>
          <w:b w:val="0"/>
          <w:i w:val="0"/>
        </w:rPr>
        <w:t xml:space="preserve">, </w:t>
      </w:r>
      <w:r>
        <w:rPr>
          <w:rFonts w:ascii="Consolas" w:hAnsi="Consolas"/>
          <w:b w:val="0"/>
          <w:i w:val="0"/>
          <w:sz w:val="17"/>
        </w:rPr>
        <w:t>PHONE</w:t>
      </w:r>
      <w:r>
        <w:rPr>
          <w:b w:val="0"/>
          <w:i w:val="0"/>
        </w:rPr>
        <w:t xml:space="preserve">, </w:t>
      </w:r>
      <w:r>
        <w:rPr>
          <w:rFonts w:ascii="Consolas" w:hAnsi="Consolas"/>
          <w:b w:val="0"/>
          <w:i w:val="0"/>
          <w:sz w:val="17"/>
        </w:rPr>
        <w:t>COMPANY</w:t>
      </w:r>
      <w:r>
        <w:rPr>
          <w:b w:val="0"/>
          <w:i w:val="0"/>
        </w:rPr>
        <w:t xml:space="preserve">, </w:t>
      </w:r>
      <w:r>
        <w:rPr>
          <w:rFonts w:ascii="Consolas" w:hAnsi="Consolas"/>
          <w:b w:val="0"/>
          <w:i w:val="0"/>
          <w:sz w:val="17"/>
        </w:rPr>
        <w:t>ADDRESS</w:t>
      </w:r>
      <w:r>
        <w:rPr>
          <w:b w:val="0"/>
          <w:i w:val="0"/>
        </w:rPr>
        <w:t xml:space="preserve">, </w:t>
      </w:r>
      <w:r>
        <w:rPr>
          <w:rFonts w:ascii="Consolas" w:hAnsi="Consolas"/>
          <w:b w:val="0"/>
          <w:i w:val="0"/>
          <w:sz w:val="17"/>
        </w:rPr>
        <w:t>SSN</w:t>
      </w:r>
      <w:r>
        <w:rPr>
          <w:b w:val="0"/>
          <w:i w:val="0"/>
        </w:rPr>
        <w:t xml:space="preserve">, </w:t>
      </w:r>
      <w:r>
        <w:rPr>
          <w:rFonts w:ascii="Consolas" w:hAnsi="Consolas"/>
          <w:b w:val="0"/>
          <w:i w:val="0"/>
          <w:sz w:val="17"/>
        </w:rPr>
        <w:t>CREDIT_CARD</w:t>
      </w:r>
      <w:r>
        <w:rPr>
          <w:b w:val="0"/>
          <w:i w:val="0"/>
        </w:rPr>
        <w:t xml:space="preserve">, </w:t>
      </w:r>
      <w:r>
        <w:rPr>
          <w:rFonts w:ascii="Consolas" w:hAnsi="Consolas"/>
          <w:b w:val="0"/>
          <w:i w:val="0"/>
          <w:sz w:val="17"/>
        </w:rPr>
        <w:t>DOB</w:t>
      </w:r>
      <w:r>
        <w:rPr>
          <w:b w:val="0"/>
          <w:i w:val="0"/>
        </w:rPr>
        <w:t xml:space="preserve">, and </w:t>
      </w:r>
      <w:r>
        <w:rPr>
          <w:rFonts w:ascii="Consolas" w:hAnsi="Consolas"/>
          <w:b w:val="0"/>
          <w:i w:val="0"/>
          <w:sz w:val="17"/>
        </w:rPr>
        <w:t>IPV4</w:t>
      </w:r>
      <w:r>
        <w:rPr>
          <w:b w:val="0"/>
          <w:i w:val="0"/>
        </w:rPr>
        <w:t>.</w:t>
      </w:r>
    </w:p>
    <w:p>
      <w:pPr>
        <w:pStyle w:val="Heading1"/>
      </w:pPr>
      <w:r>
        <w:rPr>
          <w:b w:val="0"/>
          <w:i w:val="0"/>
        </w:rPr>
        <w:t>Evaluation strategy</w:t>
      </w:r>
    </w:p>
    <w:p>
      <w:pPr/>
      <w:r>
        <w:rPr>
          <w:b w:val="0"/>
          <w:i w:val="0"/>
        </w:rPr>
        <w:t>The detector is run on a frozen set of 21 text blocks. Nine blocks each contain one manually labeled exact span for an assignment-required type. Twelve hard-negative blocks contain ordinary dates, amounts, page and order references, legal terms, identifiers, and invalid IP or card lookalikes. The gold spans and block manifest define the comparison; predictions are not used to create their own labels.</w:t>
      </w:r>
    </w:p>
    <w:p>
      <w:pPr/>
      <w:r>
        <w:rPr>
          <w:b w:val="0"/>
          <w:i w:val="0"/>
        </w:rPr>
        <w:t>An exact entity match requires the same PII type, document part, block ID, and start and end offsets as the gold annotation. Matched predictions are true positives; unmatched predictions are false positives; unmatched gold spans are false negatives. Micro precision, recall, and F1 use these counts. Entity-level true negatives are undefined because arbitrary non-entity spans do not form a finite test set.</w:t>
      </w:r>
    </w:p>
    <w:p>
      <w:pPr/>
      <w:r>
        <w:rPr>
          <w:b w:val="0"/>
          <w:i w:val="0"/>
        </w:rPr>
        <w:t>For classification accuracy, the unit is a text block: a block is positive when it has any gold PII span and predicted-positive when the detector emits any candidate. The fixed manifest supplies both positive and negative blocks, so TP, TN, FP, FN, accuracy, precision, recall, and F1 have explicit denominators. Character coverage is reported separately and is not called classification accuracy.</w:t>
      </w:r>
    </w:p>
    <w:p>
      <w:pPr/>
      <w:r>
        <w:rPr>
          <w:b w:val="0"/>
          <w:i w:val="0"/>
        </w:rPr>
        <w:t>The supplied prospectus has no complete full-document gold annotations. Its release evaluation instead compares source and output hashes, verifies the DOCX can be opened, checks structural and text-block preservation, confirms selected replacements and media changes, scans processed blocks for approved originals, and requires zero unresolved policy decisions or QA errors. These checks support release readiness; they cannot establish full-document precision, recall, or absence of missed PII.</w:t>
      </w:r>
    </w:p>
    <w:p>
      <w:pPr>
        <w:pStyle w:val="Heading1"/>
      </w:pPr>
      <w:r>
        <w:rPr>
          <w:b w:val="0"/>
          <w:i w:val="0"/>
        </w:rPr>
        <w:t>Exact entity and span results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210"/>
        <w:gridCol w:w="1210"/>
        <w:gridCol w:w="1210"/>
        <w:gridCol w:w="1210"/>
        <w:gridCol w:w="1210"/>
        <w:gridCol w:w="1210"/>
        <w:gridCol w:w="1210"/>
      </w:tblGrid>
      <w:tr>
        <w:trPr>
          <w:tblHeader/>
        </w:trPr>
        <w:tc>
          <w:tcPr>
            <w:tcW w:type="dxa" w:w="1757"/>
            <w:vAlign w:val="center"/>
            <w:tcMar>
              <w:top w:w="70" w:type="dxa"/>
              <w:bottom w:w="70" w:type="dxa"/>
              <w:left w:w="85" w:type="dxa"/>
              <w:right w:w="85" w:type="dxa"/>
            </w:tcMar>
            <w:shd w:fill="E9EFF6"/>
          </w:tcPr>
          <w:p>
            <w:pPr>
              <w:pStyle w:val="TableContent"/>
            </w:pPr>
            <w:r>
              <w:rPr>
                <w:b/>
                <w:i w:val="0"/>
              </w:rPr>
              <w:t>Type</w:t>
            </w:r>
          </w:p>
        </w:tc>
        <w:tc>
          <w:tcPr>
            <w:tcW w:type="dxa" w:w="1210"/>
            <w:vAlign w:val="center"/>
            <w:tcMar>
              <w:top w:w="70" w:type="dxa"/>
              <w:bottom w:w="70" w:type="dxa"/>
              <w:left w:w="85" w:type="dxa"/>
              <w:right w:w="85" w:type="dxa"/>
            </w:tcMar>
            <w:shd w:fill="E9EFF6"/>
          </w:tcPr>
          <w:p>
            <w:pPr>
              <w:pStyle w:val="TableContent"/>
              <w:jc w:val="center"/>
            </w:pPr>
            <w:r>
              <w:rPr>
                <w:b/>
                <w:i w:val="0"/>
              </w:rPr>
              <w:t>Support</w:t>
            </w:r>
          </w:p>
        </w:tc>
        <w:tc>
          <w:tcPr>
            <w:tcW w:type="dxa" w:w="1210"/>
            <w:vAlign w:val="center"/>
            <w:tcMar>
              <w:top w:w="70" w:type="dxa"/>
              <w:bottom w:w="70" w:type="dxa"/>
              <w:left w:w="85" w:type="dxa"/>
              <w:right w:w="85" w:type="dxa"/>
            </w:tcMar>
            <w:shd w:fill="E9EFF6"/>
          </w:tcPr>
          <w:p>
            <w:pPr>
              <w:pStyle w:val="TableContent"/>
              <w:jc w:val="center"/>
            </w:pPr>
            <w:r>
              <w:rPr>
                <w:b/>
                <w:i w:val="0"/>
              </w:rPr>
              <w:t>TP</w:t>
            </w:r>
          </w:p>
        </w:tc>
        <w:tc>
          <w:tcPr>
            <w:tcW w:type="dxa" w:w="1210"/>
            <w:vAlign w:val="center"/>
            <w:tcMar>
              <w:top w:w="70" w:type="dxa"/>
              <w:bottom w:w="70" w:type="dxa"/>
              <w:left w:w="85" w:type="dxa"/>
              <w:right w:w="85" w:type="dxa"/>
            </w:tcMar>
            <w:shd w:fill="E9EFF6"/>
          </w:tcPr>
          <w:p>
            <w:pPr>
              <w:pStyle w:val="TableContent"/>
              <w:jc w:val="center"/>
            </w:pPr>
            <w:r>
              <w:rPr>
                <w:b/>
                <w:i w:val="0"/>
              </w:rPr>
              <w:t>FP</w:t>
            </w:r>
          </w:p>
        </w:tc>
        <w:tc>
          <w:tcPr>
            <w:tcW w:type="dxa" w:w="1210"/>
            <w:vAlign w:val="center"/>
            <w:tcMar>
              <w:top w:w="70" w:type="dxa"/>
              <w:bottom w:w="70" w:type="dxa"/>
              <w:left w:w="85" w:type="dxa"/>
              <w:right w:w="85" w:type="dxa"/>
            </w:tcMar>
            <w:shd w:fill="E9EFF6"/>
          </w:tcPr>
          <w:p>
            <w:pPr>
              <w:pStyle w:val="TableContent"/>
              <w:jc w:val="center"/>
            </w:pPr>
            <w:r>
              <w:rPr>
                <w:b/>
                <w:i w:val="0"/>
              </w:rPr>
              <w:t>FN</w:t>
            </w:r>
          </w:p>
        </w:tc>
        <w:tc>
          <w:tcPr>
            <w:tcW w:type="dxa" w:w="1210"/>
            <w:vAlign w:val="center"/>
            <w:tcMar>
              <w:top w:w="70" w:type="dxa"/>
              <w:bottom w:w="70" w:type="dxa"/>
              <w:left w:w="85" w:type="dxa"/>
              <w:right w:w="85" w:type="dxa"/>
            </w:tcMar>
            <w:shd w:fill="E9EFF6"/>
          </w:tcPr>
          <w:p>
            <w:pPr>
              <w:pStyle w:val="TableContent"/>
              <w:jc w:val="center"/>
            </w:pPr>
            <w:r>
              <w:rPr>
                <w:b/>
                <w:i w:val="0"/>
              </w:rPr>
              <w:t>Precision</w:t>
            </w:r>
          </w:p>
        </w:tc>
        <w:tc>
          <w:tcPr>
            <w:tcW w:type="dxa" w:w="1210"/>
            <w:vAlign w:val="center"/>
            <w:tcMar>
              <w:top w:w="70" w:type="dxa"/>
              <w:bottom w:w="70" w:type="dxa"/>
              <w:left w:w="85" w:type="dxa"/>
              <w:right w:w="85" w:type="dxa"/>
            </w:tcMar>
            <w:shd w:fill="E9EFF6"/>
          </w:tcPr>
          <w:p>
            <w:pPr>
              <w:pStyle w:val="TableContent"/>
              <w:jc w:val="center"/>
            </w:pPr>
            <w:r>
              <w:rPr>
                <w:b/>
                <w:i w:val="0"/>
              </w:rPr>
              <w:t>Recall</w:t>
            </w:r>
          </w:p>
        </w:tc>
        <w:tc>
          <w:tcPr>
            <w:tcW w:type="dxa" w:w="1210"/>
            <w:vAlign w:val="center"/>
            <w:tcMar>
              <w:top w:w="70" w:type="dxa"/>
              <w:bottom w:w="70" w:type="dxa"/>
              <w:left w:w="85" w:type="dxa"/>
              <w:right w:w="85" w:type="dxa"/>
            </w:tcMar>
            <w:shd w:fill="E9EFF6"/>
          </w:tcPr>
          <w:p>
            <w:pPr>
              <w:pStyle w:val="TableContent"/>
              <w:jc w:val="center"/>
            </w:pPr>
            <w:r>
              <w:rPr>
                <w:b/>
                <w:i w:val="0"/>
              </w:rPr>
              <w:t>F1</w:t>
            </w:r>
          </w:p>
        </w:tc>
      </w:tr>
      <w:tr>
        <w:tc>
          <w:tcPr>
            <w:tcW w:type="dxa" w:w="1757"/>
            <w:vAlign w:val="center"/>
            <w:tcMar>
              <w:top w:w="70" w:type="dxa"/>
              <w:bottom w:w="70" w:type="dxa"/>
              <w:left w:w="85" w:type="dxa"/>
              <w:right w:w="85" w:type="dxa"/>
            </w:tcMar>
          </w:tcPr>
          <w:p>
            <w:pPr>
              <w:pStyle w:val="TableContent"/>
            </w:pPr>
            <w:r>
              <w:rPr>
                <w:b w:val="0"/>
                <w:i w:val="0"/>
              </w:rPr>
              <w:t>PERSON</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r>
      <w:tr>
        <w:tc>
          <w:tcPr>
            <w:tcW w:type="dxa" w:w="1757"/>
            <w:vAlign w:val="center"/>
            <w:tcMar>
              <w:top w:w="70" w:type="dxa"/>
              <w:bottom w:w="70" w:type="dxa"/>
              <w:left w:w="85" w:type="dxa"/>
              <w:right w:w="85" w:type="dxa"/>
            </w:tcMar>
            <w:shd w:fill="F7F9FC"/>
          </w:tcPr>
          <w:p>
            <w:pPr>
              <w:pStyle w:val="TableContent"/>
            </w:pPr>
            <w:r>
              <w:rPr>
                <w:b w:val="0"/>
                <w:i w:val="0"/>
              </w:rPr>
              <w:t>EMAIL</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r>
      <w:tr>
        <w:tc>
          <w:tcPr>
            <w:tcW w:type="dxa" w:w="1757"/>
            <w:vAlign w:val="center"/>
            <w:tcMar>
              <w:top w:w="70" w:type="dxa"/>
              <w:bottom w:w="70" w:type="dxa"/>
              <w:left w:w="85" w:type="dxa"/>
              <w:right w:w="85" w:type="dxa"/>
            </w:tcMar>
          </w:tcPr>
          <w:p>
            <w:pPr>
              <w:pStyle w:val="TableContent"/>
            </w:pPr>
            <w:r>
              <w:rPr>
                <w:b w:val="0"/>
                <w:i w:val="0"/>
              </w:rPr>
              <w:t>PHONE</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r>
      <w:tr>
        <w:tc>
          <w:tcPr>
            <w:tcW w:type="dxa" w:w="1757"/>
            <w:vAlign w:val="center"/>
            <w:tcMar>
              <w:top w:w="70" w:type="dxa"/>
              <w:bottom w:w="70" w:type="dxa"/>
              <w:left w:w="85" w:type="dxa"/>
              <w:right w:w="85" w:type="dxa"/>
            </w:tcMar>
            <w:shd w:fill="F7F9FC"/>
          </w:tcPr>
          <w:p>
            <w:pPr>
              <w:pStyle w:val="TableContent"/>
            </w:pPr>
            <w:r>
              <w:rPr>
                <w:b w:val="0"/>
                <w:i w:val="0"/>
              </w:rPr>
              <w:t>COMPANY</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r>
      <w:tr>
        <w:tc>
          <w:tcPr>
            <w:tcW w:type="dxa" w:w="1757"/>
            <w:vAlign w:val="center"/>
            <w:tcMar>
              <w:top w:w="70" w:type="dxa"/>
              <w:bottom w:w="70" w:type="dxa"/>
              <w:left w:w="85" w:type="dxa"/>
              <w:right w:w="85" w:type="dxa"/>
            </w:tcMar>
          </w:tcPr>
          <w:p>
            <w:pPr>
              <w:pStyle w:val="TableContent"/>
            </w:pPr>
            <w:r>
              <w:rPr>
                <w:b w:val="0"/>
                <w:i w:val="0"/>
              </w:rPr>
              <w:t>ADDRESS</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r>
      <w:tr>
        <w:tc>
          <w:tcPr>
            <w:tcW w:type="dxa" w:w="1757"/>
            <w:vAlign w:val="center"/>
            <w:tcMar>
              <w:top w:w="70" w:type="dxa"/>
              <w:bottom w:w="70" w:type="dxa"/>
              <w:left w:w="85" w:type="dxa"/>
              <w:right w:w="85" w:type="dxa"/>
            </w:tcMar>
            <w:shd w:fill="F7F9FC"/>
          </w:tcPr>
          <w:p>
            <w:pPr>
              <w:pStyle w:val="TableContent"/>
            </w:pPr>
            <w:r>
              <w:rPr>
                <w:b w:val="0"/>
                <w:i w:val="0"/>
              </w:rPr>
              <w:t>SSN</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r>
      <w:tr>
        <w:tc>
          <w:tcPr>
            <w:tcW w:type="dxa" w:w="1757"/>
            <w:vAlign w:val="center"/>
            <w:tcMar>
              <w:top w:w="70" w:type="dxa"/>
              <w:bottom w:w="70" w:type="dxa"/>
              <w:left w:w="85" w:type="dxa"/>
              <w:right w:w="85" w:type="dxa"/>
            </w:tcMar>
          </w:tcPr>
          <w:p>
            <w:pPr>
              <w:pStyle w:val="TableContent"/>
            </w:pPr>
            <w:r>
              <w:rPr>
                <w:b w:val="0"/>
                <w:i w:val="0"/>
              </w:rPr>
              <w:t>CREDIT_CARD</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r>
      <w:tr>
        <w:tc>
          <w:tcPr>
            <w:tcW w:type="dxa" w:w="1757"/>
            <w:vAlign w:val="center"/>
            <w:tcMar>
              <w:top w:w="70" w:type="dxa"/>
              <w:bottom w:w="70" w:type="dxa"/>
              <w:left w:w="85" w:type="dxa"/>
              <w:right w:w="85" w:type="dxa"/>
            </w:tcMar>
            <w:shd w:fill="F7F9FC"/>
          </w:tcPr>
          <w:p>
            <w:pPr>
              <w:pStyle w:val="TableContent"/>
            </w:pPr>
            <w:r>
              <w:rPr>
                <w:b w:val="0"/>
                <w:i w:val="0"/>
              </w:rPr>
              <w:t>DOB</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1</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c>
          <w:tcPr>
            <w:tcW w:type="dxa" w:w="1210"/>
            <w:vAlign w:val="center"/>
            <w:tcMar>
              <w:top w:w="70" w:type="dxa"/>
              <w:bottom w:w="70" w:type="dxa"/>
              <w:left w:w="85" w:type="dxa"/>
              <w:right w:w="85" w:type="dxa"/>
            </w:tcMar>
            <w:shd w:fill="F7F9FC"/>
          </w:tcPr>
          <w:p>
            <w:pPr>
              <w:pStyle w:val="TableContent"/>
              <w:jc w:val="center"/>
            </w:pPr>
            <w:r>
              <w:rPr>
                <w:b w:val="0"/>
                <w:i w:val="0"/>
              </w:rPr>
              <w:t>1.0000</w:t>
            </w:r>
          </w:p>
        </w:tc>
      </w:tr>
      <w:tr>
        <w:tc>
          <w:tcPr>
            <w:tcW w:type="dxa" w:w="1757"/>
            <w:vAlign w:val="center"/>
            <w:tcMar>
              <w:top w:w="70" w:type="dxa"/>
              <w:bottom w:w="70" w:type="dxa"/>
              <w:left w:w="85" w:type="dxa"/>
              <w:right w:w="85" w:type="dxa"/>
            </w:tcMar>
          </w:tcPr>
          <w:p>
            <w:pPr>
              <w:pStyle w:val="TableContent"/>
            </w:pPr>
            <w:r>
              <w:rPr>
                <w:b w:val="0"/>
                <w:i w:val="0"/>
              </w:rPr>
              <w:t>IPV4</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1</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r>
    </w:tbl>
    <w:p>
      <w:pPr>
        <w:spacing w:after="0"/>
      </w:pPr>
    </w:p>
    <w:p>
      <w:pPr>
        <w:pStyle w:val="Heading2"/>
      </w:pPr>
      <w:r>
        <w:rPr>
          <w:b w:val="0"/>
          <w:i w:val="0"/>
        </w:rPr>
        <w:t>Exact span aggregate</w:t>
      </w:r>
    </w:p>
    <w:p>
      <w:pPr>
        <w:pStyle w:val="ListBullet"/>
      </w:pPr>
      <w:r>
        <w:rPr>
          <w:b w:val="0"/>
          <w:i w:val="0"/>
        </w:rPr>
        <w:t xml:space="preserve">TP: </w:t>
      </w:r>
      <w:r>
        <w:rPr>
          <w:b/>
          <w:i w:val="0"/>
        </w:rPr>
        <w:t>9</w:t>
      </w:r>
      <w:r>
        <w:rPr>
          <w:b w:val="0"/>
          <w:i w:val="0"/>
        </w:rPr>
      </w:r>
    </w:p>
    <w:p>
      <w:pPr>
        <w:pStyle w:val="ListBullet"/>
      </w:pPr>
      <w:r>
        <w:rPr>
          <w:b w:val="0"/>
          <w:i w:val="0"/>
        </w:rPr>
        <w:t xml:space="preserve">FP: </w:t>
      </w:r>
      <w:r>
        <w:rPr>
          <w:b/>
          <w:i w:val="0"/>
        </w:rPr>
        <w:t>0</w:t>
      </w:r>
      <w:r>
        <w:rPr>
          <w:b w:val="0"/>
          <w:i w:val="0"/>
        </w:rPr>
      </w:r>
    </w:p>
    <w:p>
      <w:pPr>
        <w:pStyle w:val="ListBullet"/>
      </w:pPr>
      <w:r>
        <w:rPr>
          <w:b w:val="0"/>
          <w:i w:val="0"/>
        </w:rPr>
        <w:t xml:space="preserve">FN: </w:t>
      </w:r>
      <w:r>
        <w:rPr>
          <w:b/>
          <w:i w:val="0"/>
        </w:rPr>
        <w:t>0</w:t>
      </w:r>
      <w:r>
        <w:rPr>
          <w:b w:val="0"/>
          <w:i w:val="0"/>
        </w:rPr>
      </w:r>
    </w:p>
    <w:p>
      <w:pPr>
        <w:pStyle w:val="ListBullet"/>
      </w:pPr>
      <w:r>
        <w:rPr>
          <w:b w:val="0"/>
          <w:i w:val="0"/>
        </w:rPr>
        <w:t xml:space="preserve">Precision: </w:t>
      </w:r>
      <w:r>
        <w:rPr>
          <w:b/>
          <w:i w:val="0"/>
        </w:rPr>
        <w:t>1.0000</w:t>
      </w:r>
      <w:r>
        <w:rPr>
          <w:b w:val="0"/>
          <w:i w:val="0"/>
        </w:rPr>
      </w:r>
    </w:p>
    <w:p>
      <w:pPr>
        <w:pStyle w:val="ListBullet"/>
      </w:pPr>
      <w:r>
        <w:rPr>
          <w:b w:val="0"/>
          <w:i w:val="0"/>
        </w:rPr>
        <w:t xml:space="preserve">Recall: </w:t>
      </w:r>
      <w:r>
        <w:rPr>
          <w:b/>
          <w:i w:val="0"/>
        </w:rPr>
        <w:t>1.0000</w:t>
      </w:r>
      <w:r>
        <w:rPr>
          <w:b w:val="0"/>
          <w:i w:val="0"/>
        </w:rPr>
      </w:r>
    </w:p>
    <w:p>
      <w:pPr>
        <w:pStyle w:val="ListBullet"/>
      </w:pPr>
      <w:r>
        <w:rPr>
          <w:b w:val="0"/>
          <w:i w:val="0"/>
        </w:rPr>
        <w:t xml:space="preserve">F1: </w:t>
      </w:r>
      <w:r>
        <w:rPr>
          <w:b/>
          <w:i w:val="0"/>
        </w:rPr>
        <w:t>1.0000</w:t>
      </w:r>
      <w:r>
        <w:rPr>
          <w:b w:val="0"/>
          <w:i w:val="0"/>
        </w:rPr>
      </w:r>
    </w:p>
    <w:p>
      <w:pPr/>
      <w:r>
        <w:rPr>
          <w:b w:val="0"/>
          <w:i w:val="0"/>
        </w:rPr>
        <w:t>Entity-level TN is not reported because arbitrary non-entity spans are not a finite classification unit.</w:t>
      </w:r>
    </w:p>
    <w:p>
      <w:pPr>
        <w:pStyle w:val="Heading1"/>
      </w:pPr>
      <w:r>
        <w:rPr>
          <w:b w:val="0"/>
          <w:i w:val="0"/>
        </w:rPr>
        <w:t>Block classification</w:t>
      </w:r>
    </w:p>
    <w:p>
      <w:pPr/>
      <w:r>
        <w:rPr>
          <w:b w:val="0"/>
          <w:i w:val="0"/>
        </w:rPr>
        <w:t xml:space="preserve">Unit: </w:t>
      </w:r>
      <w:r>
        <w:rPr>
          <w:b/>
          <w:i w:val="0"/>
        </w:rPr>
        <w:t>text block (binary: contains any labeled PII)</w:t>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210"/>
        <w:gridCol w:w="1210"/>
        <w:gridCol w:w="1210"/>
        <w:gridCol w:w="1210"/>
        <w:gridCol w:w="1210"/>
        <w:gridCol w:w="1210"/>
        <w:gridCol w:w="1210"/>
      </w:tblGrid>
      <w:tr>
        <w:trPr>
          <w:tblHeader/>
        </w:trPr>
        <w:tc>
          <w:tcPr>
            <w:tcW w:type="dxa" w:w="1757"/>
            <w:vAlign w:val="center"/>
            <w:tcMar>
              <w:top w:w="70" w:type="dxa"/>
              <w:bottom w:w="70" w:type="dxa"/>
              <w:left w:w="85" w:type="dxa"/>
              <w:right w:w="85" w:type="dxa"/>
            </w:tcMar>
            <w:shd w:fill="E9EFF6"/>
          </w:tcPr>
          <w:p>
            <w:pPr>
              <w:pStyle w:val="TableContent"/>
            </w:pPr>
            <w:r>
              <w:rPr>
                <w:b/>
                <w:i w:val="0"/>
              </w:rPr>
              <w:t>TP</w:t>
            </w:r>
          </w:p>
        </w:tc>
        <w:tc>
          <w:tcPr>
            <w:tcW w:type="dxa" w:w="1210"/>
            <w:vAlign w:val="center"/>
            <w:tcMar>
              <w:top w:w="70" w:type="dxa"/>
              <w:bottom w:w="70" w:type="dxa"/>
              <w:left w:w="85" w:type="dxa"/>
              <w:right w:w="85" w:type="dxa"/>
            </w:tcMar>
            <w:shd w:fill="E9EFF6"/>
          </w:tcPr>
          <w:p>
            <w:pPr>
              <w:pStyle w:val="TableContent"/>
              <w:jc w:val="center"/>
            </w:pPr>
            <w:r>
              <w:rPr>
                <w:b/>
                <w:i w:val="0"/>
              </w:rPr>
              <w:t>TN</w:t>
            </w:r>
          </w:p>
        </w:tc>
        <w:tc>
          <w:tcPr>
            <w:tcW w:type="dxa" w:w="1210"/>
            <w:vAlign w:val="center"/>
            <w:tcMar>
              <w:top w:w="70" w:type="dxa"/>
              <w:bottom w:w="70" w:type="dxa"/>
              <w:left w:w="85" w:type="dxa"/>
              <w:right w:w="85" w:type="dxa"/>
            </w:tcMar>
            <w:shd w:fill="E9EFF6"/>
          </w:tcPr>
          <w:p>
            <w:pPr>
              <w:pStyle w:val="TableContent"/>
              <w:jc w:val="center"/>
            </w:pPr>
            <w:r>
              <w:rPr>
                <w:b/>
                <w:i w:val="0"/>
              </w:rPr>
              <w:t>FP</w:t>
            </w:r>
          </w:p>
        </w:tc>
        <w:tc>
          <w:tcPr>
            <w:tcW w:type="dxa" w:w="1210"/>
            <w:vAlign w:val="center"/>
            <w:tcMar>
              <w:top w:w="70" w:type="dxa"/>
              <w:bottom w:w="70" w:type="dxa"/>
              <w:left w:w="85" w:type="dxa"/>
              <w:right w:w="85" w:type="dxa"/>
            </w:tcMar>
            <w:shd w:fill="E9EFF6"/>
          </w:tcPr>
          <w:p>
            <w:pPr>
              <w:pStyle w:val="TableContent"/>
              <w:jc w:val="center"/>
            </w:pPr>
            <w:r>
              <w:rPr>
                <w:b/>
                <w:i w:val="0"/>
              </w:rPr>
              <w:t>FN</w:t>
            </w:r>
          </w:p>
        </w:tc>
        <w:tc>
          <w:tcPr>
            <w:tcW w:type="dxa" w:w="1210"/>
            <w:vAlign w:val="center"/>
            <w:tcMar>
              <w:top w:w="70" w:type="dxa"/>
              <w:bottom w:w="70" w:type="dxa"/>
              <w:left w:w="85" w:type="dxa"/>
              <w:right w:w="85" w:type="dxa"/>
            </w:tcMar>
            <w:shd w:fill="E9EFF6"/>
          </w:tcPr>
          <w:p>
            <w:pPr>
              <w:pStyle w:val="TableContent"/>
              <w:jc w:val="center"/>
            </w:pPr>
            <w:r>
              <w:rPr>
                <w:b/>
                <w:i w:val="0"/>
              </w:rPr>
              <w:t>Accuracy</w:t>
            </w:r>
          </w:p>
        </w:tc>
        <w:tc>
          <w:tcPr>
            <w:tcW w:type="dxa" w:w="1210"/>
            <w:vAlign w:val="center"/>
            <w:tcMar>
              <w:top w:w="70" w:type="dxa"/>
              <w:bottom w:w="70" w:type="dxa"/>
              <w:left w:w="85" w:type="dxa"/>
              <w:right w:w="85" w:type="dxa"/>
            </w:tcMar>
            <w:shd w:fill="E9EFF6"/>
          </w:tcPr>
          <w:p>
            <w:pPr>
              <w:pStyle w:val="TableContent"/>
              <w:jc w:val="center"/>
            </w:pPr>
            <w:r>
              <w:rPr>
                <w:b/>
                <w:i w:val="0"/>
              </w:rPr>
              <w:t>Precision</w:t>
            </w:r>
          </w:p>
        </w:tc>
        <w:tc>
          <w:tcPr>
            <w:tcW w:type="dxa" w:w="1210"/>
            <w:vAlign w:val="center"/>
            <w:tcMar>
              <w:top w:w="70" w:type="dxa"/>
              <w:bottom w:w="70" w:type="dxa"/>
              <w:left w:w="85" w:type="dxa"/>
              <w:right w:w="85" w:type="dxa"/>
            </w:tcMar>
            <w:shd w:fill="E9EFF6"/>
          </w:tcPr>
          <w:p>
            <w:pPr>
              <w:pStyle w:val="TableContent"/>
              <w:jc w:val="center"/>
            </w:pPr>
            <w:r>
              <w:rPr>
                <w:b/>
                <w:i w:val="0"/>
              </w:rPr>
              <w:t>Recall</w:t>
            </w:r>
          </w:p>
        </w:tc>
        <w:tc>
          <w:tcPr>
            <w:tcW w:type="dxa" w:w="1210"/>
            <w:vAlign w:val="center"/>
            <w:tcMar>
              <w:top w:w="70" w:type="dxa"/>
              <w:bottom w:w="70" w:type="dxa"/>
              <w:left w:w="85" w:type="dxa"/>
              <w:right w:w="85" w:type="dxa"/>
            </w:tcMar>
            <w:shd w:fill="E9EFF6"/>
          </w:tcPr>
          <w:p>
            <w:pPr>
              <w:pStyle w:val="TableContent"/>
              <w:jc w:val="center"/>
            </w:pPr>
            <w:r>
              <w:rPr>
                <w:b/>
                <w:i w:val="0"/>
              </w:rPr>
              <w:t>F1</w:t>
            </w:r>
          </w:p>
        </w:tc>
      </w:tr>
      <w:tr>
        <w:tc>
          <w:tcPr>
            <w:tcW w:type="dxa" w:w="1757"/>
            <w:vAlign w:val="center"/>
            <w:tcMar>
              <w:top w:w="70" w:type="dxa"/>
              <w:bottom w:w="70" w:type="dxa"/>
              <w:left w:w="85" w:type="dxa"/>
              <w:right w:w="85" w:type="dxa"/>
            </w:tcMar>
          </w:tcPr>
          <w:p>
            <w:pPr>
              <w:pStyle w:val="TableContent"/>
            </w:pPr>
            <w:r>
              <w:rPr>
                <w:b w:val="0"/>
                <w:i w:val="0"/>
              </w:rPr>
              <w:t>9</w:t>
            </w:r>
          </w:p>
        </w:tc>
        <w:tc>
          <w:tcPr>
            <w:tcW w:type="dxa" w:w="1210"/>
            <w:vAlign w:val="center"/>
            <w:tcMar>
              <w:top w:w="70" w:type="dxa"/>
              <w:bottom w:w="70" w:type="dxa"/>
              <w:left w:w="85" w:type="dxa"/>
              <w:right w:w="85" w:type="dxa"/>
            </w:tcMar>
          </w:tcPr>
          <w:p>
            <w:pPr>
              <w:pStyle w:val="TableContent"/>
              <w:jc w:val="center"/>
            </w:pPr>
            <w:r>
              <w:rPr>
                <w:b w:val="0"/>
                <w:i w:val="0"/>
              </w:rPr>
              <w:t>12</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c>
          <w:tcPr>
            <w:tcW w:type="dxa" w:w="1210"/>
            <w:vAlign w:val="center"/>
            <w:tcMar>
              <w:top w:w="70" w:type="dxa"/>
              <w:bottom w:w="70" w:type="dxa"/>
              <w:left w:w="85" w:type="dxa"/>
              <w:right w:w="85" w:type="dxa"/>
            </w:tcMar>
          </w:tcPr>
          <w:p>
            <w:pPr>
              <w:pStyle w:val="TableContent"/>
              <w:jc w:val="center"/>
            </w:pPr>
            <w:r>
              <w:rPr>
                <w:b w:val="0"/>
                <w:i w:val="0"/>
              </w:rPr>
              <w:t>1.0000</w:t>
            </w:r>
          </w:p>
        </w:tc>
      </w:tr>
    </w:tbl>
    <w:p>
      <w:pPr>
        <w:spacing w:after="0"/>
      </w:pPr>
    </w:p>
    <w:p>
      <w:pPr/>
      <w:r>
        <w:rPr>
          <w:b w:val="0"/>
          <w:i w:val="0"/>
        </w:rPr>
        <w:t>Formulas:</w:t>
      </w:r>
    </w:p>
    <w:p>
      <w:pPr>
        <w:pStyle w:val="ListBullet"/>
      </w:pPr>
      <w:r>
        <w:rPr>
          <w:b w:val="0"/>
          <w:i w:val="0"/>
        </w:rPr>
        <w:t xml:space="preserve">Accuracy = </w:t>
      </w:r>
      <w:r>
        <w:rPr>
          <w:rFonts w:ascii="Consolas" w:hAnsi="Consolas"/>
          <w:b w:val="0"/>
          <w:i w:val="0"/>
          <w:sz w:val="17"/>
        </w:rPr>
        <w:t>(TP + TN) / (TP + TN + FP + FN)</w:t>
      </w:r>
    </w:p>
    <w:p>
      <w:pPr>
        <w:pStyle w:val="ListBullet"/>
      </w:pPr>
      <w:r>
        <w:rPr>
          <w:b w:val="0"/>
          <w:i w:val="0"/>
        </w:rPr>
        <w:t xml:space="preserve">Precision = </w:t>
      </w:r>
      <w:r>
        <w:rPr>
          <w:rFonts w:ascii="Consolas" w:hAnsi="Consolas"/>
          <w:b w:val="0"/>
          <w:i w:val="0"/>
          <w:sz w:val="17"/>
        </w:rPr>
        <w:t>TP / (TP + FP)</w:t>
      </w:r>
    </w:p>
    <w:p>
      <w:pPr>
        <w:pStyle w:val="ListBullet"/>
      </w:pPr>
      <w:r>
        <w:rPr>
          <w:b w:val="0"/>
          <w:i w:val="0"/>
        </w:rPr>
        <w:t xml:space="preserve">Recall = </w:t>
      </w:r>
      <w:r>
        <w:rPr>
          <w:rFonts w:ascii="Consolas" w:hAnsi="Consolas"/>
          <w:b w:val="0"/>
          <w:i w:val="0"/>
          <w:sz w:val="17"/>
        </w:rPr>
        <w:t>TP / (TP + FN)</w:t>
      </w:r>
    </w:p>
    <w:p>
      <w:pPr>
        <w:pStyle w:val="ListBullet"/>
      </w:pPr>
      <w:r>
        <w:rPr>
          <w:b w:val="0"/>
          <w:i w:val="0"/>
        </w:rPr>
        <w:t xml:space="preserve">F1 = </w:t>
      </w:r>
      <w:r>
        <w:rPr>
          <w:rFonts w:ascii="Consolas" w:hAnsi="Consolas"/>
          <w:b w:val="0"/>
          <w:i w:val="0"/>
          <w:sz w:val="17"/>
        </w:rPr>
        <w:t>2 × Precision × Recall / (Precision + Recall)</w:t>
      </w:r>
    </w:p>
    <w:p>
      <w:pPr>
        <w:pStyle w:val="Heading1"/>
      </w:pPr>
      <w:r>
        <w:rPr>
          <w:b w:val="0"/>
          <w:i w:val="0"/>
        </w:rPr>
        <w:t>Character coverage</w:t>
      </w:r>
    </w:p>
    <w:p>
      <w:pPr/>
      <w:r>
        <w:rPr>
          <w:b w:val="0"/>
          <w:i w:val="0"/>
        </w:rPr>
        <w:t xml:space="preserve">Character TP/TN/FP/FN: </w:t>
      </w:r>
      <w:r>
        <w:rPr>
          <w:b/>
          <w:i w:val="0"/>
        </w:rPr>
        <w:t>185 / 621 / 0 / 0</w:t>
      </w:r>
      <w:r>
        <w:rPr>
          <w:b w:val="0"/>
          <w:i w:val="0"/>
        </w:rPr>
        <w:t xml:space="preserve">. Character accuracy: </w:t>
      </w:r>
      <w:r>
        <w:rPr>
          <w:b/>
          <w:i w:val="0"/>
        </w:rPr>
        <w:t>1.0000</w:t>
      </w:r>
      <w:r>
        <w:rPr>
          <w:b w:val="0"/>
          <w:i w:val="0"/>
        </w:rPr>
        <w:t>.</w:t>
      </w:r>
    </w:p>
    <w:p>
      <w:pPr/>
      <w:r>
        <w:rPr>
          <w:b w:val="0"/>
          <w:i w:val="0"/>
        </w:rPr>
        <w:t>Character accuracy is additional coverage evidence and is not called classification accuracy.</w:t>
      </w:r>
    </w:p>
    <w:p>
      <w:pPr>
        <w:pStyle w:val="Heading1"/>
      </w:pPr>
      <w:r>
        <w:rPr>
          <w:b w:val="0"/>
          <w:i w:val="0"/>
        </w:rPr>
        <w:t>Full prospectus release quality assurance</w:t>
      </w:r>
    </w:p>
    <w:p>
      <w:pPr/>
      <w:r>
        <w:rPr>
          <w:b w:val="0"/>
          <w:i w:val="0"/>
        </w:rPr>
        <w:t xml:space="preserve">The prospectus does not have full-document gold annotations, so full-document accuracy, precision, recall and F1 are </w:t>
      </w:r>
      <w:r>
        <w:rPr>
          <w:b/>
          <w:i w:val="0"/>
        </w:rPr>
        <w:t>not claimed</w:t>
      </w:r>
      <w:r>
        <w:rPr>
          <w:b w:val="0"/>
          <w:i w:val="0"/>
        </w:rPr>
        <w:t>. The following are release/QA measurements: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672"/>
      </w:tblGrid>
      <w:tr>
        <w:trPr>
          <w:tblHeader/>
        </w:trPr>
        <w:tc>
          <w:tcPr>
            <w:tcW w:type="dxa" w:w="6552"/>
            <w:vAlign w:val="center"/>
            <w:tcMar>
              <w:top w:w="70" w:type="dxa"/>
              <w:bottom w:w="70" w:type="dxa"/>
              <w:left w:w="85" w:type="dxa"/>
              <w:right w:w="85" w:type="dxa"/>
            </w:tcMar>
            <w:shd w:fill="E9EFF6"/>
          </w:tcPr>
          <w:p>
            <w:pPr>
              <w:pStyle w:val="TableContent"/>
            </w:pPr>
            <w:r>
              <w:rPr>
                <w:b/>
                <w:i w:val="0"/>
              </w:rPr>
              <w:t>Check</w:t>
            </w:r>
          </w:p>
        </w:tc>
        <w:tc>
          <w:tcPr>
            <w:tcW w:type="dxa" w:w="3672"/>
            <w:vAlign w:val="center"/>
            <w:tcMar>
              <w:top w:w="70" w:type="dxa"/>
              <w:bottom w:w="70" w:type="dxa"/>
              <w:left w:w="85" w:type="dxa"/>
              <w:right w:w="85" w:type="dxa"/>
            </w:tcMar>
            <w:shd w:fill="E9EFF6"/>
          </w:tcPr>
          <w:p>
            <w:pPr>
              <w:pStyle w:val="TableContent"/>
              <w:jc w:val="center"/>
            </w:pPr>
            <w:r>
              <w:rPr>
                <w:b/>
                <w:i w:val="0"/>
              </w:rPr>
              <w:t>Result</w:t>
            </w:r>
          </w:p>
        </w:tc>
      </w:tr>
      <w:tr>
        <w:tc>
          <w:tcPr>
            <w:tcW w:type="dxa" w:w="6552"/>
            <w:vAlign w:val="center"/>
            <w:tcMar>
              <w:top w:w="70" w:type="dxa"/>
              <w:bottom w:w="70" w:type="dxa"/>
              <w:left w:w="85" w:type="dxa"/>
              <w:right w:w="85" w:type="dxa"/>
            </w:tcMar>
          </w:tcPr>
          <w:p>
            <w:pPr>
              <w:pStyle w:val="TableContent"/>
            </w:pPr>
            <w:r>
              <w:rPr>
                <w:b w:val="0"/>
                <w:i w:val="0"/>
              </w:rPr>
              <w:t>Candidates</w:t>
            </w:r>
          </w:p>
        </w:tc>
        <w:tc>
          <w:tcPr>
            <w:tcW w:type="dxa" w:w="3672"/>
            <w:vAlign w:val="center"/>
            <w:tcMar>
              <w:top w:w="70" w:type="dxa"/>
              <w:bottom w:w="70" w:type="dxa"/>
              <w:left w:w="85" w:type="dxa"/>
              <w:right w:w="85" w:type="dxa"/>
            </w:tcMar>
          </w:tcPr>
          <w:p>
            <w:pPr>
              <w:pStyle w:val="TableContent"/>
              <w:jc w:val="center"/>
            </w:pPr>
            <w:r>
              <w:rPr>
                <w:b w:val="0"/>
                <w:i w:val="0"/>
              </w:rPr>
              <w:t>2,233</w:t>
            </w:r>
          </w:p>
        </w:tc>
      </w:tr>
      <w:tr>
        <w:tc>
          <w:tcPr>
            <w:tcW w:type="dxa" w:w="6552"/>
            <w:vAlign w:val="center"/>
            <w:tcMar>
              <w:top w:w="70" w:type="dxa"/>
              <w:bottom w:w="70" w:type="dxa"/>
              <w:left w:w="85" w:type="dxa"/>
              <w:right w:w="85" w:type="dxa"/>
            </w:tcMar>
            <w:shd w:fill="F7F9FC"/>
          </w:tcPr>
          <w:p>
            <w:pPr>
              <w:pStyle w:val="TableContent"/>
            </w:pPr>
            <w:r>
              <w:rPr>
                <w:b w:val="0"/>
                <w:i w:val="0"/>
              </w:rPr>
              <w:t>Redacted/pseudonymized</w:t>
            </w:r>
          </w:p>
        </w:tc>
        <w:tc>
          <w:tcPr>
            <w:tcW w:type="dxa" w:w="3672"/>
            <w:vAlign w:val="center"/>
            <w:tcMar>
              <w:top w:w="70" w:type="dxa"/>
              <w:bottom w:w="70" w:type="dxa"/>
              <w:left w:w="85" w:type="dxa"/>
              <w:right w:w="85" w:type="dxa"/>
            </w:tcMar>
            <w:shd w:fill="F7F9FC"/>
          </w:tcPr>
          <w:p>
            <w:pPr>
              <w:pStyle w:val="TableContent"/>
              <w:jc w:val="center"/>
            </w:pPr>
            <w:r>
              <w:rPr>
                <w:b w:val="0"/>
                <w:i w:val="0"/>
              </w:rPr>
              <w:t>340</w:t>
            </w:r>
          </w:p>
        </w:tc>
      </w:tr>
      <w:tr>
        <w:tc>
          <w:tcPr>
            <w:tcW w:type="dxa" w:w="6552"/>
            <w:vAlign w:val="center"/>
            <w:tcMar>
              <w:top w:w="70" w:type="dxa"/>
              <w:bottom w:w="70" w:type="dxa"/>
              <w:left w:w="85" w:type="dxa"/>
              <w:right w:w="85" w:type="dxa"/>
            </w:tcMar>
          </w:tcPr>
          <w:p>
            <w:pPr>
              <w:pStyle w:val="TableContent"/>
            </w:pPr>
            <w:r>
              <w:rPr>
                <w:b w:val="0"/>
                <w:i w:val="0"/>
              </w:rPr>
              <w:t>Protected corporate facts</w:t>
            </w:r>
          </w:p>
        </w:tc>
        <w:tc>
          <w:tcPr>
            <w:tcW w:type="dxa" w:w="3672"/>
            <w:vAlign w:val="center"/>
            <w:tcMar>
              <w:top w:w="70" w:type="dxa"/>
              <w:bottom w:w="70" w:type="dxa"/>
              <w:left w:w="85" w:type="dxa"/>
              <w:right w:w="85" w:type="dxa"/>
            </w:tcMar>
          </w:tcPr>
          <w:p>
            <w:pPr>
              <w:pStyle w:val="TableContent"/>
              <w:jc w:val="center"/>
            </w:pPr>
            <w:r>
              <w:rPr>
                <w:b w:val="0"/>
                <w:i w:val="0"/>
              </w:rPr>
              <w:t>1,892</w:t>
            </w:r>
          </w:p>
        </w:tc>
      </w:tr>
      <w:tr>
        <w:tc>
          <w:tcPr>
            <w:tcW w:type="dxa" w:w="6552"/>
            <w:vAlign w:val="center"/>
            <w:tcMar>
              <w:top w:w="70" w:type="dxa"/>
              <w:bottom w:w="70" w:type="dxa"/>
              <w:left w:w="85" w:type="dxa"/>
              <w:right w:w="85" w:type="dxa"/>
            </w:tcMar>
            <w:shd w:fill="F7F9FC"/>
          </w:tcPr>
          <w:p>
            <w:pPr>
              <w:pStyle w:val="TableContent"/>
            </w:pPr>
            <w:r>
              <w:rPr>
                <w:b w:val="0"/>
                <w:i w:val="0"/>
              </w:rPr>
              <w:t>Ignored non-PII candidates</w:t>
            </w:r>
          </w:p>
        </w:tc>
        <w:tc>
          <w:tcPr>
            <w:tcW w:type="dxa" w:w="3672"/>
            <w:vAlign w:val="center"/>
            <w:tcMar>
              <w:top w:w="70" w:type="dxa"/>
              <w:bottom w:w="70" w:type="dxa"/>
              <w:left w:w="85" w:type="dxa"/>
              <w:right w:w="85" w:type="dxa"/>
            </w:tcMar>
            <w:shd w:fill="F7F9FC"/>
          </w:tcPr>
          <w:p>
            <w:pPr>
              <w:pStyle w:val="TableContent"/>
              <w:jc w:val="center"/>
            </w:pPr>
            <w:r>
              <w:rPr>
                <w:b w:val="0"/>
                <w:i w:val="0"/>
              </w:rPr>
              <w:t>1</w:t>
            </w:r>
          </w:p>
        </w:tc>
      </w:tr>
      <w:tr>
        <w:tc>
          <w:tcPr>
            <w:tcW w:type="dxa" w:w="6552"/>
            <w:vAlign w:val="center"/>
            <w:tcMar>
              <w:top w:w="70" w:type="dxa"/>
              <w:bottom w:w="70" w:type="dxa"/>
              <w:left w:w="85" w:type="dxa"/>
              <w:right w:w="85" w:type="dxa"/>
            </w:tcMar>
          </w:tcPr>
          <w:p>
            <w:pPr>
              <w:pStyle w:val="TableContent"/>
            </w:pPr>
            <w:r>
              <w:rPr>
                <w:b w:val="0"/>
                <w:i w:val="0"/>
              </w:rPr>
              <w:t>Unresolved policy-review items</w:t>
            </w:r>
          </w:p>
        </w:tc>
        <w:tc>
          <w:tcPr>
            <w:tcW w:type="dxa" w:w="3672"/>
            <w:vAlign w:val="center"/>
            <w:tcMar>
              <w:top w:w="70" w:type="dxa"/>
              <w:bottom w:w="70" w:type="dxa"/>
              <w:left w:w="85" w:type="dxa"/>
              <w:right w:w="85" w:type="dxa"/>
            </w:tcMar>
          </w:tcPr>
          <w:p>
            <w:pPr>
              <w:pStyle w:val="TableContent"/>
              <w:jc w:val="center"/>
            </w:pPr>
            <w:r>
              <w:rPr>
                <w:b w:val="0"/>
                <w:i w:val="0"/>
              </w:rPr>
              <w:t>0</w:t>
            </w:r>
          </w:p>
        </w:tc>
      </w:tr>
      <w:tr>
        <w:tc>
          <w:tcPr>
            <w:tcW w:type="dxa" w:w="6552"/>
            <w:vAlign w:val="center"/>
            <w:tcMar>
              <w:top w:w="70" w:type="dxa"/>
              <w:bottom w:w="70" w:type="dxa"/>
              <w:left w:w="85" w:type="dxa"/>
              <w:right w:w="85" w:type="dxa"/>
            </w:tcMar>
            <w:shd w:fill="F7F9FC"/>
          </w:tcPr>
          <w:p>
            <w:pPr>
              <w:pStyle w:val="TableContent"/>
            </w:pPr>
            <w:r>
              <w:rPr>
                <w:b w:val="0"/>
                <w:i w:val="0"/>
              </w:rPr>
              <w:t>Sensitive media replaced</w:t>
            </w:r>
          </w:p>
        </w:tc>
        <w:tc>
          <w:tcPr>
            <w:tcW w:type="dxa" w:w="3672"/>
            <w:vAlign w:val="center"/>
            <w:tcMar>
              <w:top w:w="70" w:type="dxa"/>
              <w:bottom w:w="70" w:type="dxa"/>
              <w:left w:w="85" w:type="dxa"/>
              <w:right w:w="85" w:type="dxa"/>
            </w:tcMar>
            <w:shd w:fill="F7F9FC"/>
          </w:tcPr>
          <w:p>
            <w:pPr>
              <w:pStyle w:val="TableContent"/>
              <w:jc w:val="center"/>
            </w:pPr>
            <w:r>
              <w:rPr>
                <w:b w:val="0"/>
                <w:i w:val="0"/>
              </w:rPr>
              <w:t>1 / 8</w:t>
            </w:r>
          </w:p>
        </w:tc>
      </w:tr>
      <w:tr>
        <w:tc>
          <w:tcPr>
            <w:tcW w:type="dxa" w:w="6552"/>
            <w:vAlign w:val="center"/>
            <w:tcMar>
              <w:top w:w="70" w:type="dxa"/>
              <w:bottom w:w="70" w:type="dxa"/>
              <w:left w:w="85" w:type="dxa"/>
              <w:right w:w="85" w:type="dxa"/>
            </w:tcMar>
          </w:tcPr>
          <w:p>
            <w:pPr>
              <w:pStyle w:val="TableContent"/>
            </w:pPr>
            <w:r>
              <w:rPr>
                <w:b w:val="0"/>
                <w:i w:val="0"/>
              </w:rPr>
              <w:t>Source/output text blocks</w:t>
            </w:r>
          </w:p>
        </w:tc>
        <w:tc>
          <w:tcPr>
            <w:tcW w:type="dxa" w:w="3672"/>
            <w:vAlign w:val="center"/>
            <w:tcMar>
              <w:top w:w="70" w:type="dxa"/>
              <w:bottom w:w="70" w:type="dxa"/>
              <w:left w:w="85" w:type="dxa"/>
              <w:right w:w="85" w:type="dxa"/>
            </w:tcMar>
          </w:tcPr>
          <w:p>
            <w:pPr>
              <w:pStyle w:val="TableContent"/>
              <w:jc w:val="center"/>
            </w:pPr>
            <w:r>
              <w:rPr>
                <w:b w:val="0"/>
                <w:i w:val="0"/>
              </w:rPr>
              <w:t>4254 / 4254</w:t>
            </w:r>
          </w:p>
        </w:tc>
      </w:tr>
      <w:tr>
        <w:tc>
          <w:tcPr>
            <w:tcW w:type="dxa" w:w="6552"/>
            <w:vAlign w:val="center"/>
            <w:tcMar>
              <w:top w:w="70" w:type="dxa"/>
              <w:bottom w:w="70" w:type="dxa"/>
              <w:left w:w="85" w:type="dxa"/>
              <w:right w:w="85" w:type="dxa"/>
            </w:tcMar>
            <w:shd w:fill="F7F9FC"/>
          </w:tcPr>
          <w:p>
            <w:pPr>
              <w:pStyle w:val="TableContent"/>
            </w:pPr>
            <w:r>
              <w:rPr>
                <w:b w:val="0"/>
                <w:i w:val="0"/>
              </w:rPr>
              <w:t>Structure signature preserved</w:t>
            </w:r>
          </w:p>
        </w:tc>
        <w:tc>
          <w:tcPr>
            <w:tcW w:type="dxa" w:w="3672"/>
            <w:vAlign w:val="center"/>
            <w:tcMar>
              <w:top w:w="70" w:type="dxa"/>
              <w:bottom w:w="70" w:type="dxa"/>
              <w:left w:w="85" w:type="dxa"/>
              <w:right w:w="85" w:type="dxa"/>
            </w:tcMar>
            <w:shd w:fill="F7F9FC"/>
          </w:tcPr>
          <w:p>
            <w:pPr>
              <w:pStyle w:val="TableContent"/>
              <w:jc w:val="center"/>
            </w:pPr>
            <w:r>
              <w:rPr>
                <w:b w:val="0"/>
                <w:i w:val="0"/>
              </w:rPr>
              <w:t>True</w:t>
            </w:r>
          </w:p>
        </w:tc>
      </w:tr>
      <w:tr>
        <w:tc>
          <w:tcPr>
            <w:tcW w:type="dxa" w:w="6552"/>
            <w:vAlign w:val="center"/>
            <w:tcMar>
              <w:top w:w="70" w:type="dxa"/>
              <w:bottom w:w="70" w:type="dxa"/>
              <w:left w:w="85" w:type="dxa"/>
              <w:right w:w="85" w:type="dxa"/>
            </w:tcMar>
          </w:tcPr>
          <w:p>
            <w:pPr>
              <w:pStyle w:val="TableContent"/>
            </w:pPr>
            <w:r>
              <w:rPr>
                <w:b w:val="0"/>
                <w:i w:val="0"/>
              </w:rPr>
              <w:t>Replacement application failures</w:t>
            </w:r>
          </w:p>
        </w:tc>
        <w:tc>
          <w:tcPr>
            <w:tcW w:type="dxa" w:w="3672"/>
            <w:vAlign w:val="center"/>
            <w:tcMar>
              <w:top w:w="70" w:type="dxa"/>
              <w:bottom w:w="70" w:type="dxa"/>
              <w:left w:w="85" w:type="dxa"/>
              <w:right w:w="85" w:type="dxa"/>
            </w:tcMar>
          </w:tcPr>
          <w:p>
            <w:pPr>
              <w:pStyle w:val="TableContent"/>
              <w:jc w:val="center"/>
            </w:pPr>
            <w:r>
              <w:rPr>
                <w:b w:val="0"/>
                <w:i w:val="0"/>
              </w:rPr>
              <w:t>0</w:t>
            </w:r>
          </w:p>
        </w:tc>
      </w:tr>
      <w:tr>
        <w:tc>
          <w:tcPr>
            <w:tcW w:type="dxa" w:w="6552"/>
            <w:vAlign w:val="center"/>
            <w:tcMar>
              <w:top w:w="70" w:type="dxa"/>
              <w:bottom w:w="70" w:type="dxa"/>
              <w:left w:w="85" w:type="dxa"/>
              <w:right w:w="85" w:type="dxa"/>
            </w:tcMar>
            <w:shd w:fill="F7F9FC"/>
          </w:tcPr>
          <w:p>
            <w:pPr>
              <w:pStyle w:val="TableContent"/>
            </w:pPr>
            <w:r>
              <w:rPr>
                <w:b w:val="0"/>
                <w:i w:val="0"/>
              </w:rPr>
              <w:t>Residual approved originals</w:t>
            </w:r>
          </w:p>
        </w:tc>
        <w:tc>
          <w:tcPr>
            <w:tcW w:type="dxa" w:w="3672"/>
            <w:vAlign w:val="center"/>
            <w:tcMar>
              <w:top w:w="70" w:type="dxa"/>
              <w:bottom w:w="70" w:type="dxa"/>
              <w:left w:w="85" w:type="dxa"/>
              <w:right w:w="85" w:type="dxa"/>
            </w:tcMar>
            <w:shd w:fill="F7F9FC"/>
          </w:tcPr>
          <w:p>
            <w:pPr>
              <w:pStyle w:val="TableContent"/>
              <w:jc w:val="center"/>
            </w:pPr>
            <w:r>
              <w:rPr>
                <w:b w:val="0"/>
                <w:i w:val="0"/>
              </w:rPr>
              <w:t>0</w:t>
            </w:r>
          </w:p>
        </w:tc>
      </w:tr>
      <w:tr>
        <w:tc>
          <w:tcPr>
            <w:tcW w:type="dxa" w:w="6552"/>
            <w:vAlign w:val="center"/>
            <w:tcMar>
              <w:top w:w="70" w:type="dxa"/>
              <w:bottom w:w="70" w:type="dxa"/>
              <w:left w:w="85" w:type="dxa"/>
              <w:right w:w="85" w:type="dxa"/>
            </w:tcMar>
          </w:tcPr>
          <w:p>
            <w:pPr>
              <w:pStyle w:val="TableContent"/>
            </w:pPr>
            <w:r>
              <w:rPr>
                <w:b w:val="0"/>
                <w:i w:val="0"/>
              </w:rPr>
              <w:t>Automated QA findings</w:t>
            </w:r>
          </w:p>
        </w:tc>
        <w:tc>
          <w:tcPr>
            <w:tcW w:type="dxa" w:w="3672"/>
            <w:vAlign w:val="center"/>
            <w:tcMar>
              <w:top w:w="70" w:type="dxa"/>
              <w:bottom w:w="70" w:type="dxa"/>
              <w:left w:w="85" w:type="dxa"/>
              <w:right w:w="85" w:type="dxa"/>
            </w:tcMar>
          </w:tcPr>
          <w:p>
            <w:pPr>
              <w:pStyle w:val="TableContent"/>
              <w:jc w:val="center"/>
            </w:pPr>
            <w:r>
              <w:rPr>
                <w:b w:val="0"/>
                <w:i w:val="0"/>
              </w:rPr>
              <w:t>0</w:t>
            </w:r>
          </w:p>
        </w:tc>
      </w:tr>
      <w:tr>
        <w:tc>
          <w:tcPr>
            <w:tcW w:type="dxa" w:w="6552"/>
            <w:vAlign w:val="center"/>
            <w:tcMar>
              <w:top w:w="70" w:type="dxa"/>
              <w:bottom w:w="70" w:type="dxa"/>
              <w:left w:w="85" w:type="dxa"/>
              <w:right w:w="85" w:type="dxa"/>
            </w:tcMar>
            <w:shd w:fill="F7F9FC"/>
          </w:tcPr>
          <w:p>
            <w:pPr>
              <w:pStyle w:val="TableContent"/>
            </w:pPr>
            <w:r>
              <w:rPr>
                <w:b w:val="0"/>
                <w:i w:val="0"/>
              </w:rPr>
              <w:t>Release gate</w:t>
            </w:r>
          </w:p>
        </w:tc>
        <w:tc>
          <w:tcPr>
            <w:tcW w:type="dxa" w:w="3672"/>
            <w:vAlign w:val="center"/>
            <w:tcMar>
              <w:top w:w="70" w:type="dxa"/>
              <w:bottom w:w="70" w:type="dxa"/>
              <w:left w:w="85" w:type="dxa"/>
              <w:right w:w="85" w:type="dxa"/>
            </w:tcMar>
            <w:shd w:fill="F7F9FC"/>
          </w:tcPr>
          <w:p>
            <w:pPr>
              <w:pStyle w:val="TableContent"/>
              <w:jc w:val="center"/>
            </w:pPr>
            <w:r>
              <w:rPr>
                <w:b w:val="0"/>
                <w:i w:val="0"/>
              </w:rPr>
              <w:t>PASS</w:t>
            </w:r>
          </w:p>
        </w:tc>
      </w:tr>
    </w:tbl>
    <w:p>
      <w:pPr>
        <w:spacing w:after="0"/>
      </w:pPr>
    </w:p>
    <w:p>
      <w:pPr/>
      <w:r>
        <w:rPr>
          <w:b w:val="0"/>
          <w:i w:val="0"/>
        </w:rPr>
        <w:t xml:space="preserve">Source SHA-256: </w:t>
      </w:r>
      <w:r>
        <w:rPr>
          <w:rFonts w:ascii="Consolas" w:hAnsi="Consolas"/>
          <w:b w:val="0"/>
          <w:i w:val="0"/>
          <w:sz w:val="17"/>
        </w:rPr>
        <w:t>8b5c93f7642d659e64b51be9f6172c86c2825417f376ca1800ed331515e6f929</w:t>
      </w:r>
      <w:r>
        <w:rPr>
          <w:b w:val="0"/>
          <w:i w:val="0"/>
        </w:rPr>
        <w:t>.</w:t>
      </w:r>
    </w:p>
    <w:p>
      <w:pPr/>
      <w:r>
        <w:rPr>
          <w:b w:val="0"/>
          <w:i w:val="0"/>
        </w:rPr>
        <w:t xml:space="preserve">Output SHA-256: </w:t>
      </w:r>
      <w:r>
        <w:rPr>
          <w:rFonts w:ascii="Consolas" w:hAnsi="Consolas"/>
          <w:b w:val="0"/>
          <w:i w:val="0"/>
          <w:sz w:val="17"/>
        </w:rPr>
        <w:t>c16aa903f887e47e97af2e251cb8d78478476c267c22709fb763a8866b97dc40</w:t>
      </w:r>
      <w:r>
        <w:rPr>
          <w:b w:val="0"/>
          <w:i w:val="0"/>
        </w:rPr>
        <w:t>.</w:t>
      </w:r>
    </w:p>
    <w:p>
      <w:pPr/>
      <w:r>
        <w:rPr>
          <w:b w:val="0"/>
          <w:i w:val="0"/>
        </w:rPr>
        <w:t xml:space="preserve">Final DOCX: </w:t>
      </w:r>
      <w:r>
        <w:rPr>
          <w:rFonts w:ascii="Consolas" w:hAnsi="Consolas"/>
          <w:b w:val="0"/>
          <w:i w:val="0"/>
          <w:sz w:val="17"/>
        </w:rPr>
        <w:t>data/output/Red Herring Prospectus - Pseudonymized.docx</w:t>
      </w:r>
      <w:r>
        <w:rPr>
          <w:b w:val="0"/>
          <w:i w:val="0"/>
        </w:rPr>
        <w:t>.</w:t>
      </w:r>
    </w:p>
    <w:p>
      <w:pPr/>
      <w:r>
        <w:rPr>
          <w:b w:val="0"/>
          <w:i w:val="0"/>
        </w:rPr>
        <w:t>Company detection and redaction are supported. The real RHP protects legitimate corporate facts to preserve the issuer's factual content; the controlled benchmark evaluates COMPANY detection, and a strict-policy DOCX test verifies replacement.</w:t>
      </w:r>
    </w:p>
    <w:p>
      <w:pPr/>
      <w:r>
        <w:rPr>
          <w:b w:val="0"/>
          <w:i w:val="0"/>
        </w:rPr>
        <w:t>The media audit records a decoded QR as REDACT/replaced and an undecoded square logo candidate as IGNORE/preserved. Geometric resemblance alone is not treated as sufficient evidence to replace a graphic.</w:t>
      </w:r>
    </w:p>
    <w:p>
      <w:pPr>
        <w:pStyle w:val="Heading1"/>
      </w:pPr>
      <w:r>
        <w:rPr>
          <w:b w:val="0"/>
          <w:i w:val="0"/>
        </w:rPr>
        <w:t>Limitations</w:t>
      </w:r>
    </w:p>
    <w:p>
      <w:pPr>
        <w:pStyle w:val="ListBullet"/>
      </w:pPr>
      <w:r>
        <w:rPr>
          <w:b w:val="0"/>
          <w:i w:val="0"/>
        </w:rPr>
        <w:t>A 100% controlled-benchmark score does not imply 100% performance on unseen documents.</w:t>
      </w:r>
    </w:p>
    <w:p>
      <w:pPr>
        <w:pStyle w:val="ListBullet"/>
      </w:pPr>
      <w:r>
        <w:rPr>
          <w:b w:val="0"/>
          <w:i w:val="0"/>
        </w:rPr>
        <w:t>spaCy and OCR can still produce false positives or miss fragmented/low-quality text.</w:t>
      </w:r>
    </w:p>
    <w:p>
      <w:pPr>
        <w:pStyle w:val="ListBullet"/>
      </w:pPr>
      <w:r>
        <w:rPr>
          <w:b w:val="0"/>
          <w:i w:val="0"/>
        </w:rPr>
        <w:t>Unsupported drawing/text-box encodings may not be represented as ordinary OOXML text blocks.</w:t>
      </w:r>
    </w:p>
    <w:p>
      <w:pPr>
        <w:pStyle w:val="ListBullet"/>
      </w:pPr>
      <w:r>
        <w:rPr>
          <w:b w:val="0"/>
          <w:i w:val="0"/>
        </w:rPr>
        <w:t>A larger independently annotated RHP sample is the next meaningful evaluation step.</w:t>
      </w:r>
    </w:p>
    <w:p>
      <w:pPr/>
      <w:r>
        <w:rPr>
          <w:b w:val="0"/>
          <w:i w:val="0"/>
        </w:rPr>
        <w:t xml:space="preserve">Machine-readable details are in </w:t>
      </w:r>
      <w:r>
        <w:rPr>
          <w:rFonts w:ascii="Consolas" w:hAnsi="Consolas"/>
          <w:b w:val="0"/>
          <w:i w:val="0"/>
          <w:sz w:val="17"/>
        </w:rPr>
        <w:t>reports/benchmark/required_types_evaluation.csv</w:t>
      </w:r>
      <w:r>
        <w:rPr>
          <w:b w:val="0"/>
          <w:i w:val="0"/>
        </w:rPr>
        <w:t xml:space="preserve">, </w:t>
      </w:r>
      <w:r>
        <w:rPr>
          <w:rFonts w:ascii="Consolas" w:hAnsi="Consolas"/>
          <w:b w:val="0"/>
          <w:i w:val="0"/>
          <w:sz w:val="17"/>
        </w:rPr>
        <w:t>reports/benchmark/required_types_report.json</w:t>
      </w:r>
      <w:r>
        <w:rPr>
          <w:b w:val="0"/>
          <w:i w:val="0"/>
        </w:rPr>
        <w:t xml:space="preserve">, </w:t>
      </w:r>
      <w:r>
        <w:rPr>
          <w:rFonts w:ascii="Consolas" w:hAnsi="Consolas"/>
          <w:b w:val="0"/>
          <w:i w:val="0"/>
          <w:sz w:val="17"/>
        </w:rPr>
        <w:t>reports/rhp_release_validation.csv</w:t>
      </w:r>
      <w:r>
        <w:rPr>
          <w:b w:val="0"/>
          <w:i w:val="0"/>
        </w:rPr>
        <w:t xml:space="preserve">, </w:t>
      </w:r>
      <w:r>
        <w:rPr>
          <w:rFonts w:ascii="Consolas" w:hAnsi="Consolas"/>
          <w:b w:val="0"/>
          <w:i w:val="0"/>
          <w:sz w:val="17"/>
        </w:rPr>
        <w:t>reports/summary_report.json</w:t>
      </w:r>
      <w:r>
        <w:rPr>
          <w:b w:val="0"/>
          <w:i w:val="0"/>
        </w:rPr>
        <w:t xml:space="preserve">, and the packaged </w:t>
      </w:r>
      <w:r>
        <w:rPr>
          <w:rFonts w:ascii="Consolas" w:hAnsi="Consolas"/>
          <w:b w:val="0"/>
          <w:i w:val="0"/>
          <w:sz w:val="17"/>
        </w:rPr>
        <w:t>reports/media_audit.json</w:t>
      </w:r>
      <w:r>
        <w:rPr>
          <w:b w:val="0"/>
          <w:i w:val="0"/>
        </w:rPr>
        <w:t>.</w:t>
      </w:r>
    </w:p>
    <w:sectPr w:rsidR="00FC693F" w:rsidRPr="0006063C" w:rsidSect="00034616">
      <w:pgSz w:w="12240" w:h="15840"/>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ontent">
    <w:name w:val="Table Content"/>
    <w:basedOn w:val="Normal"/>
    <w:pPr>
      <w:spacing w:after="0" w:line="252" w:lineRule="auto"/>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Redaction Evaluation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dc:identifier>a6419f6f985b57d96d17c0234846b5d02eef8055bfaf72bef8d3597787080cc7</dc:identifier>
</cp:coreProperties>
</file>