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1"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2"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3" w:history="1">
        <w:r w:rsidRPr="00934FB6">
          <w:t>https://databank.worldbank.org/</w:t>
        </w:r>
      </w:hyperlink>
      <w:r w:rsidRPr="00934FB6">
        <w:t> )</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4"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48401C5F" w:rsidR="00934FB6" w:rsidRDefault="00F90D7F" w:rsidP="00934FB6">
      <w:pPr>
        <w:pStyle w:val="Heading2"/>
        <w:numPr>
          <w:ilvl w:val="0"/>
          <w:numId w:val="0"/>
        </w:numPr>
        <w:ind w:left="720" w:hanging="360"/>
      </w:pPr>
      <w:r>
        <w:t xml:space="preserve">Refer to </w:t>
      </w:r>
      <w:r>
        <w:fldChar w:fldCharType="begin"/>
      </w:r>
      <w:r>
        <w:instrText xml:space="preserve"> REF _Ref150193912 \h </w:instrText>
      </w:r>
      <w:r>
        <w:fldChar w:fldCharType="separate"/>
      </w:r>
      <w:r>
        <w:t xml:space="preserve">Table </w:t>
      </w:r>
      <w:r>
        <w:rPr>
          <w:noProof/>
        </w:rPr>
        <w:t>1</w:t>
      </w:r>
      <w:r>
        <w:fldChar w:fldCharType="end"/>
      </w:r>
      <w:r>
        <w:t>.</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E4394D3" w14:textId="62CE6E2C" w:rsidR="00F90D7F" w:rsidRDefault="00F90D7F" w:rsidP="00F90D7F">
      <w:pPr>
        <w:pStyle w:val="Caption"/>
        <w:keepNext/>
      </w:pPr>
      <w:bookmarkStart w:id="0" w:name="_Ref150193912"/>
      <w:r>
        <w:lastRenderedPageBreak/>
        <w:t xml:space="preserve">Table </w:t>
      </w:r>
      <w:fldSimple w:instr=" SEQ Table \* ARABIC ">
        <w:r>
          <w:rPr>
            <w:noProof/>
          </w:rPr>
          <w:t>1</w:t>
        </w:r>
      </w:fldSimple>
      <w:bookmarkEnd w:id="0"/>
      <w:r>
        <w:t>: Correlation values of high-producing nations</w:t>
      </w:r>
    </w:p>
    <w:p w14:paraId="1E194528" w14:textId="64E2E370" w:rsidR="00F90D7F" w:rsidRDefault="00F90D7F" w:rsidP="00934FB6">
      <w:pPr>
        <w:pStyle w:val="Heading2"/>
        <w:numPr>
          <w:ilvl w:val="0"/>
          <w:numId w:val="0"/>
        </w:numPr>
        <w:ind w:left="720" w:hanging="360"/>
      </w:pPr>
      <w:r w:rsidRPr="00F90D7F">
        <w:rPr>
          <w:noProof/>
        </w:rPr>
        <w:drawing>
          <wp:inline distT="0" distB="0" distL="0" distR="0" wp14:anchorId="7BE4A5FF" wp14:editId="626B6FB8">
            <wp:extent cx="5943600" cy="1572260"/>
            <wp:effectExtent l="0" t="0" r="0" b="0"/>
            <wp:docPr id="141944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2260"/>
                    </a:xfrm>
                    <a:prstGeom prst="rect">
                      <a:avLst/>
                    </a:prstGeom>
                    <a:noFill/>
                    <a:ln>
                      <a:noFill/>
                    </a:ln>
                  </pic:spPr>
                </pic:pic>
              </a:graphicData>
            </a:graphic>
          </wp:inline>
        </w:drawing>
      </w:r>
    </w:p>
    <w:p w14:paraId="1B9A87A5" w14:textId="77777777" w:rsidR="00901FA4" w:rsidRDefault="00901FA4" w:rsidP="00934FB6">
      <w:pPr>
        <w:pStyle w:val="Heading2"/>
        <w:numPr>
          <w:ilvl w:val="0"/>
          <w:numId w:val="0"/>
        </w:numPr>
        <w:ind w:left="720" w:hanging="360"/>
      </w:pPr>
    </w:p>
    <w:p w14:paraId="21458203" w14:textId="27904432" w:rsidR="00901FA4" w:rsidRDefault="00901FA4" w:rsidP="00901FA4">
      <w:pPr>
        <w:pStyle w:val="Caption"/>
        <w:keepNext/>
      </w:pPr>
      <w:r>
        <w:t>Table 2: T-Test Results</w:t>
      </w:r>
    </w:p>
    <w:p w14:paraId="56251247" w14:textId="5E2BE93D" w:rsidR="00901FA4" w:rsidRDefault="00E45716" w:rsidP="00934FB6">
      <w:pPr>
        <w:pStyle w:val="Heading2"/>
        <w:numPr>
          <w:ilvl w:val="0"/>
          <w:numId w:val="0"/>
        </w:numPr>
        <w:ind w:left="720" w:hanging="360"/>
        <w:rPr>
          <w:noProof/>
        </w:rPr>
      </w:pPr>
      <w:r w:rsidRPr="00E45716">
        <w:drawing>
          <wp:inline distT="0" distB="0" distL="0" distR="0" wp14:anchorId="45190076" wp14:editId="6AD3E603">
            <wp:extent cx="5943600" cy="3028315"/>
            <wp:effectExtent l="0" t="0" r="0" b="0"/>
            <wp:docPr id="201111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6B05E899" w14:textId="77777777" w:rsidR="00E45716" w:rsidRDefault="00E45716" w:rsidP="00934FB6">
      <w:pPr>
        <w:pStyle w:val="Heading2"/>
        <w:numPr>
          <w:ilvl w:val="0"/>
          <w:numId w:val="0"/>
        </w:numPr>
        <w:ind w:left="720" w:hanging="360"/>
        <w:rPr>
          <w:noProof/>
        </w:rPr>
      </w:pPr>
    </w:p>
    <w:p w14:paraId="2B4069C1" w14:textId="0693EEEA" w:rsidR="00E45716" w:rsidRDefault="00165B55" w:rsidP="00934FB6">
      <w:pPr>
        <w:pStyle w:val="Heading2"/>
        <w:numPr>
          <w:ilvl w:val="0"/>
          <w:numId w:val="0"/>
        </w:numPr>
        <w:ind w:left="720" w:hanging="360"/>
      </w:pPr>
      <w:r>
        <w:t>Suggestions for low-producing nations:</w:t>
      </w:r>
    </w:p>
    <w:p w14:paraId="05003DA3" w14:textId="407F7570" w:rsidR="00165B55" w:rsidRDefault="00165B55" w:rsidP="00165B55">
      <w:pPr>
        <w:pStyle w:val="Heading2"/>
        <w:numPr>
          <w:ilvl w:val="0"/>
          <w:numId w:val="45"/>
        </w:numPr>
      </w:pPr>
      <w:r w:rsidRPr="00CC0F78">
        <w:rPr>
          <w:b/>
          <w:bCs/>
        </w:rPr>
        <w:t>Average Temperature</w:t>
      </w:r>
      <w:r>
        <w:t xml:space="preserve">: </w:t>
      </w:r>
      <w:r w:rsidRPr="00165B55">
        <w:t>We can see from scatter plot that low-producing nations have high avg temperature</w:t>
      </w:r>
      <w:r w:rsidR="00BB7F74">
        <w:t>( ranging from 22.5 to 27 degree celsius)</w:t>
      </w:r>
      <w:r w:rsidRPr="00165B55">
        <w:t>. So, they can focus on crops which favour high temperature.</w:t>
      </w:r>
    </w:p>
    <w:p w14:paraId="6E04A170" w14:textId="0EEE4132" w:rsidR="00165B55" w:rsidRDefault="00CC0F78" w:rsidP="00165B55">
      <w:pPr>
        <w:pStyle w:val="Heading2"/>
        <w:numPr>
          <w:ilvl w:val="0"/>
          <w:numId w:val="45"/>
        </w:numPr>
      </w:pPr>
      <w:r w:rsidRPr="00CC0F78">
        <w:rPr>
          <w:b/>
          <w:bCs/>
        </w:rPr>
        <w:t>Gross enrolment ratio, primary to tertiary, both sexes (%)</w:t>
      </w:r>
      <w:r w:rsidRPr="00CC0F78">
        <w:rPr>
          <w:b/>
          <w:bCs/>
        </w:rPr>
        <w:t>:</w:t>
      </w:r>
      <w:r>
        <w:t xml:space="preserve"> </w:t>
      </w:r>
      <w:r w:rsidR="00165B55">
        <w:t>We can infer from the scatter plot that high-producing nations have high education enrolment ratio. So, the government in low-producing nations can form policies which encourage higher enrolment in education</w:t>
      </w:r>
    </w:p>
    <w:p w14:paraId="42B22DC3" w14:textId="403A196C" w:rsidR="00165B55" w:rsidRDefault="00CC0F78" w:rsidP="00165B55">
      <w:pPr>
        <w:pStyle w:val="Heading2"/>
        <w:numPr>
          <w:ilvl w:val="0"/>
          <w:numId w:val="45"/>
        </w:numPr>
      </w:pPr>
      <w:r w:rsidRPr="00CC0F78">
        <w:rPr>
          <w:b/>
          <w:bCs/>
        </w:rPr>
        <w:lastRenderedPageBreak/>
        <w:t>Area:</w:t>
      </w:r>
      <w:r>
        <w:t xml:space="preserve"> </w:t>
      </w:r>
      <w:r w:rsidR="00165B55">
        <w:t>Area available for agriculture is a factor beyond a nation's control. But we can see from plot, even with lower amount of area assigned for agriculture, they have higher agri production per capita.</w:t>
      </w:r>
    </w:p>
    <w:p w14:paraId="48927738" w14:textId="0598C15F" w:rsidR="00165B55" w:rsidRDefault="00CC0F78" w:rsidP="00165B55">
      <w:pPr>
        <w:pStyle w:val="Heading2"/>
        <w:numPr>
          <w:ilvl w:val="0"/>
          <w:numId w:val="45"/>
        </w:numPr>
      </w:pPr>
      <w:r w:rsidRPr="00CC0F78">
        <w:rPr>
          <w:b/>
          <w:bCs/>
        </w:rPr>
        <w:t>Fertilizer Use Per Capita</w:t>
      </w:r>
      <w:r>
        <w:rPr>
          <w:b/>
          <w:bCs/>
        </w:rPr>
        <w:t xml:space="preserve">: </w:t>
      </w:r>
      <w:r w:rsidR="00165B55">
        <w:t>High-producing nations use high amounts of fertilizer per capita. Hence, the governments of low-producing nations can find ways of utilizing more  fertilizer in their agricultural land.</w:t>
      </w:r>
    </w:p>
    <w:p w14:paraId="35F46FF8" w14:textId="71C97AEB" w:rsidR="00165B55" w:rsidRDefault="00CC0F78" w:rsidP="00165B55">
      <w:pPr>
        <w:pStyle w:val="Heading2"/>
        <w:numPr>
          <w:ilvl w:val="0"/>
          <w:numId w:val="45"/>
        </w:numPr>
      </w:pPr>
      <w:r w:rsidRPr="00CC0F78">
        <w:rPr>
          <w:b/>
          <w:bCs/>
        </w:rPr>
        <w:t>Water Use Efficiency</w:t>
      </w:r>
      <w:r w:rsidRPr="00CC0F78">
        <w:rPr>
          <w:b/>
          <w:bCs/>
        </w:rPr>
        <w:t>:</w:t>
      </w:r>
      <w:r>
        <w:t xml:space="preserve"> </w:t>
      </w:r>
      <w:r w:rsidR="00165B55">
        <w:t>High and low producing nations have same water use efficiency. How are they producing more?</w:t>
      </w:r>
    </w:p>
    <w:p w14:paraId="7D7841A6" w14:textId="44AC0F5F" w:rsidR="00165B55" w:rsidRDefault="00CC0F78" w:rsidP="00165B55">
      <w:pPr>
        <w:pStyle w:val="Heading2"/>
        <w:numPr>
          <w:ilvl w:val="0"/>
          <w:numId w:val="45"/>
        </w:numPr>
      </w:pPr>
      <w:r w:rsidRPr="00CC0F78">
        <w:rPr>
          <w:b/>
          <w:bCs/>
        </w:rPr>
        <w:t>Agriculture share of Government Expenditure</w:t>
      </w:r>
      <w:r w:rsidRPr="00CC0F78">
        <w:rPr>
          <w:b/>
          <w:bCs/>
        </w:rPr>
        <w:t>:</w:t>
      </w:r>
      <w:r>
        <w:t xml:space="preserve"> </w:t>
      </w:r>
      <w:r w:rsidR="00165B55">
        <w:t>Even with lower agriculture share of government expenditure, high-producing nations have more production per capita.</w:t>
      </w:r>
    </w:p>
    <w:p w14:paraId="3A0B57CE" w14:textId="77777777" w:rsidR="00165B55" w:rsidRDefault="00165B55" w:rsidP="00165B55">
      <w:pPr>
        <w:pStyle w:val="Heading2"/>
        <w:numPr>
          <w:ilvl w:val="0"/>
          <w:numId w:val="0"/>
        </w:numPr>
        <w:ind w:left="720"/>
      </w:pPr>
    </w:p>
    <w:p w14:paraId="644EC42A" w14:textId="15EC1CCB" w:rsidR="00934FB6" w:rsidRDefault="00934FB6" w:rsidP="00934FB6">
      <w:pPr>
        <w:pStyle w:val="Heading2"/>
        <w:numPr>
          <w:ilvl w:val="0"/>
          <w:numId w:val="0"/>
        </w:numPr>
        <w:ind w:left="720" w:hanging="360"/>
      </w:pPr>
      <w:r>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182A0FE0" w14:textId="77777777" w:rsidR="005C5BEA"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w:t>
      </w:r>
      <w:r w:rsidRPr="00A45F8E">
        <w:lastRenderedPageBreak/>
        <w:t xml:space="preserve">often is aiming to gain access to natural resources, to markets, to labour supply, to technology, to ensure security of supplies or to control the quality of a certain product. FDI can be decomposed into two types of investments: mergers and acquisitions (MA) and greenfield investments. The latter type results in the creation of new entities and the setting up of offices, buildings, plants or factories from scratch in a foreign economy. </w:t>
      </w:r>
    </w:p>
    <w:p w14:paraId="11DC2479" w14:textId="77777777" w:rsidR="005C5BEA" w:rsidRDefault="00A45F8E" w:rsidP="005C5BEA">
      <w:pPr>
        <w:pStyle w:val="Heading2"/>
        <w:numPr>
          <w:ilvl w:val="0"/>
          <w:numId w:val="0"/>
        </w:numPr>
        <w:ind w:left="720"/>
      </w:pPr>
      <w:r w:rsidRPr="005C5BEA">
        <w:rPr>
          <w:highlight w:val="yellow"/>
        </w:rPr>
        <w:t>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w:t>
      </w:r>
      <w:r w:rsidRPr="00A45F8E">
        <w:t xml:space="preserve">.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w:t>
      </w:r>
    </w:p>
    <w:p w14:paraId="6D443483" w14:textId="20AFC318" w:rsidR="00170039" w:rsidRDefault="00A45F8E" w:rsidP="005C5BEA">
      <w:pPr>
        <w:pStyle w:val="Heading2"/>
        <w:numPr>
          <w:ilvl w:val="0"/>
          <w:numId w:val="0"/>
        </w:numPr>
        <w:ind w:left="720"/>
      </w:pPr>
      <w:r w:rsidRPr="00A45F8E">
        <w:t xml:space="preserve">FDI inflows and outflows are important for tracking the direct invesment conditions each year. </w:t>
      </w:r>
      <w:r w:rsidRPr="005C5BEA">
        <w:rPr>
          <w:highlight w:val="yellow"/>
        </w:rPr>
        <w:t>Outward Foreign Direct Investment (FDI) flows record the value of cross-border direct investment transactions from the reporting economy during a year.</w:t>
      </w:r>
      <w:r w:rsidRPr="00A45F8E">
        <w:t xml:space="preserve"> It represents transactions affecting the investment in enterprises resident abroad. whereas</w:t>
      </w:r>
      <w:r w:rsidRPr="005C5BEA">
        <w:rPr>
          <w:highlight w:val="yellow"/>
        </w:rPr>
        <w:t>, Inward Foreign Direct Investment (FDI) flows record the value of cross-border direct investment transactions received by the reporting economy during a year.</w:t>
      </w:r>
      <w:r w:rsidRPr="00A45F8E">
        <w:t xml:space="preserve">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0707EA89" w14:textId="7E5DAD81" w:rsidR="007C6D10" w:rsidRDefault="007C6D10" w:rsidP="00740206">
      <w:pPr>
        <w:pStyle w:val="Heading2"/>
        <w:numPr>
          <w:ilvl w:val="0"/>
          <w:numId w:val="0"/>
        </w:numPr>
        <w:ind w:left="720"/>
      </w:pPr>
      <w:r>
        <w:t>(</w:t>
      </w:r>
      <w:hyperlink r:id="rId17" w:history="1">
        <w:r>
          <w:rPr>
            <w:rStyle w:val="Hyperlink"/>
          </w:rPr>
          <w:t>Metadata-06-04-01.pdf (un.org)</w:t>
        </w:r>
      </w:hyperlink>
      <w:r>
        <w:t>)</w:t>
      </w:r>
    </w:p>
    <w:sectPr w:rsidR="007C6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25B9" w14:textId="77777777" w:rsidR="00F8341D" w:rsidRDefault="00F8341D">
      <w:pPr>
        <w:spacing w:after="0" w:line="240" w:lineRule="auto"/>
      </w:pPr>
      <w:r>
        <w:separator/>
      </w:r>
    </w:p>
  </w:endnote>
  <w:endnote w:type="continuationSeparator" w:id="0">
    <w:p w14:paraId="206B9AB7" w14:textId="77777777" w:rsidR="00F8341D" w:rsidRDefault="00F8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EA9D" w14:textId="77777777" w:rsidR="00F8341D" w:rsidRDefault="00F8341D">
      <w:pPr>
        <w:spacing w:after="0" w:line="240" w:lineRule="auto"/>
      </w:pPr>
      <w:r>
        <w:separator/>
      </w:r>
    </w:p>
  </w:footnote>
  <w:footnote w:type="continuationSeparator" w:id="0">
    <w:p w14:paraId="2FC66397" w14:textId="77777777" w:rsidR="00F8341D" w:rsidRDefault="00F8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B680753"/>
    <w:multiLevelType w:val="hybridMultilevel"/>
    <w:tmpl w:val="4FD8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30"/>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 w:numId="45" w16cid:durableId="4296694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65B55"/>
    <w:rsid w:val="00170039"/>
    <w:rsid w:val="001D5603"/>
    <w:rsid w:val="00201F5F"/>
    <w:rsid w:val="002174CE"/>
    <w:rsid w:val="0025690E"/>
    <w:rsid w:val="002D52FF"/>
    <w:rsid w:val="002E0BEA"/>
    <w:rsid w:val="00350D06"/>
    <w:rsid w:val="00352AF4"/>
    <w:rsid w:val="003E4B77"/>
    <w:rsid w:val="003F11C2"/>
    <w:rsid w:val="00555939"/>
    <w:rsid w:val="00556CB8"/>
    <w:rsid w:val="00576300"/>
    <w:rsid w:val="005C5BEA"/>
    <w:rsid w:val="005E014F"/>
    <w:rsid w:val="005E514F"/>
    <w:rsid w:val="006333D8"/>
    <w:rsid w:val="0065298A"/>
    <w:rsid w:val="00676AC7"/>
    <w:rsid w:val="00740206"/>
    <w:rsid w:val="00744CE5"/>
    <w:rsid w:val="007856EE"/>
    <w:rsid w:val="007C6D10"/>
    <w:rsid w:val="008469A5"/>
    <w:rsid w:val="0086238C"/>
    <w:rsid w:val="008B4470"/>
    <w:rsid w:val="008E752A"/>
    <w:rsid w:val="00901FA4"/>
    <w:rsid w:val="00934FB6"/>
    <w:rsid w:val="00961859"/>
    <w:rsid w:val="00983594"/>
    <w:rsid w:val="00987CE7"/>
    <w:rsid w:val="009A2ED4"/>
    <w:rsid w:val="009C2D95"/>
    <w:rsid w:val="009E3887"/>
    <w:rsid w:val="009F3408"/>
    <w:rsid w:val="00A0611A"/>
    <w:rsid w:val="00A45F8E"/>
    <w:rsid w:val="00A769E6"/>
    <w:rsid w:val="00B058C4"/>
    <w:rsid w:val="00B27C7C"/>
    <w:rsid w:val="00B40533"/>
    <w:rsid w:val="00B82878"/>
    <w:rsid w:val="00BA425E"/>
    <w:rsid w:val="00BB7F74"/>
    <w:rsid w:val="00BC1F7A"/>
    <w:rsid w:val="00BD3D22"/>
    <w:rsid w:val="00C45DBF"/>
    <w:rsid w:val="00C55AE2"/>
    <w:rsid w:val="00C60ACE"/>
    <w:rsid w:val="00C66CD6"/>
    <w:rsid w:val="00C84544"/>
    <w:rsid w:val="00CA4076"/>
    <w:rsid w:val="00CB746D"/>
    <w:rsid w:val="00CC0F78"/>
    <w:rsid w:val="00CD44B7"/>
    <w:rsid w:val="00CD6399"/>
    <w:rsid w:val="00D45F13"/>
    <w:rsid w:val="00D97903"/>
    <w:rsid w:val="00DC4DC8"/>
    <w:rsid w:val="00DE3BA9"/>
    <w:rsid w:val="00DF3451"/>
    <w:rsid w:val="00E01AD9"/>
    <w:rsid w:val="00E45716"/>
    <w:rsid w:val="00E75610"/>
    <w:rsid w:val="00E76D50"/>
    <w:rsid w:val="00EB3A4A"/>
    <w:rsid w:val="00F65364"/>
    <w:rsid w:val="00F8341D"/>
    <w:rsid w:val="00F90A2A"/>
    <w:rsid w:val="00F90D7F"/>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3551">
      <w:bodyDiv w:val="1"/>
      <w:marLeft w:val="0"/>
      <w:marRight w:val="0"/>
      <w:marTop w:val="0"/>
      <w:marBottom w:val="0"/>
      <w:divBdr>
        <w:top w:val="none" w:sz="0" w:space="0" w:color="auto"/>
        <w:left w:val="none" w:sz="0" w:space="0" w:color="auto"/>
        <w:bottom w:val="none" w:sz="0" w:space="0" w:color="auto"/>
        <w:right w:val="none" w:sz="0" w:space="0" w:color="auto"/>
      </w:divBdr>
    </w:div>
    <w:div w:id="807167877">
      <w:bodyDiv w:val="1"/>
      <w:marLeft w:val="0"/>
      <w:marRight w:val="0"/>
      <w:marTop w:val="0"/>
      <w:marBottom w:val="0"/>
      <w:divBdr>
        <w:top w:val="none" w:sz="0" w:space="0" w:color="auto"/>
        <w:left w:val="none" w:sz="0" w:space="0" w:color="auto"/>
        <w:bottom w:val="none" w:sz="0" w:space="0" w:color="auto"/>
        <w:right w:val="none" w:sz="0" w:space="0" w:color="auto"/>
      </w:divBdr>
    </w:div>
    <w:div w:id="978261399">
      <w:bodyDiv w:val="1"/>
      <w:marLeft w:val="0"/>
      <w:marRight w:val="0"/>
      <w:marTop w:val="0"/>
      <w:marBottom w:val="0"/>
      <w:divBdr>
        <w:top w:val="none" w:sz="0" w:space="0" w:color="auto"/>
        <w:left w:val="none" w:sz="0" w:space="0" w:color="auto"/>
        <w:bottom w:val="none" w:sz="0" w:space="0" w:color="auto"/>
        <w:right w:val="none" w:sz="0" w:space="0" w:color="auto"/>
      </w:divBdr>
    </w:div>
    <w:div w:id="1327242719">
      <w:bodyDiv w:val="1"/>
      <w:marLeft w:val="0"/>
      <w:marRight w:val="0"/>
      <w:marTop w:val="0"/>
      <w:marBottom w:val="0"/>
      <w:divBdr>
        <w:top w:val="none" w:sz="0" w:space="0" w:color="auto"/>
        <w:left w:val="none" w:sz="0" w:space="0" w:color="auto"/>
        <w:bottom w:val="none" w:sz="0" w:space="0" w:color="auto"/>
        <w:right w:val="none" w:sz="0" w:space="0" w:color="auto"/>
      </w:divBdr>
    </w:div>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 w:id="1831561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bank.worldbank.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limateknowledgeportal.worldbank.org/download-data" TargetMode="External"/><Relationship Id="rId17" Type="http://schemas.openxmlformats.org/officeDocument/2006/relationships/hyperlink" Target="https://unstats.un.org/sdgs/metadata/files/Metadata-06-04-01.pdf" TargetMode="Externa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faostat/en/"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indicator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4.xml><?xml version="1.0" encoding="utf-8"?>
<ds:datastoreItem xmlns:ds="http://schemas.openxmlformats.org/officeDocument/2006/customXml" ds:itemID="{286052FA-FD88-4F29-9FA3-7C47742B129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2023-11-07T21:32:00Z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