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1"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2"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3" w:history="1">
        <w:r w:rsidRPr="00934FB6">
          <w:t>https://databank.worldbank.org/</w:t>
        </w:r>
      </w:hyperlink>
      <w:r w:rsidRPr="00934FB6">
        <w:t> )</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4"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48401C5F" w:rsidR="00934FB6" w:rsidRDefault="00F90D7F" w:rsidP="00934FB6">
      <w:pPr>
        <w:pStyle w:val="Heading2"/>
        <w:numPr>
          <w:ilvl w:val="0"/>
          <w:numId w:val="0"/>
        </w:numPr>
        <w:ind w:left="720" w:hanging="360"/>
      </w:pPr>
      <w:r>
        <w:t xml:space="preserve">Refer to </w:t>
      </w:r>
      <w:r>
        <w:fldChar w:fldCharType="begin"/>
      </w:r>
      <w:r>
        <w:instrText xml:space="preserve"> REF _Ref150193912 \h </w:instrText>
      </w:r>
      <w:r>
        <w:fldChar w:fldCharType="separate"/>
      </w:r>
      <w:r>
        <w:t xml:space="preserve">Table </w:t>
      </w:r>
      <w:r>
        <w:rPr>
          <w:noProof/>
        </w:rPr>
        <w:t>1</w:t>
      </w:r>
      <w:r>
        <w:fldChar w:fldCharType="end"/>
      </w:r>
      <w:r>
        <w:t>.</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E4394D3" w14:textId="62CE6E2C" w:rsidR="00F90D7F" w:rsidRDefault="00F90D7F" w:rsidP="00F90D7F">
      <w:pPr>
        <w:pStyle w:val="Caption"/>
        <w:keepNext/>
      </w:pPr>
      <w:bookmarkStart w:id="0" w:name="_Ref150193912"/>
      <w:r>
        <w:lastRenderedPageBreak/>
        <w:t xml:space="preserve">Table </w:t>
      </w:r>
      <w:fldSimple w:instr=" SEQ Table \* ARABIC ">
        <w:r>
          <w:rPr>
            <w:noProof/>
          </w:rPr>
          <w:t>1</w:t>
        </w:r>
      </w:fldSimple>
      <w:bookmarkEnd w:id="0"/>
      <w:r>
        <w:t>: Correlation values of high-producing nations</w:t>
      </w:r>
    </w:p>
    <w:p w14:paraId="1E194528" w14:textId="64E2E370" w:rsidR="00F90D7F" w:rsidRDefault="00F90D7F" w:rsidP="00934FB6">
      <w:pPr>
        <w:pStyle w:val="Heading2"/>
        <w:numPr>
          <w:ilvl w:val="0"/>
          <w:numId w:val="0"/>
        </w:numPr>
        <w:ind w:left="720" w:hanging="360"/>
      </w:pPr>
      <w:r w:rsidRPr="00F90D7F">
        <w:drawing>
          <wp:inline distT="0" distB="0" distL="0" distR="0" wp14:anchorId="7BE4A5FF" wp14:editId="626B6FB8">
            <wp:extent cx="5943600" cy="1572260"/>
            <wp:effectExtent l="0" t="0" r="0" b="0"/>
            <wp:docPr id="141944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2260"/>
                    </a:xfrm>
                    <a:prstGeom prst="rect">
                      <a:avLst/>
                    </a:prstGeom>
                    <a:noFill/>
                    <a:ln>
                      <a:noFill/>
                    </a:ln>
                  </pic:spPr>
                </pic:pic>
              </a:graphicData>
            </a:graphic>
          </wp:inline>
        </w:drawing>
      </w:r>
    </w:p>
    <w:p w14:paraId="644EC42A" w14:textId="15EC1CCB" w:rsidR="00934FB6" w:rsidRDefault="00934FB6" w:rsidP="00934FB6">
      <w:pPr>
        <w:pStyle w:val="Heading2"/>
        <w:numPr>
          <w:ilvl w:val="0"/>
          <w:numId w:val="0"/>
        </w:numPr>
        <w:ind w:left="720" w:hanging="360"/>
      </w:pPr>
      <w:r>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182A0FE0" w14:textId="77777777" w:rsidR="005C5BEA"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often is aiming to gain access to natural resources, to markets, to labour supply, to technology, to ensure security of supplies or to control the quality of a certain product. FDI can be decomposed into two types of investments: mergers and acquisitions (MA) and </w:t>
      </w:r>
      <w:r w:rsidRPr="00A45F8E">
        <w:lastRenderedPageBreak/>
        <w:t xml:space="preserve">greenfield investments. The latter type results in the creation of new entities and the setting up of offices, buildings, plants or factories from scratch in a foreign economy. </w:t>
      </w:r>
    </w:p>
    <w:p w14:paraId="11DC2479" w14:textId="77777777" w:rsidR="005C5BEA" w:rsidRDefault="00A45F8E" w:rsidP="005C5BEA">
      <w:pPr>
        <w:pStyle w:val="Heading2"/>
        <w:numPr>
          <w:ilvl w:val="0"/>
          <w:numId w:val="0"/>
        </w:numPr>
        <w:ind w:left="720"/>
      </w:pPr>
      <w:r w:rsidRPr="005C5BEA">
        <w:rPr>
          <w:highlight w:val="yellow"/>
        </w:rPr>
        <w:t>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w:t>
      </w:r>
      <w:r w:rsidRPr="00A45F8E">
        <w:t xml:space="preserve">.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w:t>
      </w:r>
    </w:p>
    <w:p w14:paraId="6D443483" w14:textId="20AFC318" w:rsidR="00170039" w:rsidRDefault="00A45F8E" w:rsidP="005C5BEA">
      <w:pPr>
        <w:pStyle w:val="Heading2"/>
        <w:numPr>
          <w:ilvl w:val="0"/>
          <w:numId w:val="0"/>
        </w:numPr>
        <w:ind w:left="720"/>
      </w:pPr>
      <w:r w:rsidRPr="00A45F8E">
        <w:t xml:space="preserve">FDI inflows and outflows are important for tracking the direct invesment conditions each year. </w:t>
      </w:r>
      <w:r w:rsidRPr="005C5BEA">
        <w:rPr>
          <w:highlight w:val="yellow"/>
        </w:rPr>
        <w:t>Outward Foreign Direct Investment (FDI) flows record the value of cross-border direct investment transactions from the reporting economy during a year.</w:t>
      </w:r>
      <w:r w:rsidRPr="00A45F8E">
        <w:t xml:space="preserve"> It represents transactions affecting the investment in enterprises resident abroad. whereas</w:t>
      </w:r>
      <w:r w:rsidRPr="005C5BEA">
        <w:rPr>
          <w:highlight w:val="yellow"/>
        </w:rPr>
        <w:t>, Inward Foreign Direct Investment (FDI) flows record the value of cross-border direct investment transactions received by the reporting economy during a year.</w:t>
      </w:r>
      <w:r w:rsidRPr="00A45F8E">
        <w:t xml:space="preserve">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0707EA89" w14:textId="7E5DAD81" w:rsidR="007C6D10" w:rsidRDefault="007C6D10" w:rsidP="00740206">
      <w:pPr>
        <w:pStyle w:val="Heading2"/>
        <w:numPr>
          <w:ilvl w:val="0"/>
          <w:numId w:val="0"/>
        </w:numPr>
        <w:ind w:left="720"/>
      </w:pPr>
      <w:r>
        <w:t>(</w:t>
      </w:r>
      <w:hyperlink r:id="rId16" w:history="1">
        <w:r>
          <w:rPr>
            <w:rStyle w:val="Hyperlink"/>
          </w:rPr>
          <w:t>Metadata-06-04-01.pdf (un.org)</w:t>
        </w:r>
      </w:hyperlink>
      <w:r>
        <w:t>)</w:t>
      </w:r>
    </w:p>
    <w:sectPr w:rsidR="007C6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B798" w14:textId="77777777" w:rsidR="009F3408" w:rsidRDefault="009F3408">
      <w:pPr>
        <w:spacing w:after="0" w:line="240" w:lineRule="auto"/>
      </w:pPr>
      <w:r>
        <w:separator/>
      </w:r>
    </w:p>
  </w:endnote>
  <w:endnote w:type="continuationSeparator" w:id="0">
    <w:p w14:paraId="0F91C7FD" w14:textId="77777777" w:rsidR="009F3408" w:rsidRDefault="009F3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AD07" w14:textId="77777777" w:rsidR="009F3408" w:rsidRDefault="009F3408">
      <w:pPr>
        <w:spacing w:after="0" w:line="240" w:lineRule="auto"/>
      </w:pPr>
      <w:r>
        <w:separator/>
      </w:r>
    </w:p>
  </w:footnote>
  <w:footnote w:type="continuationSeparator" w:id="0">
    <w:p w14:paraId="3618F1D6" w14:textId="77777777" w:rsidR="009F3408" w:rsidRDefault="009F3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29"/>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70039"/>
    <w:rsid w:val="001D5603"/>
    <w:rsid w:val="00201F5F"/>
    <w:rsid w:val="002174CE"/>
    <w:rsid w:val="0025690E"/>
    <w:rsid w:val="002D52FF"/>
    <w:rsid w:val="002E0BEA"/>
    <w:rsid w:val="00350D06"/>
    <w:rsid w:val="00352AF4"/>
    <w:rsid w:val="003E4B77"/>
    <w:rsid w:val="003F11C2"/>
    <w:rsid w:val="00555939"/>
    <w:rsid w:val="00556CB8"/>
    <w:rsid w:val="00576300"/>
    <w:rsid w:val="005C5BEA"/>
    <w:rsid w:val="005E014F"/>
    <w:rsid w:val="005E514F"/>
    <w:rsid w:val="0065298A"/>
    <w:rsid w:val="00676AC7"/>
    <w:rsid w:val="00740206"/>
    <w:rsid w:val="00744CE5"/>
    <w:rsid w:val="007856EE"/>
    <w:rsid w:val="007C6D10"/>
    <w:rsid w:val="008469A5"/>
    <w:rsid w:val="0086238C"/>
    <w:rsid w:val="008B4470"/>
    <w:rsid w:val="008E752A"/>
    <w:rsid w:val="00934FB6"/>
    <w:rsid w:val="00961859"/>
    <w:rsid w:val="00983594"/>
    <w:rsid w:val="00987CE7"/>
    <w:rsid w:val="009A2ED4"/>
    <w:rsid w:val="009C2D95"/>
    <w:rsid w:val="009E3887"/>
    <w:rsid w:val="009F3408"/>
    <w:rsid w:val="00A0611A"/>
    <w:rsid w:val="00A45F8E"/>
    <w:rsid w:val="00A769E6"/>
    <w:rsid w:val="00B058C4"/>
    <w:rsid w:val="00B27C7C"/>
    <w:rsid w:val="00B40533"/>
    <w:rsid w:val="00B82878"/>
    <w:rsid w:val="00BA425E"/>
    <w:rsid w:val="00BC1F7A"/>
    <w:rsid w:val="00BD3D22"/>
    <w:rsid w:val="00C45DBF"/>
    <w:rsid w:val="00C55AE2"/>
    <w:rsid w:val="00C60ACE"/>
    <w:rsid w:val="00C66CD6"/>
    <w:rsid w:val="00C84544"/>
    <w:rsid w:val="00CA4076"/>
    <w:rsid w:val="00CB746D"/>
    <w:rsid w:val="00CD44B7"/>
    <w:rsid w:val="00CD6399"/>
    <w:rsid w:val="00D45F13"/>
    <w:rsid w:val="00D97903"/>
    <w:rsid w:val="00DC4DC8"/>
    <w:rsid w:val="00DE3BA9"/>
    <w:rsid w:val="00DF3451"/>
    <w:rsid w:val="00E01AD9"/>
    <w:rsid w:val="00E75610"/>
    <w:rsid w:val="00E76D50"/>
    <w:rsid w:val="00EB3A4A"/>
    <w:rsid w:val="00F65364"/>
    <w:rsid w:val="00F90A2A"/>
    <w:rsid w:val="00F90D7F"/>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1399">
      <w:bodyDiv w:val="1"/>
      <w:marLeft w:val="0"/>
      <w:marRight w:val="0"/>
      <w:marTop w:val="0"/>
      <w:marBottom w:val="0"/>
      <w:divBdr>
        <w:top w:val="none" w:sz="0" w:space="0" w:color="auto"/>
        <w:left w:val="none" w:sz="0" w:space="0" w:color="auto"/>
        <w:bottom w:val="none" w:sz="0" w:space="0" w:color="auto"/>
        <w:right w:val="none" w:sz="0" w:space="0" w:color="auto"/>
      </w:divBdr>
    </w:div>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bank.worldbank.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limateknowledgeportal.worldbank.org/download-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tats.un.org/sdgs/metadata/files/Metadata-06-04-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faostat/en/"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indicator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4.xml><?xml version="1.0" encoding="utf-8"?>
<ds:datastoreItem xmlns:ds="http://schemas.openxmlformats.org/officeDocument/2006/customXml" ds:itemID="{286052FA-FD88-4F29-9FA3-7C47742B129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5</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2023-11-07T04:11:00Z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