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pBdr>
          <w:bottom w:val="single" w:sz="8" w:space="1" w:color="AAAAAA"/>
        </w:pBdr>
      </w:pPr>
      <w:r>
        <w:rPr>
          <w:rFonts w:ascii="Calibri" w:hAnsi="Calibri"/>
          <w:b/>
          <w:color w:val="1A1A2E"/>
          <w:sz w:val="44"/>
        </w:rPr>
        <w:t>LPU University Management System (UMS)</w:t>
      </w:r>
    </w:p>
    <w:p>
      <w:pPr>
        <w:spacing w:before="40" w:after="200"/>
      </w:pPr>
      <w:r>
        <w:rPr>
          <w:rFonts w:ascii="Calibri" w:hAnsi="Calibri"/>
          <w:b w:val="0"/>
          <w:color w:val="0F3D6B"/>
          <w:sz w:val="26"/>
        </w:rPr>
        <w:t>Technical Architecture Report  |  Paladeium Research  |  2026-09-15</w:t>
      </w:r>
    </w:p>
    <w:p>
      <w:pPr>
        <w:spacing w:before="360" w:after="80"/>
        <w:pBdr>
          <w:bottom w:val="single" w:sz="6" w:space="1" w:color="6C63FF"/>
        </w:pBdr>
      </w:pPr>
      <w:r>
        <w:rPr>
          <w:rFonts w:ascii="Calibri" w:hAnsi="Calibri"/>
          <w:b/>
          <w:color w:val="16213E"/>
          <w:sz w:val="26"/>
        </w:rPr>
        <w:t>TECHNICAL ARCHITECTURE REPORT</w:t>
      </w:r>
    </w:p>
    <w:p>
      <w:pPr>
        <w:spacing w:before="80" w:after="80"/>
        <w:ind w:left="504"/>
        <w:pBdr>
          <w:left w:val="single" w:sz="12" w:space="6" w:color="6C63FF"/>
        </w:pBdr>
      </w:pPr>
      <w:r>
        <w:rPr>
          <w:rFonts w:ascii="Calibri" w:hAnsi="Calibri"/>
          <w:i/>
          <w:color w:val="444466"/>
          <w:sz w:val="20"/>
        </w:rPr>
        <w:t>Classification: Internal Research — Paladeium Project Host: `ums.lpu.in` Investigation Date: 2026-09-15 Method: Passive observation — HTTP headers, DNS, TLS, HTML, public sources No authentication was bypassed. No credentials were tested or stored.</w:t>
      </w:r>
    </w:p>
    <w:p>
      <w:pPr>
        <w:pBdr>
          <w:bottom w:val="single" w:sz="4" w:space="1" w:color="CCCCCC"/>
        </w:pBdr>
        <w:spacing w:before="80" w:after="80"/>
      </w:pPr>
    </w:p>
    <w:p>
      <w:pPr>
        <w:spacing w:before="360" w:after="80"/>
        <w:pBdr>
          <w:bottom w:val="single" w:sz="6" w:space="1" w:color="6C63FF"/>
        </w:pBdr>
      </w:pPr>
      <w:r>
        <w:rPr>
          <w:rFonts w:ascii="Calibri" w:hAnsi="Calibri"/>
          <w:b/>
          <w:color w:val="16213E"/>
          <w:sz w:val="26"/>
        </w:rPr>
        <w:t>1. OVERVIEW</w:t>
      </w:r>
    </w:p>
    <w:p>
      <w:pPr>
        <w:spacing w:before="40" w:after="80"/>
      </w:pPr>
      <w:r>
        <w:rPr>
          <w:rFonts w:ascii="Calibri" w:hAnsi="Calibri"/>
          <w:sz w:val="21"/>
        </w:rPr>
        <w:t>The LPU University Management System (UMS) is a proprietary in-house ERP web application built and operated by Lovely Professional University. It is the central platform for all academic and administrative processes — serving 40,000+ students, 4,000+ faculty, and administrative staff.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The UMS is accessed through a portal selector at </w:t>
      </w:r>
      <w:r>
        <w:rPr>
          <w:rFonts w:ascii="Courier New" w:hAnsi="Courier New"/>
          <w:color w:val="6C63FF"/>
          <w:sz w:val="19"/>
        </w:rPr>
        <w:t>https://ums.lpu.in/</w:t>
      </w:r>
      <w:r>
        <w:rPr>
          <w:rFonts w:ascii="Calibri" w:hAnsi="Calibri"/>
          <w:sz w:val="21"/>
        </w:rPr>
        <w:t xml:space="preserve"> which routes users to multiple integrated sub-applications, all hosted under the same domain and server infrastructure.</w:t>
      </w:r>
    </w:p>
    <w:p>
      <w:pPr>
        <w:pBdr>
          <w:bottom w:val="single" w:sz="4" w:space="1" w:color="CCCCCC"/>
        </w:pBdr>
        <w:spacing w:before="80" w:after="80"/>
      </w:pPr>
    </w:p>
    <w:p>
      <w:pPr>
        <w:spacing w:before="360" w:after="80"/>
        <w:pBdr>
          <w:bottom w:val="single" w:sz="6" w:space="1" w:color="6C63FF"/>
        </w:pBdr>
      </w:pPr>
      <w:r>
        <w:rPr>
          <w:rFonts w:ascii="Calibri" w:hAnsi="Calibri"/>
          <w:b/>
          <w:color w:val="16213E"/>
          <w:sz w:val="26"/>
        </w:rPr>
        <w:t>2. TECHNOLOGY STACK</w:t>
      </w:r>
    </w:p>
    <w:p>
      <w:pPr>
        <w:spacing w:before="240" w:after="60"/>
      </w:pPr>
      <w:r>
        <w:rPr>
          <w:rFonts w:ascii="Calibri" w:hAnsi="Calibri"/>
          <w:b/>
          <w:color w:val="0F3D6B"/>
          <w:sz w:val="24"/>
        </w:rPr>
        <w:t>2.1 Web Server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Value</w:t>
            </w:r>
          </w:p>
        </w:tc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Confidence</w:t>
            </w:r>
          </w:p>
        </w:tc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Evidence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Web Server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Microsoft IIS 10.0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HIGH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`Server: Microsoft-IIS/10.0` on all probed paths</w:t>
            </w:r>
          </w:p>
        </w:tc>
      </w:tr>
      <w:tr>
        <w:tc>
          <w:tcPr>
            <w:tcW w:type="dxa" w:w="2351"/>
            <w:shd w:val="clear" w:color="auto" w:fill="F0F0FF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Operating System</w:t>
            </w:r>
          </w:p>
        </w:tc>
        <w:tc>
          <w:tcPr>
            <w:tcW w:type="dxa" w:w="2351"/>
            <w:shd w:val="clear" w:color="auto" w:fill="F0F0FF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Windows Server 2016/2019/2022</w:t>
            </w:r>
          </w:p>
        </w:tc>
        <w:tc>
          <w:tcPr>
            <w:tcW w:type="dxa" w:w="2351"/>
            <w:shd w:val="clear" w:color="auto" w:fill="F0F0FF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HIGH</w:t>
            </w:r>
          </w:p>
        </w:tc>
        <w:tc>
          <w:tcPr>
            <w:tcW w:type="dxa" w:w="2351"/>
            <w:shd w:val="clear" w:color="auto" w:fill="F0F0FF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IIS 10.0 ships exclusively on Windows Server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Protocol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HTTPS/2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HIGH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HTTP/2 confirmed via curl</w:t>
            </w:r>
          </w:p>
        </w:tc>
      </w:tr>
    </w:tbl>
    <w:p/>
    <w:p>
      <w:pPr>
        <w:spacing w:before="240" w:after="60"/>
      </w:pPr>
      <w:r>
        <w:rPr>
          <w:rFonts w:ascii="Calibri" w:hAnsi="Calibri"/>
          <w:b/>
          <w:color w:val="0F3D6B"/>
          <w:sz w:val="24"/>
        </w:rPr>
        <w:t>2.2 Application Framework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Value</w:t>
            </w:r>
          </w:p>
        </w:tc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Confidence</w:t>
            </w:r>
          </w:p>
        </w:tc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Evidence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App Runtime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ASP.NET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HIGH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`X-Powered-By: ASP.NET` on every sub-path</w:t>
            </w:r>
          </w:p>
        </w:tc>
      </w:tr>
      <w:tr>
        <w:tc>
          <w:tcPr>
            <w:tcW w:type="dxa" w:w="2351"/>
            <w:shd w:val="clear" w:color="auto" w:fill="F0F0FF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App Pattern</w:t>
            </w:r>
          </w:p>
        </w:tc>
        <w:tc>
          <w:tcPr>
            <w:tcW w:type="dxa" w:w="2351"/>
            <w:shd w:val="clear" w:color="auto" w:fill="F0F0FF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ASP.NET WebForms</w:t>
            </w:r>
          </w:p>
        </w:tc>
        <w:tc>
          <w:tcPr>
            <w:tcW w:type="dxa" w:w="2351"/>
            <w:shd w:val="clear" w:color="auto" w:fill="F0F0FF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HIGH</w:t>
            </w:r>
          </w:p>
        </w:tc>
        <w:tc>
          <w:tcPr>
            <w:tcW w:type="dxa" w:w="2351"/>
            <w:shd w:val="clear" w:color="auto" w:fill="F0F0FF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`.aspx` file extensions in URLs, `frm*` page naming convention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Framework Era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Legacy .NET Framework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HIGH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WebForms is a pre-.NET Core framework (introduced 2002)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sz w:val="21"/>
        </w:rPr>
        <w:t xml:space="preserve">The </w:t>
      </w:r>
      <w:r>
        <w:rPr>
          <w:rFonts w:ascii="Courier New" w:hAnsi="Courier New"/>
          <w:color w:val="6C63FF"/>
          <w:sz w:val="19"/>
        </w:rPr>
        <w:t>.aspx</w:t>
      </w:r>
      <w:r>
        <w:rPr>
          <w:rFonts w:ascii="Calibri" w:hAnsi="Calibri"/>
          <w:sz w:val="21"/>
        </w:rPr>
        <w:t xml:space="preserve"> extension and </w:t>
      </w:r>
      <w:r>
        <w:rPr>
          <w:rFonts w:ascii="Courier New" w:hAnsi="Courier New"/>
          <w:color w:val="6C63FF"/>
          <w:sz w:val="19"/>
        </w:rPr>
        <w:t>frm</w:t>
      </w:r>
      <w:r>
        <w:rPr>
          <w:rFonts w:ascii="Calibri" w:hAnsi="Calibri"/>
          <w:sz w:val="21"/>
        </w:rPr>
        <w:t xml:space="preserve"> prefix naming — e.g. </w:t>
      </w:r>
      <w:r>
        <w:rPr>
          <w:rFonts w:ascii="Courier New" w:hAnsi="Courier New"/>
          <w:color w:val="6C63FF"/>
          <w:sz w:val="19"/>
        </w:rPr>
        <w:t>frmDisplayAnnouncement.aspx</w:t>
      </w:r>
      <w:r>
        <w:rPr>
          <w:rFonts w:ascii="Calibri" w:hAnsi="Calibri"/>
          <w:sz w:val="21"/>
        </w:rPr>
        <w:t xml:space="preserve"> — are definitive WebForms markers. This means the system uses server-side page rendering with </w:t>
      </w:r>
      <w:r>
        <w:rPr>
          <w:rFonts w:ascii="Courier New" w:hAnsi="Courier New"/>
          <w:color w:val="6C63FF"/>
          <w:sz w:val="19"/>
        </w:rPr>
        <w:t>__VIEWSTATE</w:t>
      </w:r>
      <w:r>
        <w:rPr>
          <w:rFonts w:ascii="Calibri" w:hAnsi="Calibri"/>
          <w:sz w:val="21"/>
        </w:rPr>
        <w:t xml:space="preserve"> hidden fields for state management, not a modern SPA or REST API pattern.</w:t>
      </w:r>
    </w:p>
    <w:p>
      <w:pPr>
        <w:spacing w:before="240" w:after="60"/>
      </w:pPr>
      <w:r>
        <w:rPr>
          <w:rFonts w:ascii="Calibri" w:hAnsi="Calibri"/>
          <w:b/>
          <w:color w:val="0F3D6B"/>
          <w:sz w:val="24"/>
        </w:rPr>
        <w:t>2.3 Frontend — Portal Selector Page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The landing page at </w:t>
      </w:r>
      <w:r>
        <w:rPr>
          <w:rFonts w:ascii="Courier New" w:hAnsi="Courier New"/>
          <w:color w:val="6C63FF"/>
          <w:sz w:val="19"/>
        </w:rPr>
        <w:t>ums.lpu.in/</w:t>
      </w:r>
      <w:r>
        <w:rPr>
          <w:rFonts w:ascii="Calibri" w:hAnsi="Calibri"/>
          <w:sz w:val="21"/>
        </w:rPr>
        <w:t xml:space="preserve"> is a </w:t>
      </w:r>
      <w:r>
        <w:rPr>
          <w:rFonts w:ascii="Calibri" w:hAnsi="Calibri"/>
          <w:b/>
          <w:sz w:val="21"/>
        </w:rPr>
        <w:t>static HTML page</w:t>
      </w:r>
      <w:r>
        <w:rPr>
          <w:rFonts w:ascii="Calibri" w:hAnsi="Calibri"/>
          <w:sz w:val="21"/>
        </w:rPr>
        <w:t xml:space="preserve"> (not ASP.NET itself) acting as a portal menu.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Library</w:t>
            </w:r>
          </w:p>
        </w:tc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Evidence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jQuery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3.6.0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`assets/js/jquery-3.6.0.min.js`</w:t>
            </w:r>
          </w:p>
        </w:tc>
      </w:tr>
      <w:tr>
        <w:tc>
          <w:tcPr>
            <w:tcW w:type="dxa" w:w="3135"/>
            <w:shd w:val="clear" w:color="auto" w:fill="F0F0FF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Bootstrap</w:t>
            </w:r>
          </w:p>
        </w:tc>
        <w:tc>
          <w:tcPr>
            <w:tcW w:type="dxa" w:w="3135"/>
            <w:shd w:val="clear" w:color="auto" w:fill="F0F0FF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4/5</w:t>
            </w:r>
          </w:p>
        </w:tc>
        <w:tc>
          <w:tcPr>
            <w:tcW w:type="dxa" w:w="3135"/>
            <w:shd w:val="clear" w:color="auto" w:fill="F0F0FF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`assets/css/bootstrap.min.css`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Font Awesome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`font-awesome/css/font-awesome.min.css`</w:t>
            </w:r>
          </w:p>
        </w:tc>
      </w:tr>
      <w:tr>
        <w:tc>
          <w:tcPr>
            <w:tcW w:type="dxa" w:w="3135"/>
            <w:shd w:val="clear" w:color="auto" w:fill="F0F0FF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Flaticon</w:t>
            </w:r>
          </w:p>
        </w:tc>
        <w:tc>
          <w:tcPr>
            <w:tcW w:type="dxa" w:w="3135"/>
            <w:shd w:val="clear" w:color="auto" w:fill="F0F0FF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3135"/>
            <w:shd w:val="clear" w:color="auto" w:fill="F0F0FF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`flaticon/font/flaticon.css`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Poppins (Google Font)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`fonts.googleapis.com/css2?family=Poppins`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sz w:val="21"/>
        </w:rPr>
        <w:t>No React, Angular, Vue, or any modern SPA framework detected on the public portal.</w:t>
      </w:r>
    </w:p>
    <w:p>
      <w:pPr>
        <w:spacing w:before="240" w:after="60"/>
      </w:pPr>
      <w:r>
        <w:rPr>
          <w:rFonts w:ascii="Calibri" w:hAnsi="Calibri"/>
          <w:b/>
          <w:color w:val="0F3D6B"/>
          <w:sz w:val="24"/>
        </w:rPr>
        <w:t>2.4 Database (Inferred)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Database</w:t>
            </w:r>
          </w:p>
        </w:tc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Confidence</w:t>
            </w:r>
          </w:p>
        </w:tc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Reasoning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Microsoft SQL Server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MEDIUM-HIGH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Universal pairing with IIS + ASP.NET WebForms in enterprise ERP of this generation; consistent with full Microsoft ecosystem (IIS + ASP.NET + SQL Server + M365)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sz w:val="21"/>
        </w:rPr>
        <w:t>The database is not directly observable from the client. No SQL error messages exposing the database type were encountered. The inference is based on technology stack correlation.</w:t>
      </w:r>
    </w:p>
    <w:p>
      <w:pPr>
        <w:spacing w:before="240" w:after="60"/>
      </w:pPr>
      <w:r>
        <w:rPr>
          <w:rFonts w:ascii="Calibri" w:hAnsi="Calibri"/>
          <w:b/>
          <w:color w:val="0F3D6B"/>
          <w:sz w:val="24"/>
        </w:rPr>
        <w:t>2.5 Network Infrastructure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Confidence</w:t>
            </w:r>
          </w:p>
        </w:tc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Evidence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DNS Provider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Cloudflare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HIGH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NS: `jihoon.ns.cloudflare.com`, `wren.ns.cloudflare.com`</w:t>
            </w:r>
          </w:p>
        </w:tc>
      </w:tr>
      <w:tr>
        <w:tc>
          <w:tcPr>
            <w:tcW w:type="dxa" w:w="2351"/>
            <w:shd w:val="clear" w:color="auto" w:fill="F0F0FF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CDN / DDoS</w:t>
            </w:r>
          </w:p>
        </w:tc>
        <w:tc>
          <w:tcPr>
            <w:tcW w:type="dxa" w:w="2351"/>
            <w:shd w:val="clear" w:color="auto" w:fill="F0F0FF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Cloudflare</w:t>
            </w:r>
          </w:p>
        </w:tc>
        <w:tc>
          <w:tcPr>
            <w:tcW w:type="dxa" w:w="2351"/>
            <w:shd w:val="clear" w:color="auto" w:fill="F0F0FF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HIGH</w:t>
            </w:r>
          </w:p>
        </w:tc>
        <w:tc>
          <w:tcPr>
            <w:tcW w:type="dxa" w:w="2351"/>
            <w:shd w:val="clear" w:color="auto" w:fill="F0F0FF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Same as DNS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TLS Certificate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DigiCert / GeoTrust TLS RSA CA G1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HIGH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`openssl s_client` inspection</w:t>
            </w:r>
          </w:p>
        </w:tc>
      </w:tr>
      <w:tr>
        <w:tc>
          <w:tcPr>
            <w:tcW w:type="dxa" w:w="2351"/>
            <w:shd w:val="clear" w:color="auto" w:fill="F0F0FF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Certificate Type</w:t>
            </w:r>
          </w:p>
        </w:tc>
        <w:tc>
          <w:tcPr>
            <w:tcW w:type="dxa" w:w="2351"/>
            <w:shd w:val="clear" w:color="auto" w:fill="F0F0FF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**Wildcard `*.lpu.in`**</w:t>
            </w:r>
          </w:p>
        </w:tc>
        <w:tc>
          <w:tcPr>
            <w:tcW w:type="dxa" w:w="2351"/>
            <w:shd w:val="clear" w:color="auto" w:fill="F0F0FF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HIGH</w:t>
            </w:r>
          </w:p>
        </w:tc>
        <w:tc>
          <w:tcPr>
            <w:tcW w:type="dxa" w:w="2351"/>
            <w:shd w:val="clear" w:color="auto" w:fill="F0F0FF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Subject: `CN=*.lpu.in`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Certificate Holder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Lovely Professional University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HIGH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`O=Lovely Professional University, L=Phagwara, ST=Punjab, C=IN`</w:t>
            </w:r>
          </w:p>
        </w:tc>
      </w:tr>
      <w:tr>
        <w:tc>
          <w:tcPr>
            <w:tcW w:type="dxa" w:w="2351"/>
            <w:shd w:val="clear" w:color="auto" w:fill="F0F0FF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Certificate Validity</w:t>
            </w:r>
          </w:p>
        </w:tc>
        <w:tc>
          <w:tcPr>
            <w:tcW w:type="dxa" w:w="2351"/>
            <w:shd w:val="clear" w:color="auto" w:fill="F0F0FF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Nov 3 2025 — Nov 20 2026</w:t>
            </w:r>
          </w:p>
        </w:tc>
        <w:tc>
          <w:tcPr>
            <w:tcW w:type="dxa" w:w="2351"/>
            <w:shd w:val="clear" w:color="auto" w:fill="F0F0FF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HIGH</w:t>
            </w:r>
          </w:p>
        </w:tc>
        <w:tc>
          <w:tcPr>
            <w:tcW w:type="dxa" w:w="2351"/>
            <w:shd w:val="clear" w:color="auto" w:fill="F0F0FF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Certificate dates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Email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Microsoft 365 / Exchange Online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HIGH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MX: `lpu-in.mail.protection.outlook.com`</w:t>
            </w:r>
          </w:p>
        </w:tc>
      </w:tr>
    </w:tbl>
    <w:p/>
    <w:p>
      <w:pPr>
        <w:pBdr>
          <w:bottom w:val="single" w:sz="4" w:space="1" w:color="CCCCCC"/>
        </w:pBdr>
        <w:spacing w:before="80" w:after="80"/>
      </w:pPr>
    </w:p>
    <w:p>
      <w:pPr>
        <w:spacing w:before="360" w:after="80"/>
        <w:pBdr>
          <w:bottom w:val="single" w:sz="6" w:space="1" w:color="6C63FF"/>
        </w:pBdr>
      </w:pPr>
      <w:r>
        <w:rPr>
          <w:rFonts w:ascii="Calibri" w:hAnsi="Calibri"/>
          <w:b/>
          <w:color w:val="16213E"/>
          <w:sz w:val="26"/>
        </w:rPr>
        <w:t>3. DNS RECORDS</w:t>
      </w:r>
    </w:p>
    <w:p>
      <w:pPr>
        <w:spacing w:before="80" w:after="80"/>
        <w:ind w:left="288" w:right="288"/>
        <w:shd w:val="clear" w:color="auto" w:fill="F0F0F5"/>
      </w:pPr>
      <w:r>
        <w:rPr>
          <w:rFonts w:ascii="Courier New" w:hAnsi="Courier New"/>
          <w:color w:val="1A1A2E"/>
          <w:sz w:val="17"/>
        </w:rPr>
        <w:t>ums.lpu.in  A     172.19.2.250</w:t>
        <w:br/>
        <w:t>lpu.in      NS    jihoon.ns.cloudflare.com.</w:t>
        <w:br/>
        <w:t>lpu.in      NS    wren.ns.cloudflare.com.</w:t>
        <w:br/>
        <w:t>lpu.in      MX    0 lpu-in.mail.protection.outlook.com.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The IP </w:t>
      </w:r>
      <w:r>
        <w:rPr>
          <w:rFonts w:ascii="Courier New" w:hAnsi="Courier New"/>
          <w:color w:val="6C63FF"/>
          <w:sz w:val="19"/>
        </w:rPr>
        <w:t>172.19.2.250</w:t>
      </w:r>
      <w:r>
        <w:rPr>
          <w:rFonts w:ascii="Calibri" w:hAnsi="Calibri"/>
          <w:sz w:val="21"/>
        </w:rPr>
        <w:t xml:space="preserve"> is shielded behind Cloudflare's proxy — the actual origin server IP is not publicly exposed.</w:t>
      </w:r>
    </w:p>
    <w:p>
      <w:pPr>
        <w:pBdr>
          <w:bottom w:val="single" w:sz="4" w:space="1" w:color="CCCCCC"/>
        </w:pBdr>
        <w:spacing w:before="80" w:after="80"/>
      </w:pPr>
    </w:p>
    <w:p>
      <w:pPr>
        <w:spacing w:before="360" w:after="80"/>
        <w:pBdr>
          <w:bottom w:val="single" w:sz="6" w:space="1" w:color="6C63FF"/>
        </w:pBdr>
      </w:pPr>
      <w:r>
        <w:rPr>
          <w:rFonts w:ascii="Calibri" w:hAnsi="Calibri"/>
          <w:b/>
          <w:color w:val="16213E"/>
          <w:sz w:val="26"/>
        </w:rPr>
        <w:t>4. SUB-APPLICATION ECOSYSTEM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All sub-applications share the same IIS/ASP.NET infrastructure under </w:t>
      </w:r>
      <w:r>
        <w:rPr>
          <w:rFonts w:ascii="Courier New" w:hAnsi="Courier New"/>
          <w:color w:val="6C63FF"/>
          <w:sz w:val="19"/>
        </w:rPr>
        <w:t>*.lpu.in</w:t>
      </w:r>
      <w:r>
        <w:rPr>
          <w:rFonts w:ascii="Calibri" w:hAnsi="Calibri"/>
          <w:sz w:val="21"/>
        </w:rPr>
        <w:t>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Application</w:t>
            </w:r>
          </w:p>
        </w:tc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URL</w:t>
            </w:r>
          </w:p>
        </w:tc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UMS (main)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`ums.lpu.in/lpuums`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Core academic ERP — student/faculty portal</w:t>
            </w:r>
          </w:p>
        </w:tc>
      </w:tr>
      <w:tr>
        <w:tc>
          <w:tcPr>
            <w:tcW w:type="dxa" w:w="3135"/>
            <w:shd w:val="clear" w:color="auto" w:fill="F0F0FF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eConnect</w:t>
            </w:r>
          </w:p>
        </w:tc>
        <w:tc>
          <w:tcPr>
            <w:tcW w:type="dxa" w:w="3135"/>
            <w:shd w:val="clear" w:color="auto" w:fill="F0F0FF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`ums.lpu.in/econnect`</w:t>
            </w:r>
          </w:p>
        </w:tc>
        <w:tc>
          <w:tcPr>
            <w:tcW w:type="dxa" w:w="3135"/>
            <w:shd w:val="clear" w:color="auto" w:fill="F0F0FF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Distance education portal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MyClass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`ums.lpu.in/myclass`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Learning management system</w:t>
            </w:r>
          </w:p>
        </w:tc>
      </w:tr>
      <w:tr>
        <w:tc>
          <w:tcPr>
            <w:tcW w:type="dxa" w:w="3135"/>
            <w:shd w:val="clear" w:color="auto" w:fill="F0F0FF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Induction Portal</w:t>
            </w:r>
          </w:p>
        </w:tc>
        <w:tc>
          <w:tcPr>
            <w:tcW w:type="dxa" w:w="3135"/>
            <w:shd w:val="clear" w:color="auto" w:fill="F0F0FF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`ums.lpu.in/induction`</w:t>
            </w:r>
          </w:p>
        </w:tc>
        <w:tc>
          <w:tcPr>
            <w:tcW w:type="dxa" w:w="3135"/>
            <w:shd w:val="clear" w:color="auto" w:fill="F0F0FF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Freshmen onboarding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OAS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`oas.lpu.in`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Online assessment / exam delivery</w:t>
            </w:r>
          </w:p>
        </w:tc>
      </w:tr>
      <w:tr>
        <w:tc>
          <w:tcPr>
            <w:tcW w:type="dxa" w:w="3135"/>
            <w:shd w:val="clear" w:color="auto" w:fill="F0F0FF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OMS</w:t>
            </w:r>
          </w:p>
        </w:tc>
        <w:tc>
          <w:tcPr>
            <w:tcW w:type="dxa" w:w="3135"/>
            <w:shd w:val="clear" w:color="auto" w:fill="F0F0FF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`oms.lpu.in`</w:t>
            </w:r>
          </w:p>
        </w:tc>
        <w:tc>
          <w:tcPr>
            <w:tcW w:type="dxa" w:w="3135"/>
            <w:shd w:val="clear" w:color="auto" w:fill="F0F0FF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Office management / appointment booking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Dashboards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`dashboards.lpu.in`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Business intelligence reporting</w:t>
            </w:r>
          </w:p>
        </w:tc>
      </w:tr>
      <w:tr>
        <w:tc>
          <w:tcPr>
            <w:tcW w:type="dxa" w:w="3135"/>
            <w:shd w:val="clear" w:color="auto" w:fill="F0F0FF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LPU Live</w:t>
            </w:r>
          </w:p>
        </w:tc>
        <w:tc>
          <w:tcPr>
            <w:tcW w:type="dxa" w:w="3135"/>
            <w:shd w:val="clear" w:color="auto" w:fill="F0F0FF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`lpulive.lpu.in`</w:t>
            </w:r>
          </w:p>
        </w:tc>
        <w:tc>
          <w:tcPr>
            <w:tcW w:type="dxa" w:w="3135"/>
            <w:shd w:val="clear" w:color="auto" w:fill="F0F0FF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Real-time student chat (student-built, separate stack)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Happenings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`happenings.lpu.in`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Events/news (WordPress)</w:t>
            </w:r>
          </w:p>
        </w:tc>
      </w:tr>
    </w:tbl>
    <w:p/>
    <w:p>
      <w:pPr>
        <w:pBdr>
          <w:bottom w:val="single" w:sz="4" w:space="1" w:color="CCCCCC"/>
        </w:pBdr>
        <w:spacing w:before="80" w:after="80"/>
      </w:pPr>
    </w:p>
    <w:p>
      <w:pPr>
        <w:spacing w:before="360" w:after="80"/>
        <w:pBdr>
          <w:bottom w:val="single" w:sz="6" w:space="1" w:color="6C63FF"/>
        </w:pBdr>
      </w:pPr>
      <w:r>
        <w:rPr>
          <w:rFonts w:ascii="Calibri" w:hAnsi="Calibri"/>
          <w:b/>
          <w:color w:val="16213E"/>
          <w:sz w:val="26"/>
        </w:rPr>
        <w:t>5. HTTP SECURITY HEADERS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All headers observed directly via </w:t>
      </w:r>
      <w:r>
        <w:rPr>
          <w:rFonts w:ascii="Courier New" w:hAnsi="Courier New"/>
          <w:color w:val="6C63FF"/>
          <w:sz w:val="19"/>
        </w:rPr>
        <w:t>curl -sI</w:t>
      </w:r>
      <w:r>
        <w:rPr>
          <w:rFonts w:ascii="Calibri" w:hAnsi="Calibri"/>
          <w:sz w:val="21"/>
        </w:rPr>
        <w:t xml:space="preserve"> with no authentication.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Header</w:t>
            </w:r>
          </w:p>
        </w:tc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Value</w:t>
            </w:r>
          </w:p>
        </w:tc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Implication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`Server`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`Microsoft-IIS/10.0`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Server technology exposed</w:t>
            </w:r>
          </w:p>
        </w:tc>
      </w:tr>
      <w:tr>
        <w:tc>
          <w:tcPr>
            <w:tcW w:type="dxa" w:w="3135"/>
            <w:shd w:val="clear" w:color="auto" w:fill="F0F0FF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`X-Powered-By`</w:t>
            </w:r>
          </w:p>
        </w:tc>
        <w:tc>
          <w:tcPr>
            <w:tcW w:type="dxa" w:w="3135"/>
            <w:shd w:val="clear" w:color="auto" w:fill="F0F0FF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`ASP.NET`</w:t>
            </w:r>
          </w:p>
        </w:tc>
        <w:tc>
          <w:tcPr>
            <w:tcW w:type="dxa" w:w="3135"/>
            <w:shd w:val="clear" w:color="auto" w:fill="F0F0FF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Runtime exposed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`X-Frame-Options`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`SAMEORIGIN`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Anti-clickjacking</w:t>
            </w:r>
          </w:p>
        </w:tc>
      </w:tr>
      <w:tr>
        <w:tc>
          <w:tcPr>
            <w:tcW w:type="dxa" w:w="3135"/>
            <w:shd w:val="clear" w:color="auto" w:fill="F0F0FF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`Strict-Transport-Security`</w:t>
            </w:r>
          </w:p>
        </w:tc>
        <w:tc>
          <w:tcPr>
            <w:tcW w:type="dxa" w:w="3135"/>
            <w:shd w:val="clear" w:color="auto" w:fill="F0F0FF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`max-age=31536000`</w:t>
            </w:r>
          </w:p>
        </w:tc>
        <w:tc>
          <w:tcPr>
            <w:tcW w:type="dxa" w:w="3135"/>
            <w:shd w:val="clear" w:color="auto" w:fill="F0F0FF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HTTPS forced for 1 year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`Content-Security-Policy`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`frame-ancestors https://*.lpu.in`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Only LPU domains can embed</w:t>
            </w:r>
          </w:p>
        </w:tc>
      </w:tr>
      <w:tr>
        <w:tc>
          <w:tcPr>
            <w:tcW w:type="dxa" w:w="3135"/>
            <w:shd w:val="clear" w:color="auto" w:fill="F0F0FF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`Access-Control-Allow-Origin`</w:t>
            </w:r>
          </w:p>
        </w:tc>
        <w:tc>
          <w:tcPr>
            <w:tcW w:type="dxa" w:w="3135"/>
            <w:shd w:val="clear" w:color="auto" w:fill="F0F0FF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`https://*.lpu.in`</w:t>
            </w:r>
          </w:p>
        </w:tc>
        <w:tc>
          <w:tcPr>
            <w:tcW w:type="dxa" w:w="3135"/>
            <w:shd w:val="clear" w:color="auto" w:fill="F0F0FF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CORS — only LPU domains allowed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`Access-Control-Allow-Methods`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`GET, OPTIONS`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Restricted HTTP methods</w:t>
            </w:r>
          </w:p>
        </w:tc>
      </w:tr>
      <w:tr>
        <w:tc>
          <w:tcPr>
            <w:tcW w:type="dxa" w:w="3135"/>
            <w:shd w:val="clear" w:color="auto" w:fill="F0F0FF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`Cross-Origin-Resource-Policy`</w:t>
            </w:r>
          </w:p>
        </w:tc>
        <w:tc>
          <w:tcPr>
            <w:tcW w:type="dxa" w:w="3135"/>
            <w:shd w:val="clear" w:color="auto" w:fill="F0F0FF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`cross-origin`</w:t>
            </w:r>
          </w:p>
        </w:tc>
        <w:tc>
          <w:tcPr>
            <w:tcW w:type="dxa" w:w="3135"/>
            <w:shd w:val="clear" w:color="auto" w:fill="F0F0FF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Resource sharing policy</w:t>
            </w:r>
          </w:p>
        </w:tc>
      </w:tr>
    </w:tbl>
    <w:p/>
    <w:p>
      <w:pPr>
        <w:spacing w:before="80" w:after="80"/>
        <w:ind w:left="504"/>
        <w:pBdr>
          <w:left w:val="single" w:sz="12" w:space="6" w:color="6C63FF"/>
        </w:pBdr>
      </w:pPr>
      <w:r>
        <w:rPr>
          <w:rFonts w:ascii="Calibri" w:hAnsi="Calibri"/>
          <w:i/>
          <w:color w:val="444466"/>
          <w:sz w:val="20"/>
        </w:rPr>
        <w:t>Critical integration constraint: The CORS policy `access-control-allow-origin: https://*.lpu.in` completely blocks browser-based cross-origin requests from any non-LPU domain. Paladeium cannot call UMS APIs directly from the mobile app. All UMS data access must route through Paladeium's own backend.</w:t>
      </w:r>
    </w:p>
    <w:p>
      <w:pPr>
        <w:pBdr>
          <w:bottom w:val="single" w:sz="4" w:space="1" w:color="CCCCCC"/>
        </w:pBdr>
        <w:spacing w:before="80" w:after="80"/>
      </w:pPr>
    </w:p>
    <w:p>
      <w:pPr>
        <w:spacing w:before="360" w:after="80"/>
        <w:pBdr>
          <w:bottom w:val="single" w:sz="6" w:space="1" w:color="6C63FF"/>
        </w:pBdr>
      </w:pPr>
      <w:r>
        <w:rPr>
          <w:rFonts w:ascii="Calibri" w:hAnsi="Calibri"/>
          <w:b/>
          <w:color w:val="16213E"/>
          <w:sz w:val="26"/>
        </w:rPr>
        <w:t>6. AUTHENTICATION MODEL</w:t>
      </w:r>
    </w:p>
    <w:p>
      <w:pPr>
        <w:spacing w:before="240" w:after="60"/>
      </w:pPr>
      <w:r>
        <w:rPr>
          <w:rFonts w:ascii="Calibri" w:hAnsi="Calibri"/>
          <w:b/>
          <w:color w:val="0F3D6B"/>
          <w:sz w:val="24"/>
        </w:rPr>
        <w:t>Mechanism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ASP.NET Cookie-Based Session Authentication</w:t>
      </w:r>
      <w:r>
        <w:rPr>
          <w:rFonts w:ascii="Calibri" w:hAnsi="Calibri"/>
          <w:sz w:val="21"/>
        </w:rPr>
      </w:r>
    </w:p>
    <w:p>
      <w:pPr>
        <w:spacing w:before="240" w:after="60"/>
      </w:pPr>
      <w:r>
        <w:rPr>
          <w:rFonts w:ascii="Calibri" w:hAnsi="Calibri"/>
          <w:b/>
          <w:color w:val="0F3D6B"/>
          <w:sz w:val="24"/>
        </w:rPr>
        <w:t>Login Flow</w:t>
      </w:r>
    </w:p>
    <w:p>
      <w:pPr>
        <w:spacing w:before="80" w:after="80"/>
        <w:ind w:left="288" w:right="288"/>
        <w:shd w:val="clear" w:color="auto" w:fill="F0F0F5"/>
      </w:pPr>
      <w:r>
        <w:rPr>
          <w:rFonts w:ascii="Courier New" w:hAnsi="Courier New"/>
          <w:color w:val="1A1A2E"/>
          <w:sz w:val="17"/>
        </w:rPr>
        <w:t>STEP 1 — Credential Submission</w:t>
        <w:br/>
        <w:t xml:space="preserve">  Client → POST ums.lpu.in/lpuums/</w:t>
        <w:br/>
        <w:t xml:space="preserve">  Content-Type: application/x-www-form-urlencoded</w:t>
        <w:br/>
        <w:t xml:space="preserve">  Body: __VIEWSTATE=[base64], __EVENTVALIDATION=[token],</w:t>
        <w:br/>
        <w:t xml:space="preserve">        RegistrationNo=[reg_no], Password=[password]</w:t>
        <w:br/>
        <w:br/>
        <w:t>STEP 2 — Server Validation</w:t>
        <w:br/>
        <w:t xml:space="preserve">  IIS → ASP.NET WebForms runtime</w:t>
        <w:br/>
        <w:t xml:space="preserve">  Deserializes __VIEWSTATE</w:t>
        <w:br/>
        <w:t xml:space="preserve">  Validates credentials against SQL Server</w:t>
        <w:br/>
        <w:t xml:space="preserve">  Creates server-side session object on success</w:t>
        <w:br/>
        <w:br/>
        <w:t>STEP 3 — Session Cookie Issued</w:t>
        <w:br/>
        <w:t xml:space="preserve">  Response: Set-Cookie: ASP.NET_SessionId=[token]; path=/; HttpOnly; SameSite=Lax</w:t>
        <w:br/>
        <w:br/>
        <w:t>STEP 4 — Authenticated Requests</w:t>
        <w:br/>
        <w:t xml:space="preserve">  All subsequent requests: Cookie: ASP.NET_SessionId=[token]</w:t>
        <w:br/>
        <w:t xml:space="preserve">  Server returns user-specific HTML</w:t>
      </w:r>
    </w:p>
    <w:p>
      <w:pPr>
        <w:spacing w:before="240" w:after="60"/>
      </w:pPr>
      <w:r>
        <w:rPr>
          <w:rFonts w:ascii="Calibri" w:hAnsi="Calibri"/>
          <w:b/>
          <w:color w:val="0F3D6B"/>
          <w:sz w:val="24"/>
        </w:rPr>
        <w:t>Cookie Properties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Property</w:t>
            </w:r>
          </w:p>
        </w:tc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Value</w:t>
            </w:r>
          </w:p>
        </w:tc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Security Note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Name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`ASP.NET_SessionId`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Standard ASP.NET session cookie name</w:t>
            </w:r>
          </w:p>
        </w:tc>
      </w:tr>
      <w:tr>
        <w:tc>
          <w:tcPr>
            <w:tcW w:type="dxa" w:w="3135"/>
            <w:shd w:val="clear" w:color="auto" w:fill="F0F0FF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HttpOnly</w:t>
            </w:r>
          </w:p>
        </w:tc>
        <w:tc>
          <w:tcPr>
            <w:tcW w:type="dxa" w:w="3135"/>
            <w:shd w:val="clear" w:color="auto" w:fill="F0F0FF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Yes</w:t>
            </w:r>
          </w:p>
        </w:tc>
        <w:tc>
          <w:tcPr>
            <w:tcW w:type="dxa" w:w="3135"/>
            <w:shd w:val="clear" w:color="auto" w:fill="F0F0FF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JavaScript cannot read it (XSS protection)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SameSite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`Lax`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Mitigates CSRF from cross-site form POSTs</w:t>
            </w:r>
          </w:p>
        </w:tc>
      </w:tr>
      <w:tr>
        <w:tc>
          <w:tcPr>
            <w:tcW w:type="dxa" w:w="3135"/>
            <w:shd w:val="clear" w:color="auto" w:fill="F0F0FF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Secure</w:t>
            </w:r>
          </w:p>
        </w:tc>
        <w:tc>
          <w:tcPr>
            <w:tcW w:type="dxa" w:w="3135"/>
            <w:shd w:val="clear" w:color="auto" w:fill="F0F0FF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Implied via HSTS</w:t>
            </w:r>
          </w:p>
        </w:tc>
        <w:tc>
          <w:tcPr>
            <w:tcW w:type="dxa" w:w="3135"/>
            <w:shd w:val="clear" w:color="auto" w:fill="F0F0FF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All traffic is HTTPS-only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Expiry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Session (no Max-Age)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Deleted when browser closes</w:t>
            </w:r>
          </w:p>
        </w:tc>
      </w:tr>
    </w:tbl>
    <w:p/>
    <w:p>
      <w:pPr>
        <w:spacing w:before="240" w:after="60"/>
      </w:pPr>
      <w:r>
        <w:rPr>
          <w:rFonts w:ascii="Calibri" w:hAnsi="Calibri"/>
          <w:b/>
          <w:color w:val="0F3D6B"/>
          <w:sz w:val="24"/>
        </w:rPr>
        <w:t>What Does NOT Exist on UMS Web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No OAuth2 / OpenID Connect server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No JWT or Bearer token authentication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No public SSO endpoint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No developer portal or API documentation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No API key mechanism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No REST/JSON native API for students</w:t>
      </w:r>
    </w:p>
    <w:p>
      <w:pPr>
        <w:pBdr>
          <w:bottom w:val="single" w:sz="4" w:space="1" w:color="CCCCCC"/>
        </w:pBdr>
        <w:spacing w:before="80" w:after="80"/>
      </w:pPr>
    </w:p>
    <w:p>
      <w:pPr>
        <w:spacing w:before="360" w:after="80"/>
        <w:pBdr>
          <w:bottom w:val="single" w:sz="6" w:space="1" w:color="6C63FF"/>
        </w:pBdr>
      </w:pPr>
      <w:r>
        <w:rPr>
          <w:rFonts w:ascii="Calibri" w:hAnsi="Calibri"/>
          <w:b/>
          <w:color w:val="16213E"/>
          <w:sz w:val="26"/>
        </w:rPr>
        <w:t>7. API INVENTORY</w:t>
      </w:r>
    </w:p>
    <w:p>
      <w:pPr>
        <w:spacing w:before="40" w:after="80"/>
      </w:pPr>
      <w:r>
        <w:rPr>
          <w:rFonts w:ascii="Calibri" w:hAnsi="Calibri"/>
          <w:sz w:val="21"/>
        </w:rPr>
        <w:t>UMS does not expose a public REST API. All data is delivered as server-rendered HTML.</w:t>
      </w:r>
    </w:p>
    <w:p>
      <w:pPr>
        <w:spacing w:before="240" w:after="60"/>
      </w:pPr>
      <w:r>
        <w:rPr>
          <w:rFonts w:ascii="Calibri" w:hAnsi="Calibri"/>
          <w:b/>
          <w:color w:val="0F3D6B"/>
          <w:sz w:val="24"/>
        </w:rPr>
        <w:t>7.1 Confirmed Public Endpoints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Path</w:t>
            </w:r>
          </w:p>
        </w:tc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Format</w:t>
            </w:r>
          </w:p>
        </w:tc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Auth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`/`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GET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Static HTML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None</w:t>
            </w:r>
          </w:p>
        </w:tc>
      </w:tr>
      <w:tr>
        <w:tc>
          <w:tcPr>
            <w:tcW w:type="dxa" w:w="2351"/>
            <w:shd w:val="clear" w:color="auto" w:fill="F0F0FF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`/lpuums/`</w:t>
            </w:r>
          </w:p>
        </w:tc>
        <w:tc>
          <w:tcPr>
            <w:tcW w:type="dxa" w:w="2351"/>
            <w:shd w:val="clear" w:color="auto" w:fill="F0F0FF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GET/POST</w:t>
            </w:r>
          </w:p>
        </w:tc>
        <w:tc>
          <w:tcPr>
            <w:tcW w:type="dxa" w:w="2351"/>
            <w:shd w:val="clear" w:color="auto" w:fill="F0F0FF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HTML (WebForms)</w:t>
            </w:r>
          </w:p>
        </w:tc>
        <w:tc>
          <w:tcPr>
            <w:tcW w:type="dxa" w:w="2351"/>
            <w:shd w:val="clear" w:color="auto" w:fill="F0F0FF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None → Session after login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`/econnect/`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GET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HTML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Session</w:t>
            </w:r>
          </w:p>
        </w:tc>
      </w:tr>
      <w:tr>
        <w:tc>
          <w:tcPr>
            <w:tcW w:type="dxa" w:w="2351"/>
            <w:shd w:val="clear" w:color="auto" w:fill="F0F0FF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`/myclass/`</w:t>
            </w:r>
          </w:p>
        </w:tc>
        <w:tc>
          <w:tcPr>
            <w:tcW w:type="dxa" w:w="2351"/>
            <w:shd w:val="clear" w:color="auto" w:fill="F0F0FF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GET</w:t>
            </w:r>
          </w:p>
        </w:tc>
        <w:tc>
          <w:tcPr>
            <w:tcW w:type="dxa" w:w="2351"/>
            <w:shd w:val="clear" w:color="auto" w:fill="F0F0FF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HTML</w:t>
            </w:r>
          </w:p>
        </w:tc>
        <w:tc>
          <w:tcPr>
            <w:tcW w:type="dxa" w:w="2351"/>
            <w:shd w:val="clear" w:color="auto" w:fill="F0F0FF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Session (issues ASP.NET_SessionId)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`/mobile/frmDisplayAnnouncement.aspx?aid={id}&amp;tbl=Online`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GET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HTML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Session</w:t>
            </w:r>
          </w:p>
        </w:tc>
      </w:tr>
      <w:tr>
        <w:tc>
          <w:tcPr>
            <w:tcW w:type="dxa" w:w="2351"/>
            <w:shd w:val="clear" w:color="auto" w:fill="F0F0FF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`/mobile/frmDisplayAnnouncement.aspx?aid={id}&amp;tbl=StuGen`</w:t>
            </w:r>
          </w:p>
        </w:tc>
        <w:tc>
          <w:tcPr>
            <w:tcW w:type="dxa" w:w="2351"/>
            <w:shd w:val="clear" w:color="auto" w:fill="F0F0FF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GET</w:t>
            </w:r>
          </w:p>
        </w:tc>
        <w:tc>
          <w:tcPr>
            <w:tcW w:type="dxa" w:w="2351"/>
            <w:shd w:val="clear" w:color="auto" w:fill="F0F0FF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HTML</w:t>
            </w:r>
          </w:p>
        </w:tc>
        <w:tc>
          <w:tcPr>
            <w:tcW w:type="dxa" w:w="2351"/>
            <w:shd w:val="clear" w:color="auto" w:fill="F0F0FF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Session</w:t>
            </w:r>
          </w:p>
        </w:tc>
      </w:tr>
    </w:tbl>
    <w:p/>
    <w:p>
      <w:pPr>
        <w:spacing w:before="240" w:after="60"/>
      </w:pPr>
      <w:r>
        <w:rPr>
          <w:rFonts w:ascii="Calibri" w:hAnsi="Calibri"/>
          <w:b/>
          <w:color w:val="0F3D6B"/>
          <w:sz w:val="24"/>
        </w:rPr>
        <w:t>7.2 SOAP Web Service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`/umswebservice/umswebservice.svc`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WCF SOAP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Web service base</w:t>
            </w:r>
          </w:p>
        </w:tc>
      </w:tr>
      <w:tr>
        <w:tc>
          <w:tcPr>
            <w:tcW w:type="dxa" w:w="3135"/>
            <w:shd w:val="clear" w:color="auto" w:fill="F0F0FF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`/umswebservice/umswebservice.svc/PVR`</w:t>
            </w:r>
          </w:p>
        </w:tc>
        <w:tc>
          <w:tcPr>
            <w:tcW w:type="dxa" w:w="3135"/>
            <w:shd w:val="clear" w:color="auto" w:fill="F0F0FF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WCF SOAP</w:t>
            </w:r>
          </w:p>
        </w:tc>
        <w:tc>
          <w:tcPr>
            <w:tcW w:type="dxa" w:w="3135"/>
            <w:shd w:val="clear" w:color="auto" w:fill="F0F0FF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Visitor Pass Registration</w:t>
            </w:r>
          </w:p>
        </w:tc>
      </w:tr>
    </w:tbl>
    <w:p/>
    <w:p>
      <w:pPr>
        <w:spacing w:before="240" w:after="60"/>
      </w:pPr>
      <w:r>
        <w:rPr>
          <w:rFonts w:ascii="Calibri" w:hAnsi="Calibri"/>
          <w:b/>
          <w:color w:val="0F3D6B"/>
          <w:sz w:val="24"/>
        </w:rPr>
        <w:t>7.3 OBP REST API (Staff/Admin Only)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1A2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4703"/>
            <w:shd w:val="clear" w:color="auto" w:fill="1A1A2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`/obpapi/api/OBPDashboard/GetOBPDashboardStaffAllocations`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Staff allocation dashboard</w:t>
            </w:r>
          </w:p>
        </w:tc>
      </w:tr>
      <w:tr>
        <w:tc>
          <w:tcPr>
            <w:tcW w:type="dxa" w:w="4703"/>
            <w:shd w:val="clear" w:color="auto" w:fill="F0F0FF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`/obpapi/api/OBPDashboard/GetOBPDashboardStaffPercentage`</w:t>
            </w:r>
          </w:p>
        </w:tc>
        <w:tc>
          <w:tcPr>
            <w:tcW w:type="dxa" w:w="4703"/>
            <w:shd w:val="clear" w:color="auto" w:fill="F0F0FF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Staff performance %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`/obpapi/api/OBPDashboard/GetOBPDashboardStaffStageProgress`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Stage progress</w:t>
            </w:r>
          </w:p>
        </w:tc>
      </w:tr>
      <w:tr>
        <w:tc>
          <w:tcPr>
            <w:tcW w:type="dxa" w:w="4703"/>
            <w:shd w:val="clear" w:color="auto" w:fill="F0F0FF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`/obpapi/api/MetricAllocation/GetAllocationHead`</w:t>
            </w:r>
          </w:p>
        </w:tc>
        <w:tc>
          <w:tcPr>
            <w:tcW w:type="dxa" w:w="4703"/>
            <w:shd w:val="clear" w:color="auto" w:fill="F0F0FF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Metric allocation head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`/obpapi/api/MetricAllocation/GetAllocationAllSelective`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Selective allocation data</w:t>
            </w:r>
          </w:p>
        </w:tc>
      </w:tr>
      <w:tr>
        <w:tc>
          <w:tcPr>
            <w:tcW w:type="dxa" w:w="4703"/>
            <w:shd w:val="clear" w:color="auto" w:fill="F0F0FF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`/obpapi/api/MeetingMinutes/GetPlannerSessionsMeetings`</w:t>
            </w:r>
          </w:p>
        </w:tc>
        <w:tc>
          <w:tcPr>
            <w:tcW w:type="dxa" w:w="4703"/>
            <w:shd w:val="clear" w:color="auto" w:fill="F0F0FF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Meeting planner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sz w:val="21"/>
        </w:rPr>
        <w:t xml:space="preserve">These OBP endpoints return JSON and follow REST conventions. However, they are </w:t>
      </w:r>
      <w:r>
        <w:rPr>
          <w:rFonts w:ascii="Calibri" w:hAnsi="Calibri"/>
          <w:b/>
          <w:sz w:val="21"/>
        </w:rPr>
        <w:t>staff/admin-only</w:t>
      </w:r>
      <w:r>
        <w:rPr>
          <w:rFonts w:ascii="Calibri" w:hAnsi="Calibri"/>
          <w:sz w:val="21"/>
        </w:rPr>
        <w:t xml:space="preserve"> and require separate authorization. Not accessible to students.</w:t>
      </w:r>
    </w:p>
    <w:p>
      <w:pPr>
        <w:pBdr>
          <w:bottom w:val="single" w:sz="4" w:space="1" w:color="CCCCCC"/>
        </w:pBdr>
        <w:spacing w:before="80" w:after="80"/>
      </w:pPr>
    </w:p>
    <w:p>
      <w:pPr>
        <w:spacing w:before="360" w:after="80"/>
        <w:pBdr>
          <w:bottom w:val="single" w:sz="6" w:space="1" w:color="6C63FF"/>
        </w:pBdr>
      </w:pPr>
      <w:r>
        <w:rPr>
          <w:rFonts w:ascii="Calibri" w:hAnsi="Calibri"/>
          <w:b/>
          <w:color w:val="16213E"/>
          <w:sz w:val="26"/>
        </w:rPr>
        <w:t>8. DATA DOMAINS AVAILABLE TO AUTHENTICATED STUDENTS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Domain</w:t>
            </w:r>
          </w:p>
        </w:tc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Format</w:t>
            </w:r>
          </w:p>
        </w:tc>
        <w:tc>
          <w:tcPr>
            <w:tcW w:type="dxa" w:w="3135"/>
            <w:shd w:val="clear" w:color="auto" w:fill="1A1A2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Fields Available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Student Profile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HTML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Name, reg_no, program, section, DOB, CGPA, phone, roll_number, photo (base64)</w:t>
            </w:r>
          </w:p>
        </w:tc>
      </w:tr>
      <w:tr>
        <w:tc>
          <w:tcPr>
            <w:tcW w:type="dxa" w:w="3135"/>
            <w:shd w:val="clear" w:color="auto" w:fill="F0F0FF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Attendance</w:t>
            </w:r>
          </w:p>
        </w:tc>
        <w:tc>
          <w:tcPr>
            <w:tcW w:type="dxa" w:w="3135"/>
            <w:shd w:val="clear" w:color="auto" w:fill="F0F0FF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HTML</w:t>
            </w:r>
          </w:p>
        </w:tc>
        <w:tc>
          <w:tcPr>
            <w:tcW w:type="dxa" w:w="3135"/>
            <w:shd w:val="clear" w:color="auto" w:fill="F0F0FF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Aggregate %, per-subject breakdown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Timetable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HTML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Day, time slot, subject, room, faculty</w:t>
            </w:r>
          </w:p>
        </w:tc>
      </w:tr>
      <w:tr>
        <w:tc>
          <w:tcPr>
            <w:tcW w:type="dxa" w:w="3135"/>
            <w:shd w:val="clear" w:color="auto" w:fill="F0F0FF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Grades / Marks</w:t>
            </w:r>
          </w:p>
        </w:tc>
        <w:tc>
          <w:tcPr>
            <w:tcW w:type="dxa" w:w="3135"/>
            <w:shd w:val="clear" w:color="auto" w:fill="F0F0FF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HTML</w:t>
            </w:r>
          </w:p>
        </w:tc>
        <w:tc>
          <w:tcPr>
            <w:tcW w:type="dxa" w:w="3135"/>
            <w:shd w:val="clear" w:color="auto" w:fill="F0F0FF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Assessment-wise marks, max marks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Announcements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HTML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University-wide and section-specific</w:t>
            </w:r>
          </w:p>
        </w:tc>
      </w:tr>
      <w:tr>
        <w:tc>
          <w:tcPr>
            <w:tcW w:type="dxa" w:w="3135"/>
            <w:shd w:val="clear" w:color="auto" w:fill="F0F0FF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Internal Messages</w:t>
            </w:r>
          </w:p>
        </w:tc>
        <w:tc>
          <w:tcPr>
            <w:tcW w:type="dxa" w:w="3135"/>
            <w:shd w:val="clear" w:color="auto" w:fill="F0F0FF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HTML</w:t>
            </w:r>
          </w:p>
        </w:tc>
        <w:tc>
          <w:tcPr>
            <w:tcW w:type="dxa" w:w="3135"/>
            <w:shd w:val="clear" w:color="auto" w:fill="F0F0FF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Inbox from faculty/admin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Fee Status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HTML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Payment history, outstanding dues</w:t>
            </w:r>
          </w:p>
        </w:tc>
      </w:tr>
      <w:tr>
        <w:tc>
          <w:tcPr>
            <w:tcW w:type="dxa" w:w="3135"/>
            <w:shd w:val="clear" w:color="auto" w:fill="F0F0FF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Exam Schedule</w:t>
            </w:r>
          </w:p>
        </w:tc>
        <w:tc>
          <w:tcPr>
            <w:tcW w:type="dxa" w:w="3135"/>
            <w:shd w:val="clear" w:color="auto" w:fill="F0F0FF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HTML</w:t>
            </w:r>
          </w:p>
        </w:tc>
        <w:tc>
          <w:tcPr>
            <w:tcW w:type="dxa" w:w="3135"/>
            <w:shd w:val="clear" w:color="auto" w:fill="F0F0FF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Datesheet with venue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EduRev/GROW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HTML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Applications, approvals, credits</w:t>
            </w:r>
          </w:p>
        </w:tc>
      </w:tr>
      <w:tr>
        <w:tc>
          <w:tcPr>
            <w:tcW w:type="dxa" w:w="3135"/>
            <w:shd w:val="clear" w:color="auto" w:fill="F0F0FF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Certificates</w:t>
            </w:r>
          </w:p>
        </w:tc>
        <w:tc>
          <w:tcPr>
            <w:tcW w:type="dxa" w:w="3135"/>
            <w:shd w:val="clear" w:color="auto" w:fill="F0F0FF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HTML</w:t>
            </w:r>
          </w:p>
        </w:tc>
        <w:tc>
          <w:tcPr>
            <w:tcW w:type="dxa" w:w="3135"/>
            <w:shd w:val="clear" w:color="auto" w:fill="F0F0FF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Request status, tracking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RMS Requests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HTML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Administrative request status</w:t>
            </w:r>
          </w:p>
        </w:tc>
      </w:tr>
    </w:tbl>
    <w:p/>
    <w:p>
      <w:pPr>
        <w:pBdr>
          <w:bottom w:val="single" w:sz="4" w:space="1" w:color="CCCCCC"/>
        </w:pBdr>
        <w:spacing w:before="80" w:after="80"/>
      </w:pPr>
    </w:p>
    <w:p>
      <w:pPr>
        <w:spacing w:before="360" w:after="80"/>
        <w:pBdr>
          <w:bottom w:val="single" w:sz="6" w:space="1" w:color="6C63FF"/>
        </w:pBdr>
      </w:pPr>
      <w:r>
        <w:rPr>
          <w:rFonts w:ascii="Calibri" w:hAnsi="Calibri"/>
          <w:b/>
          <w:color w:val="16213E"/>
          <w:sz w:val="26"/>
        </w:rPr>
        <w:t>9. STUDENT OBJECT MODEL (COMMUNITY-DOCUMENTED)</w:t>
      </w:r>
    </w:p>
    <w:p>
      <w:pPr>
        <w:spacing w:before="40" w:after="80"/>
      </w:pPr>
      <w:r>
        <w:rPr>
          <w:rFonts w:ascii="Calibri" w:hAnsi="Calibri"/>
          <w:sz w:val="21"/>
        </w:rPr>
        <w:t>Parsed from authenticated HTML responses:</w:t>
      </w:r>
    </w:p>
    <w:p>
      <w:pPr>
        <w:spacing w:before="80" w:after="80"/>
        <w:ind w:left="288" w:right="288"/>
        <w:shd w:val="clear" w:color="auto" w:fill="F0F0F5"/>
      </w:pPr>
      <w:r>
        <w:rPr>
          <w:rFonts w:ascii="Courier New" w:hAnsi="Courier New"/>
          <w:color w:val="1A1A2E"/>
          <w:sz w:val="17"/>
        </w:rPr>
        <w:t>interface UMSStudent {</w:t>
        <w:br/>
        <w:t xml:space="preserve">  registration_number: string;  // e.g. "12213XXXX"</w:t>
        <w:br/>
        <w:t xml:space="preserve">  name:                string;  // "First Last"</w:t>
        <w:br/>
        <w:t xml:space="preserve">  program:             string;  // "B.Tech (CSE) - P164-NN1"</w:t>
        <w:br/>
        <w:t xml:space="preserve">  section:             string;  // "K21FA"</w:t>
        <w:br/>
        <w:t xml:space="preserve">  roll_number:         string;  // "RK21FAB60"</w:t>
        <w:br/>
        <w:t xml:space="preserve">  dob:                 string;  // "M/DD/YYYY 12:00:00 AM"</w:t>
        <w:br/>
        <w:t xml:space="preserve">  cgpa:                string;  // "8.5"</w:t>
        <w:br/>
        <w:t xml:space="preserve">  phone:               string;  // "98XXXXXXXX:1"</w:t>
        <w:br/>
        <w:t xml:space="preserve">  agg_attendance:      string;  // "82" (percentage as string)</w:t>
        <w:br/>
        <w:t xml:space="preserve">  profile_image:       string;  // base64 PNG/JPG</w:t>
        <w:br/>
        <w:t>}</w:t>
      </w:r>
    </w:p>
    <w:p>
      <w:pPr>
        <w:pBdr>
          <w:bottom w:val="single" w:sz="4" w:space="1" w:color="CCCCCC"/>
        </w:pBdr>
        <w:spacing w:before="80" w:after="80"/>
      </w:pPr>
    </w:p>
    <w:p>
      <w:pPr>
        <w:spacing w:before="360" w:after="80"/>
        <w:pBdr>
          <w:bottom w:val="single" w:sz="6" w:space="1" w:color="6C63FF"/>
        </w:pBdr>
      </w:pPr>
      <w:r>
        <w:rPr>
          <w:rFonts w:ascii="Calibri" w:hAnsi="Calibri"/>
          <w:b/>
          <w:color w:val="16213E"/>
          <w:sz w:val="26"/>
        </w:rPr>
        <w:t>10. ARCHITECTURE DIAGRAM</w:t>
      </w:r>
    </w:p>
    <w:p>
      <w:pPr>
        <w:spacing w:before="80" w:after="80"/>
        <w:ind w:left="288" w:right="288"/>
        <w:shd w:val="clear" w:color="auto" w:fill="F0F0F5"/>
      </w:pPr>
      <w:r>
        <w:rPr>
          <w:rFonts w:ascii="Courier New" w:hAnsi="Courier New"/>
          <w:color w:val="1A1A2E"/>
          <w:sz w:val="17"/>
        </w:rPr>
        <w:t xml:space="preserve">                         INTERNET</w:t>
        <w:br/>
        <w:t xml:space="preserve">                             │</w:t>
        <w:br/>
        <w:t xml:space="preserve">                ┌────────────▼────────────┐</w:t>
        <w:br/>
        <w:t xml:space="preserve">                │     Cloudflare CDN      │</w:t>
        <w:br/>
        <w:t xml:space="preserve">                │   DNS + DDoS + Proxy    │</w:t>
        <w:br/>
        <w:t xml:space="preserve">                └────────────┬────────────┘</w:t>
        <w:br/>
        <w:t xml:space="preserve">                             │ HTTPS/2</w:t>
        <w:br/>
        <w:t xml:space="preserve">                             │ DigiCert *.lpu.in wildcard</w:t>
        <w:br/>
        <w:t xml:space="preserve">                ┌────────────▼────────────┐</w:t>
        <w:br/>
        <w:t xml:space="preserve">                │   Microsoft IIS 10.0    │</w:t>
        <w:br/>
        <w:t xml:space="preserve">                │   Windows Server        │</w:t>
        <w:br/>
        <w:t xml:space="preserve">                │   Origin: 172.19.2.250  │</w:t>
        <w:br/>
        <w:t xml:space="preserve">                └────────────┬────────────┘</w:t>
        <w:br/>
        <w:t xml:space="preserve">                             │</w:t>
        <w:br/>
        <w:t xml:space="preserve">                ┌────────────▼────────────┐</w:t>
        <w:br/>
        <w:t xml:space="preserve">                │    ASP.NET WebForms     │</w:t>
        <w:br/>
        <w:t xml:space="preserve">                │    (.aspx pages)        │</w:t>
        <w:br/>
        <w:t xml:space="preserve">                └───┬──────┬─────┬────────┘</w:t>
        <w:br/>
        <w:t xml:space="preserve">                    │      │     │</w:t>
        <w:br/>
        <w:t xml:space="preserve">          ┌─────────▼┐  ┌──▼──┐  ┌▼──────────────┐</w:t>
        <w:br/>
        <w:t xml:space="preserve">          │ /lpuums/ │  │/econ│  │ /umswebservice/│</w:t>
        <w:br/>
        <w:t xml:space="preserve">          │  Student │  │nect/│  │  (WCF SOAP)    │</w:t>
        <w:br/>
        <w:t xml:space="preserve">          │  Portal  │  │     │  └────────────────┘</w:t>
        <w:br/>
        <w:t xml:space="preserve">          └─────┬────┘  └──┬──┘</w:t>
        <w:br/>
        <w:t xml:space="preserve">                │          │        ┌───────────────┐</w:t>
        <w:br/>
        <w:t xml:space="preserve">                │          │        │ /obpapi/api/  │</w:t>
        <w:br/>
        <w:t xml:space="preserve">                │          │        │ (Staff REST)  │</w:t>
        <w:br/>
        <w:t xml:space="preserve">                │          │        └───────────────┘</w:t>
        <w:br/>
        <w:t xml:space="preserve">                └──────────┴───────────────┐</w:t>
        <w:br/>
        <w:t xml:space="preserve">                                           │</w:t>
        <w:br/>
        <w:t xml:space="preserve">                ┌──────────────────────────▼──────┐</w:t>
        <w:br/>
        <w:t xml:space="preserve">                │       Microsoft SQL Server       │</w:t>
        <w:br/>
        <w:t xml:space="preserve">                │       (Primary Database)         │</w:t>
        <w:br/>
        <w:t xml:space="preserve">                │                                  │</w:t>
        <w:br/>
        <w:t xml:space="preserve">                │  Students | Attendance | Marks   │</w:t>
        <w:br/>
        <w:t xml:space="preserve">                │  Timetable | Announcements | Fees│</w:t>
        <w:br/>
        <w:t xml:space="preserve">                │  Sessions | EduRev | Certs | RMS │</w:t>
        <w:br/>
        <w:t xml:space="preserve">                └──────────────────────────────────┘</w:t>
      </w:r>
    </w:p>
    <w:p>
      <w:pPr>
        <w:pBdr>
          <w:bottom w:val="single" w:sz="4" w:space="1" w:color="CCCCCC"/>
        </w:pBdr>
        <w:spacing w:before="80" w:after="80"/>
      </w:pPr>
    </w:p>
    <w:p>
      <w:pPr>
        <w:spacing w:before="360" w:after="80"/>
        <w:pBdr>
          <w:bottom w:val="single" w:sz="6" w:space="1" w:color="6C63FF"/>
        </w:pBdr>
      </w:pPr>
      <w:r>
        <w:rPr>
          <w:rFonts w:ascii="Calibri" w:hAnsi="Calibri"/>
          <w:b/>
          <w:color w:val="16213E"/>
          <w:sz w:val="26"/>
        </w:rPr>
        <w:t>11. INTEGRATION FEASIBILITY FOR PALADEIUM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Approach</w:t>
            </w:r>
          </w:p>
        </w:tc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Feasibility</w:t>
            </w:r>
          </w:p>
        </w:tc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Security</w:t>
            </w:r>
          </w:p>
        </w:tc>
        <w:tc>
          <w:tcPr>
            <w:tcW w:type="dxa" w:w="2351"/>
            <w:shd w:val="clear" w:color="auto" w:fill="1A1A2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Recommended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Official OAuth2/SSO (doesn't exist yet)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HIGH (if LPU agrees)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Excellent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Yes — for production</w:t>
            </w:r>
          </w:p>
        </w:tc>
      </w:tr>
      <w:tr>
        <w:tc>
          <w:tcPr>
            <w:tcW w:type="dxa" w:w="2351"/>
            <w:shd w:val="clear" w:color="auto" w:fill="F0F0FF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Credential relay via `mobileapi.lpu.in`</w:t>
            </w:r>
          </w:p>
        </w:tc>
        <w:tc>
          <w:tcPr>
            <w:tcW w:type="dxa" w:w="2351"/>
            <w:shd w:val="clear" w:color="auto" w:fill="F0F0FF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HIGH</w:t>
            </w:r>
          </w:p>
        </w:tc>
        <w:tc>
          <w:tcPr>
            <w:tcW w:type="dxa" w:w="2351"/>
            <w:shd w:val="clear" w:color="auto" w:fill="F0F0FF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Acceptable (hackathon only)</w:t>
            </w:r>
          </w:p>
        </w:tc>
        <w:tc>
          <w:tcPr>
            <w:tcW w:type="dxa" w:w="2351"/>
            <w:shd w:val="clear" w:color="auto" w:fill="F0F0FF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Yes — for demo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HTML scraping via session cookie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HIGH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Acceptable (hackathon only)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Fallback only</w:t>
            </w:r>
          </w:p>
        </w:tc>
      </w:tr>
      <w:tr>
        <w:tc>
          <w:tcPr>
            <w:tcW w:type="dxa" w:w="2351"/>
            <w:shd w:val="clear" w:color="auto" w:fill="F0F0FF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Direct browser CORS calls</w:t>
            </w:r>
          </w:p>
        </w:tc>
        <w:tc>
          <w:tcPr>
            <w:tcW w:type="dxa" w:w="2351"/>
            <w:shd w:val="clear" w:color="auto" w:fill="F0F0FF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NOT POSSIBLE</w:t>
            </w:r>
          </w:p>
        </w:tc>
        <w:tc>
          <w:tcPr>
            <w:tcW w:type="dxa" w:w="2351"/>
            <w:shd w:val="clear" w:color="auto" w:fill="F0F0FF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2351"/>
            <w:shd w:val="clear" w:color="auto" w:fill="F0F0FF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No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Scraping as production architecture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Poor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No</w:t>
            </w:r>
          </w:p>
        </w:tc>
      </w:tr>
    </w:tbl>
    <w:p/>
    <w:p>
      <w:pPr>
        <w:spacing w:before="240" w:after="60"/>
      </w:pPr>
      <w:r>
        <w:rPr>
          <w:rFonts w:ascii="Calibri" w:hAnsi="Calibri"/>
          <w:b/>
          <w:color w:val="0F3D6B"/>
          <w:sz w:val="24"/>
        </w:rPr>
        <w:t>Hackathon Recommendation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Use the </w:t>
      </w:r>
      <w:r>
        <w:rPr>
          <w:rFonts w:ascii="Calibri" w:hAnsi="Calibri"/>
          <w:b/>
          <w:sz w:val="21"/>
        </w:rPr>
        <w:t>LPU Touch mobile API</w:t>
      </w:r>
      <w:r>
        <w:rPr>
          <w:rFonts w:ascii="Calibri" w:hAnsi="Calibri"/>
          <w:sz w:val="21"/>
        </w:rPr>
        <w:t xml:space="preserve"> (</w:t>
      </w:r>
      <w:r>
        <w:rPr>
          <w:rFonts w:ascii="Courier New" w:hAnsi="Courier New"/>
          <w:color w:val="6C63FF"/>
          <w:sz w:val="19"/>
        </w:rPr>
        <w:t>mobileapi.lpu.in</w:t>
      </w:r>
      <w:r>
        <w:rPr>
          <w:rFonts w:ascii="Calibri" w:hAnsi="Calibri"/>
          <w:sz w:val="21"/>
        </w:rPr>
        <w:t>) rather than HTML scraping. It returns JSON and uses token auth — far more stable and reliable than parsing HTML.</w:t>
      </w:r>
    </w:p>
    <w:p>
      <w:pPr>
        <w:spacing w:before="80" w:after="80"/>
        <w:ind w:left="288" w:right="288"/>
        <w:shd w:val="clear" w:color="auto" w:fill="F0F0F5"/>
      </w:pPr>
      <w:r>
        <w:rPr>
          <w:rFonts w:ascii="Courier New" w:hAnsi="Courier New"/>
          <w:color w:val="1A1A2E"/>
          <w:sz w:val="17"/>
        </w:rPr>
        <w:t>User → enters reg_no + password in Paladeium (with consent disclosure)</w:t>
        <w:br/>
        <w:t>Paladeium backend → POST mobileapi.lpu.in/security/createToken</w:t>
        <w:br/>
        <w:t xml:space="preserve">                 → Receive NToken</w:t>
        <w:br/>
        <w:t xml:space="preserve">                 → GET mobileapi.lpu.in/api (student data in JSON)</w:t>
        <w:br/>
        <w:t xml:space="preserve">                 → Discard NToken + credentials</w:t>
        <w:br/>
        <w:t xml:space="preserve">                 → Store in Supabase: name, section, program</w:t>
      </w:r>
    </w:p>
    <w:p>
      <w:pPr>
        <w:spacing w:before="240" w:after="60"/>
      </w:pPr>
      <w:r>
        <w:rPr>
          <w:rFonts w:ascii="Calibri" w:hAnsi="Calibri"/>
          <w:b/>
          <w:color w:val="0F3D6B"/>
          <w:sz w:val="24"/>
        </w:rPr>
        <w:t>Production Recommendation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Contact </w:t>
      </w:r>
      <w:r>
        <w:rPr>
          <w:rFonts w:ascii="Calibri" w:hAnsi="Calibri"/>
          <w:b/>
          <w:sz w:val="21"/>
        </w:rPr>
        <w:t>Lovely Infotech, Block 30 — Room 405</w:t>
      </w:r>
      <w:r>
        <w:rPr>
          <w:rFonts w:ascii="Calibri" w:hAnsi="Calibri"/>
          <w:sz w:val="21"/>
        </w:rPr>
        <w:t xml:space="preserve"> to request an official OAuth2 integration agreement.</w:t>
      </w:r>
    </w:p>
    <w:p>
      <w:pPr>
        <w:pBdr>
          <w:bottom w:val="single" w:sz="4" w:space="1" w:color="CCCCCC"/>
        </w:pBdr>
        <w:spacing w:before="80" w:after="80"/>
      </w:pPr>
    </w:p>
    <w:p>
      <w:pPr>
        <w:spacing w:before="360" w:after="80"/>
        <w:pBdr>
          <w:bottom w:val="single" w:sz="6" w:space="1" w:color="6C63FF"/>
        </w:pBdr>
      </w:pPr>
      <w:r>
        <w:rPr>
          <w:rFonts w:ascii="Calibri" w:hAnsi="Calibri"/>
          <w:b/>
          <w:color w:val="16213E"/>
          <w:sz w:val="26"/>
        </w:rPr>
        <w:t>12. UNKNOWNS REQUIRING LPU CONFIRMATION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1A2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Unknown</w:t>
            </w:r>
          </w:p>
        </w:tc>
        <w:tc>
          <w:tcPr>
            <w:tcW w:type="dxa" w:w="4703"/>
            <w:shd w:val="clear" w:color="auto" w:fill="1A1A2E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How to Resolve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Full REST API endpoint map for student data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Authorized developer access</w:t>
            </w:r>
          </w:p>
        </w:tc>
      </w:tr>
      <w:tr>
        <w:tc>
          <w:tcPr>
            <w:tcW w:type="dxa" w:w="4703"/>
            <w:shd w:val="clear" w:color="auto" w:fill="F0F0FF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Whether mobileapi.lpu.in is official &amp; stable</w:t>
            </w:r>
          </w:p>
        </w:tc>
        <w:tc>
          <w:tcPr>
            <w:tcW w:type="dxa" w:w="4703"/>
            <w:shd w:val="clear" w:color="auto" w:fill="F0F0FF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Contact LPU IT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OAuth2/SSO availability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Partnership discussion</w:t>
            </w:r>
          </w:p>
        </w:tc>
      </w:tr>
      <w:tr>
        <w:tc>
          <w:tcPr>
            <w:tcW w:type="dxa" w:w="4703"/>
            <w:shd w:val="clear" w:color="auto" w:fill="F0F0FF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Rate limits and terms of service</w:t>
            </w:r>
          </w:p>
        </w:tc>
        <w:tc>
          <w:tcPr>
            <w:tcW w:type="dxa" w:w="4703"/>
            <w:shd w:val="clear" w:color="auto" w:fill="F0F0FF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LPU IT agreement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SQL Server version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LPU disclosure</w:t>
            </w:r>
          </w:p>
        </w:tc>
      </w:tr>
      <w:tr>
        <w:tc>
          <w:tcPr>
            <w:tcW w:type="dxa" w:w="4703"/>
            <w:shd w:val="clear" w:color="auto" w:fill="F0F0FF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Session timeout policy</w:t>
            </w:r>
          </w:p>
        </w:tc>
        <w:tc>
          <w:tcPr>
            <w:tcW w:type="dxa" w:w="4703"/>
            <w:shd w:val="clear" w:color="auto" w:fill="F0F0FF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Authenticated session observation</w:t>
            </w:r>
          </w:p>
        </w:tc>
      </w:tr>
    </w:tbl>
    <w:p/>
    <w:p>
      <w:pPr>
        <w:pBdr>
          <w:bottom w:val="single" w:sz="4" w:space="1" w:color="CCCCCC"/>
        </w:pBdr>
        <w:spacing w:before="80" w:after="80"/>
      </w:pPr>
    </w:p>
    <w:p>
      <w:pPr>
        <w:spacing w:before="40" w:after="80"/>
      </w:pPr>
      <w:r>
        <w:rPr>
          <w:rFonts w:ascii="Calibri" w:hAnsi="Calibri"/>
          <w:sz w:val="21"/>
        </w:rPr>
        <w:t>*Report compiled 2026-09-15. Passive observation only. No credentials stored. No security controls bypassed.*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