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Times New Roman" w:hAnsi="Times New Roman"/>
          <w:b/>
          <w:i w:val="0"/>
          <w:sz w:val="32"/>
        </w:rPr>
        <w:t>IILM UNIVERSITY, GREATER NOIDA</w:t>
      </w:r>
    </w:p>
    <w:p>
      <w:pPr>
        <w:spacing w:after="360"/>
        <w:jc w:val="center"/>
      </w:pPr>
      <w:r>
        <w:rPr>
          <w:rFonts w:ascii="Times New Roman" w:hAnsi="Times New Roman"/>
          <w:b/>
          <w:i w:val="0"/>
          <w:sz w:val="26"/>
        </w:rPr>
        <w:t>SCHOOL OF COMPUTER SCIENCE AND ENGINEERING</w:t>
      </w:r>
    </w:p>
    <w:p>
      <w:pPr>
        <w:spacing w:after="360"/>
        <w:jc w:val="center"/>
      </w:pPr>
      <w:r>
        <w:rPr>
          <w:rFonts w:ascii="Times New Roman" w:hAnsi="Times New Roman"/>
          <w:b/>
          <w:i w:val="0"/>
          <w:sz w:val="32"/>
        </w:rPr>
        <w:t>INTERNSHIP REPORT</w:t>
      </w:r>
    </w:p>
    <w:p>
      <w:pPr>
        <w:spacing w:after="400"/>
        <w:jc w:val="center"/>
      </w:pPr>
      <w:r>
        <w:rPr>
          <w:rFonts w:ascii="Times New Roman" w:hAnsi="Times New Roman"/>
          <w:b/>
          <w:i w:val="0"/>
          <w:sz w:val="30"/>
        </w:rPr>
        <w:t>Healthcare Data Analytics and 30-Day Hospital Readmission Prediction</w:t>
      </w:r>
    </w:p>
    <w:p>
      <w:pPr>
        <w:spacing w:after="120"/>
        <w:jc w:val="center"/>
      </w:pPr>
      <w:r>
        <w:rPr>
          <w:rFonts w:ascii="Times New Roman" w:hAnsi="Times New Roman"/>
          <w:b w:val="0"/>
          <w:i w:val="0"/>
          <w:sz w:val="24"/>
        </w:rPr>
        <w:t>Submitted in partial fulfillment of the requirements for the degree of</w:t>
      </w:r>
    </w:p>
    <w:p>
      <w:pPr>
        <w:spacing w:after="80"/>
        <w:jc w:val="center"/>
      </w:pPr>
      <w:r>
        <w:rPr>
          <w:rFonts w:ascii="Times New Roman" w:hAnsi="Times New Roman"/>
          <w:b/>
          <w:i w:val="0"/>
          <w:sz w:val="28"/>
        </w:rPr>
        <w:t>BACHELOR OF TECHNOLOGY</w:t>
      </w:r>
    </w:p>
    <w:p>
      <w:pPr>
        <w:spacing w:after="400"/>
        <w:jc w:val="center"/>
      </w:pPr>
      <w:r>
        <w:rPr>
          <w:rFonts w:ascii="Times New Roman" w:hAnsi="Times New Roman"/>
          <w:b/>
          <w:i w:val="0"/>
          <w:sz w:val="24"/>
        </w:rPr>
        <w:t>Computer Science and Engineering</w:t>
      </w:r>
    </w:p>
    <w:p>
      <w:pPr>
        <w:spacing w:after="80"/>
        <w:jc w:val="center"/>
      </w:pPr>
      <w:r>
        <w:rPr>
          <w:rFonts w:ascii="Times New Roman" w:hAnsi="Times New Roman"/>
          <w:b/>
          <w:i w:val="0"/>
          <w:sz w:val="24"/>
        </w:rPr>
        <w:t>Submitted By</w:t>
      </w:r>
    </w:p>
    <w:p>
      <w:pPr>
        <w:spacing w:after="80"/>
        <w:jc w:val="center"/>
      </w:pPr>
      <w:r>
        <w:rPr>
          <w:rFonts w:ascii="Times New Roman" w:hAnsi="Times New Roman"/>
          <w:b/>
          <w:i w:val="0"/>
          <w:sz w:val="26"/>
        </w:rPr>
        <w:t>SAUNDARYA KUMAR MAURYA</w:t>
      </w:r>
    </w:p>
    <w:p>
      <w:pPr>
        <w:spacing w:after="80"/>
        <w:jc w:val="center"/>
      </w:pPr>
      <w:r>
        <w:rPr>
          <w:rFonts w:ascii="Times New Roman" w:hAnsi="Times New Roman"/>
          <w:b w:val="0"/>
          <w:i w:val="0"/>
          <w:sz w:val="24"/>
        </w:rPr>
        <w:t>Roll No.: 25SCS1003003039</w:t>
      </w:r>
    </w:p>
    <w:p>
      <w:pPr>
        <w:spacing w:after="80"/>
        <w:jc w:val="center"/>
      </w:pPr>
      <w:r>
        <w:rPr>
          <w:rFonts w:ascii="Times New Roman" w:hAnsi="Times New Roman"/>
          <w:b w:val="0"/>
          <w:i w:val="0"/>
          <w:sz w:val="24"/>
        </w:rPr>
        <w:t>Batch: 2026–27</w:t>
      </w:r>
    </w:p>
    <w:p>
      <w:pPr>
        <w:spacing w:after="360"/>
        <w:jc w:val="center"/>
      </w:pPr>
      <w:r>
        <w:rPr>
          <w:rFonts w:ascii="Times New Roman" w:hAnsi="Times New Roman"/>
          <w:b w:val="0"/>
          <w:i w:val="0"/>
          <w:sz w:val="22"/>
        </w:rPr>
        <w:t>Email: Saundarya.25scs1003003039@iilm.edu</w:t>
      </w:r>
    </w:p>
    <w:p>
      <w:pPr>
        <w:spacing w:after="80"/>
        <w:jc w:val="center"/>
      </w:pPr>
      <w:r>
        <w:rPr>
          <w:rFonts w:ascii="Times New Roman" w:hAnsi="Times New Roman"/>
          <w:b/>
          <w:i w:val="0"/>
          <w:sz w:val="24"/>
        </w:rPr>
        <w:t>Internship Organization</w:t>
      </w:r>
    </w:p>
    <w:p>
      <w:pPr>
        <w:spacing w:after="80"/>
        <w:jc w:val="center"/>
      </w:pPr>
      <w:r>
        <w:rPr>
          <w:rFonts w:ascii="Times New Roman" w:hAnsi="Times New Roman"/>
          <w:b/>
          <w:i w:val="0"/>
          <w:sz w:val="26"/>
        </w:rPr>
        <w:t>YuvaIntern</w:t>
      </w:r>
    </w:p>
    <w:p>
      <w:pPr>
        <w:spacing w:after="80"/>
        <w:jc w:val="center"/>
      </w:pPr>
      <w:r>
        <w:rPr>
          <w:rFonts w:ascii="Times New Roman" w:hAnsi="Times New Roman"/>
          <w:b w:val="0"/>
          <w:i w:val="0"/>
          <w:sz w:val="24"/>
        </w:rPr>
        <w:t>Internship Area: Healthcare Data Analytics</w:t>
      </w:r>
    </w:p>
    <w:p>
      <w:pPr>
        <w:spacing w:after="400"/>
        <w:jc w:val="center"/>
      </w:pPr>
      <w:r>
        <w:rPr>
          <w:rFonts w:ascii="Times New Roman" w:hAnsi="Times New Roman"/>
          <w:b w:val="0"/>
          <w:i w:val="0"/>
          <w:sz w:val="24"/>
        </w:rPr>
        <w:t>Certificate Issue Date: 04 September 2026</w:t>
      </w:r>
    </w:p>
    <w:p>
      <w:pPr>
        <w:spacing w:after="0"/>
        <w:jc w:val="center"/>
      </w:pPr>
      <w:r>
        <w:rPr>
          <w:rFonts w:ascii="Times New Roman" w:hAnsi="Times New Roman"/>
          <w:b/>
          <w:i w:val="0"/>
          <w:sz w:val="24"/>
        </w:rPr>
        <w:t>Academic Session 2026–27</w:t>
      </w:r>
    </w:p>
    <w:p>
      <w:r>
        <w:br w:type="page"/>
      </w:r>
    </w:p>
    <w:p>
      <w:pPr>
        <w:pStyle w:val="Heading1"/>
      </w:pPr>
      <w:r>
        <w:t>DECLARATION</w:t>
      </w:r>
    </w:p>
    <w:p>
      <w:r>
        <w:t>I, SAUNDARYA KUMAR MAURYA, Roll No. 25SCS1003003039, student of Bachelor of Technology in Computer Science and Engineering at IILM University, Greater Noida, hereby declare that this internship report titled “Healthcare Data Analytics and 30-Day Hospital Readmission Prediction” presents the work carried out during my internship with YuvaIntern in the area of Healthcare Data Analytics.</w:t>
      </w:r>
    </w:p>
    <w:p>
      <w:r>
        <w:t>The report consolidates the five weekly project activities into one continuous workflow covering data extraction and cleaning, exploratory data analysis, visualization, predictive modelling, model evaluation, interpretation, and future strategies. The technical methodology and implementation described in this report are based on the project codes developed during the internship.</w:t>
      </w:r>
    </w:p>
    <w:p>
      <w:r>
        <w:t>Where numerical execution results were not available in the supplied project material, this report does not fabricate them. Such values are explicitly identified for insertion from the executed project outputs.</w:t>
      </w:r>
    </w:p>
    <w:p>
      <w:r>
        <w:t>Date: ____________________</w:t>
      </w:r>
    </w:p>
    <w:p>
      <w:r>
        <w:t>Place: Greater Noida</w:t>
      </w:r>
    </w:p>
    <w:p>
      <w:r>
        <w:t>Signature of Student: ______________________________</w:t>
      </w:r>
    </w:p>
    <w:p>
      <w:r>
        <w:br w:type="page"/>
      </w:r>
    </w:p>
    <w:p>
      <w:pPr>
        <w:pStyle w:val="Heading1"/>
      </w:pPr>
      <w:r>
        <w:t>ACKNOWLEDGEMENT</w:t>
      </w:r>
    </w:p>
    <w:p>
      <w:r>
        <w:t>I express my sincere gratitude to IILM University, Greater Noida, for providing the academic environment and opportunity to undertake this internship project. I am thankful to the School of Computer Science and Engineering for its guidance and support throughout the internship.</w:t>
      </w:r>
    </w:p>
    <w:p>
      <w:r>
        <w:t>I also express my gratitude to YuvaIntern for providing the internship opportunity in Healthcare Data Analytics. The internship enabled me to work through a complete data analytics and machine learning workflow, beginning with raw healthcare data and progressing to predictive modelling and reporting.</w:t>
      </w:r>
    </w:p>
    <w:p>
      <w:r>
        <w:t>I would like to thank my faculty members, mentors, and everyone who provided guidance, feedback, and encouragement during the completion of the project. Finally, I am grateful to my family and friends for their continuous support and motivation.</w:t>
      </w:r>
    </w:p>
    <w:p>
      <w:pPr>
        <w:spacing w:after="120"/>
        <w:jc w:val="center"/>
      </w:pPr>
      <w:r>
        <w:rPr>
          <w:rFonts w:ascii="Times New Roman" w:hAnsi="Times New Roman"/>
          <w:b/>
          <w:i w:val="0"/>
          <w:sz w:val="24"/>
        </w:rPr>
        <w:t>SAUNDARYA KUMAR MAURYA</w:t>
      </w:r>
    </w:p>
    <w:p>
      <w:r>
        <w:br w:type="page"/>
      </w:r>
    </w:p>
    <w:p>
      <w:pPr>
        <w:pStyle w:val="Heading1"/>
      </w:pPr>
      <w:r>
        <w:t>INTERNSHIP COMPLETION CERTIFICATE</w:t>
      </w:r>
    </w:p>
    <w:p>
      <w:pPr>
        <w:jc w:val="center"/>
      </w:pPr>
      <w:r>
        <w:drawing>
          <wp:inline xmlns:a="http://schemas.openxmlformats.org/drawingml/2006/main" xmlns:pic="http://schemas.openxmlformats.org/drawingml/2006/picture">
            <wp:extent cx="5577840" cy="7746440"/>
            <wp:docPr id="1" name="Picture 1"/>
            <wp:cNvGraphicFramePr>
              <a:graphicFrameLocks noChangeAspect="1"/>
            </wp:cNvGraphicFramePr>
            <a:graphic>
              <a:graphicData uri="http://schemas.openxmlformats.org/drawingml/2006/picture">
                <pic:pic>
                  <pic:nvPicPr>
                    <pic:cNvPr id="0" name="139572.png"/>
                    <pic:cNvPicPr/>
                  </pic:nvPicPr>
                  <pic:blipFill>
                    <a:blip r:embed="rId10"/>
                    <a:stretch>
                      <a:fillRect/>
                    </a:stretch>
                  </pic:blipFill>
                  <pic:spPr>
                    <a:xfrm>
                      <a:off x="0" y="0"/>
                      <a:ext cx="5577840" cy="7746440"/>
                    </a:xfrm>
                    <a:prstGeom prst="rect"/>
                  </pic:spPr>
                </pic:pic>
              </a:graphicData>
            </a:graphic>
          </wp:inline>
        </w:drawing>
      </w:r>
    </w:p>
    <w:p>
      <w:pPr>
        <w:pStyle w:val="CaptionCustom"/>
      </w:pPr>
      <w:r>
        <w:t>Figure: YuvaIntern Certificate of Completion</w:t>
      </w:r>
    </w:p>
    <w:p>
      <w:r>
        <w:br w:type="page"/>
      </w:r>
    </w:p>
    <w:p>
      <w:pPr>
        <w:pStyle w:val="Heading1"/>
      </w:pPr>
      <w:r>
        <w:t>TABLE OF CONTENTS</w:t>
      </w:r>
    </w:p>
    <w:p>
      <w:r>
        <w:fldChar w:fldCharType="begin"/>
        <w:instrText xml:space="preserve">TOC \o "1-3" \h \z \u</w:instrText>
        <w:fldChar w:fldCharType="end"/>
      </w:r>
    </w:p>
    <w:p>
      <w:r>
        <w:t>Note: If page numbers are not displayed immediately, open the document in Microsoft Word and select Update Field / Update Table of Contents.</w:t>
      </w:r>
    </w:p>
    <w:p>
      <w:r>
        <w:br w:type="page"/>
      </w:r>
    </w:p>
    <w:p>
      <w:pPr>
        <w:pStyle w:val="Heading1"/>
      </w:pPr>
      <w:r>
        <w:t>LIST OF TABLES</w:t>
      </w:r>
    </w:p>
    <w:p>
      <w:r>
        <w:t>Table 1.1 Student and Internship Details</w:t>
      </w:r>
    </w:p>
    <w:p>
      <w:r>
        <w:t>Table 3.1 Tools and Technologies Used</w:t>
      </w:r>
    </w:p>
    <w:p>
      <w:r>
        <w:t>Table 4.1 Dataset Overview</w:t>
      </w:r>
    </w:p>
    <w:p>
      <w:r>
        <w:t>Table 5.1 Week-wise Project Workflow</w:t>
      </w:r>
    </w:p>
    <w:p>
      <w:r>
        <w:t>Table 6.1 Machine Learning Models</w:t>
      </w:r>
    </w:p>
    <w:p>
      <w:r>
        <w:t>Table 7.1 Model Evaluation Metrics</w:t>
      </w:r>
    </w:p>
    <w:p>
      <w:r>
        <w:t>Table 7.2 Execution Results Status</w:t>
      </w:r>
    </w:p>
    <w:p>
      <w:r>
        <w:br w:type="page"/>
      </w:r>
    </w:p>
    <w:p>
      <w:pPr>
        <w:pStyle w:val="Heading1"/>
      </w:pPr>
      <w:r>
        <w:t>LIST OF FIGURES</w:t>
      </w:r>
    </w:p>
    <w:p>
      <w:r>
        <w:t>Figure 1. Project Workflow Architecture</w:t>
      </w:r>
    </w:p>
    <w:p>
      <w:r>
        <w:t>Figure 2. Hospital Readmission Distribution</w:t>
      </w:r>
    </w:p>
    <w:p>
      <w:r>
        <w:t>Figure 3. Hospital Stay Distribution</w:t>
      </w:r>
    </w:p>
    <w:p>
      <w:r>
        <w:t>Figure 4. Hospital Stay Histogram</w:t>
      </w:r>
    </w:p>
    <w:p>
      <w:r>
        <w:t>Figure 5. Readmission by Age Group</w:t>
      </w:r>
    </w:p>
    <w:p>
      <w:r>
        <w:t>Figure 6. Hospital Stay vs 30-Day Readmission</w:t>
      </w:r>
    </w:p>
    <w:p>
      <w:r>
        <w:t>Figure 7. Medications vs Laboratory Procedures</w:t>
      </w:r>
    </w:p>
    <w:p>
      <w:r>
        <w:t>Figure 8. Healthcare Correlation Heatmap</w:t>
      </w:r>
    </w:p>
    <w:p>
      <w:r>
        <w:t>Figure 9. Previous Inpatient Visits vs Readmission</w:t>
      </w:r>
    </w:p>
    <w:p>
      <w:r>
        <w:t>Figure 10. Medication Distribution</w:t>
      </w:r>
    </w:p>
    <w:p>
      <w:r>
        <w:t>Figure 11. Model Comparison</w:t>
      </w:r>
    </w:p>
    <w:p>
      <w:r>
        <w:t>Figure 12. Best Model Confusion Matrix</w:t>
      </w:r>
    </w:p>
    <w:p>
      <w:r>
        <w:t>Figure 13. ROC Curve Comparison</w:t>
      </w:r>
    </w:p>
    <w:p>
      <w:r>
        <w:t>Figure 14. Top 15 Random Forest Features</w:t>
      </w:r>
    </w:p>
    <w:p>
      <w:r>
        <w:br w:type="page"/>
      </w:r>
    </w:p>
    <w:p>
      <w:pPr>
        <w:pStyle w:val="Heading1"/>
      </w:pPr>
      <w:r>
        <w:t>CHAPTER 1: PROJECT DESCRIPTION</w:t>
      </w:r>
    </w:p>
    <w:p>
      <w:pPr>
        <w:pStyle w:val="Heading2"/>
      </w:pPr>
      <w:r>
        <w:t>1.1 Project Background</w:t>
      </w:r>
    </w:p>
    <w:p>
      <w:r>
        <w:t>Healthcare organizations generate large volumes of patient, admission, treatment, laboratory, medication, and utilization data. Data analytics can transform these records into useful information for identifying patterns and supporting operational and clinical decision-making. One important healthcare problem is hospital readmission, particularly whether a patient returns to the hospital within 30 days of discharge.</w:t>
      </w:r>
    </w:p>
    <w:p>
      <w:r>
        <w:t>This internship project applies a structured data analytics and machine learning workflow to the UCI Diabetes 130-US Hospitals dataset. The project begins with raw patient encounter data, performs data cleaning and exploratory analysis, and then develops classification models to predict 30-day readmission.</w:t>
      </w:r>
    </w:p>
    <w:p>
      <w:pPr>
        <w:pStyle w:val="Heading2"/>
      </w:pPr>
      <w:r>
        <w:t>1.2 Problem Statement</w:t>
      </w:r>
    </w:p>
    <w:p>
      <w:r>
        <w:t>The project addresses the problem of identifying patients who are likely to experience hospital readmission within 30 days. The target variable is transformed into a binary classification problem where 1 represents readmission within 30 days and 0 represents other readmission outcomes.</w:t>
      </w:r>
    </w:p>
    <w:p>
      <w:pPr>
        <w:pStyle w:val="Heading2"/>
      </w:pPr>
      <w:r>
        <w:t>1.3 Project Title</w:t>
      </w:r>
    </w:p>
    <w:p>
      <w:pPr>
        <w:spacing w:after="120"/>
        <w:jc w:val="center"/>
      </w:pPr>
      <w:r>
        <w:rPr>
          <w:rFonts w:ascii="Times New Roman" w:hAnsi="Times New Roman"/>
          <w:b/>
          <w:i w:val="0"/>
          <w:sz w:val="26"/>
        </w:rPr>
        <w:t>Healthcare Data Analytics and 30-Day Hospital Readmission Prediction</w:t>
      </w:r>
    </w:p>
    <w:p>
      <w:pPr>
        <w:pStyle w:val="Heading2"/>
      </w:pPr>
      <w:r>
        <w:t>1.4 Student and Internship Details</w:t>
      </w:r>
    </w:p>
    <w:tbl>
      <w:tblPr>
        <w:tblStyle w:val="TableGrid"/>
        <w:tblW w:type="auto" w:w="0"/>
        <w:jc w:val="center"/>
        <w:tblLook w:firstColumn="1" w:firstRow="1" w:lastColumn="0" w:lastRow="0" w:noHBand="0" w:noVBand="1" w:val="04A0"/>
      </w:tblPr>
      <w:tblGrid>
        <w:gridCol w:w="4154"/>
        <w:gridCol w:w="4154"/>
      </w:tblGrid>
      <w:tr>
        <w:tc>
          <w:tcPr>
            <w:tcW w:type="dxa" w:w="4154"/>
            <w:vAlign w:val="center"/>
          </w:tcPr>
          <w:p>
            <w:pPr>
              <w:jc w:val="center"/>
            </w:pPr>
            <w:r>
              <w:rPr>
                <w:rFonts w:ascii="Times New Roman" w:hAnsi="Times New Roman"/>
                <w:b/>
                <w:sz w:val="20"/>
              </w:rPr>
              <w:t>Item</w:t>
            </w:r>
          </w:p>
        </w:tc>
        <w:tc>
          <w:tcPr>
            <w:tcW w:type="dxa" w:w="4154"/>
            <w:vAlign w:val="center"/>
          </w:tcPr>
          <w:p>
            <w:pPr>
              <w:jc w:val="center"/>
            </w:pPr>
            <w:r>
              <w:rPr>
                <w:rFonts w:ascii="Times New Roman" w:hAnsi="Times New Roman"/>
                <w:b/>
                <w:sz w:val="20"/>
              </w:rPr>
              <w:t>Details</w:t>
            </w:r>
          </w:p>
        </w:tc>
      </w:tr>
      <w:tr>
        <w:tc>
          <w:tcPr>
            <w:tcW w:type="dxa" w:w="4154"/>
            <w:vAlign w:val="center"/>
          </w:tcPr>
          <w:p>
            <w:pPr>
              <w:jc w:val="center"/>
            </w:pPr>
            <w:r>
              <w:rPr>
                <w:rFonts w:ascii="Times New Roman" w:hAnsi="Times New Roman"/>
                <w:sz w:val="20"/>
              </w:rPr>
              <w:t>Student Name</w:t>
            </w:r>
          </w:p>
        </w:tc>
        <w:tc>
          <w:tcPr>
            <w:tcW w:type="dxa" w:w="4154"/>
            <w:vAlign w:val="center"/>
          </w:tcPr>
          <w:p>
            <w:pPr>
              <w:jc w:val="center"/>
            </w:pPr>
            <w:r>
              <w:rPr>
                <w:rFonts w:ascii="Times New Roman" w:hAnsi="Times New Roman"/>
                <w:sz w:val="20"/>
              </w:rPr>
              <w:t>SAUNDARYA KUMAR MAURYA</w:t>
            </w:r>
          </w:p>
        </w:tc>
      </w:tr>
      <w:tr>
        <w:tc>
          <w:tcPr>
            <w:tcW w:type="dxa" w:w="4154"/>
            <w:vAlign w:val="center"/>
          </w:tcPr>
          <w:p>
            <w:pPr>
              <w:jc w:val="center"/>
            </w:pPr>
            <w:r>
              <w:rPr>
                <w:rFonts w:ascii="Times New Roman" w:hAnsi="Times New Roman"/>
                <w:sz w:val="20"/>
              </w:rPr>
              <w:t>Roll Number</w:t>
            </w:r>
          </w:p>
        </w:tc>
        <w:tc>
          <w:tcPr>
            <w:tcW w:type="dxa" w:w="4154"/>
            <w:vAlign w:val="center"/>
          </w:tcPr>
          <w:p>
            <w:pPr>
              <w:jc w:val="center"/>
            </w:pPr>
            <w:r>
              <w:rPr>
                <w:rFonts w:ascii="Times New Roman" w:hAnsi="Times New Roman"/>
                <w:sz w:val="20"/>
              </w:rPr>
              <w:t>25SCS1003003039</w:t>
            </w:r>
          </w:p>
        </w:tc>
      </w:tr>
      <w:tr>
        <w:tc>
          <w:tcPr>
            <w:tcW w:type="dxa" w:w="4154"/>
            <w:vAlign w:val="center"/>
          </w:tcPr>
          <w:p>
            <w:pPr>
              <w:jc w:val="center"/>
            </w:pPr>
            <w:r>
              <w:rPr>
                <w:rFonts w:ascii="Times New Roman" w:hAnsi="Times New Roman"/>
                <w:sz w:val="20"/>
              </w:rPr>
              <w:t>Programme</w:t>
            </w:r>
          </w:p>
        </w:tc>
        <w:tc>
          <w:tcPr>
            <w:tcW w:type="dxa" w:w="4154"/>
            <w:vAlign w:val="center"/>
          </w:tcPr>
          <w:p>
            <w:pPr>
              <w:jc w:val="center"/>
            </w:pPr>
            <w:r>
              <w:rPr>
                <w:rFonts w:ascii="Times New Roman" w:hAnsi="Times New Roman"/>
                <w:sz w:val="20"/>
              </w:rPr>
              <w:t>B.Tech – Computer Science and Engineering</w:t>
            </w:r>
          </w:p>
        </w:tc>
      </w:tr>
      <w:tr>
        <w:tc>
          <w:tcPr>
            <w:tcW w:type="dxa" w:w="4154"/>
            <w:vAlign w:val="center"/>
          </w:tcPr>
          <w:p>
            <w:pPr>
              <w:jc w:val="center"/>
            </w:pPr>
            <w:r>
              <w:rPr>
                <w:rFonts w:ascii="Times New Roman" w:hAnsi="Times New Roman"/>
                <w:sz w:val="20"/>
              </w:rPr>
              <w:t>University</w:t>
            </w:r>
          </w:p>
        </w:tc>
        <w:tc>
          <w:tcPr>
            <w:tcW w:type="dxa" w:w="4154"/>
            <w:vAlign w:val="center"/>
          </w:tcPr>
          <w:p>
            <w:pPr>
              <w:jc w:val="center"/>
            </w:pPr>
            <w:r>
              <w:rPr>
                <w:rFonts w:ascii="Times New Roman" w:hAnsi="Times New Roman"/>
                <w:sz w:val="20"/>
              </w:rPr>
              <w:t>IILM University, Greater Noida</w:t>
            </w:r>
          </w:p>
        </w:tc>
      </w:tr>
      <w:tr>
        <w:tc>
          <w:tcPr>
            <w:tcW w:type="dxa" w:w="4154"/>
            <w:vAlign w:val="center"/>
          </w:tcPr>
          <w:p>
            <w:pPr>
              <w:jc w:val="center"/>
            </w:pPr>
            <w:r>
              <w:rPr>
                <w:rFonts w:ascii="Times New Roman" w:hAnsi="Times New Roman"/>
                <w:sz w:val="20"/>
              </w:rPr>
              <w:t>Batch</w:t>
            </w:r>
          </w:p>
        </w:tc>
        <w:tc>
          <w:tcPr>
            <w:tcW w:type="dxa" w:w="4154"/>
            <w:vAlign w:val="center"/>
          </w:tcPr>
          <w:p>
            <w:pPr>
              <w:jc w:val="center"/>
            </w:pPr>
            <w:r>
              <w:rPr>
                <w:rFonts w:ascii="Times New Roman" w:hAnsi="Times New Roman"/>
                <w:sz w:val="20"/>
              </w:rPr>
              <w:t>2026–27</w:t>
            </w:r>
          </w:p>
        </w:tc>
      </w:tr>
      <w:tr>
        <w:tc>
          <w:tcPr>
            <w:tcW w:type="dxa" w:w="4154"/>
            <w:vAlign w:val="center"/>
          </w:tcPr>
          <w:p>
            <w:pPr>
              <w:jc w:val="center"/>
            </w:pPr>
            <w:r>
              <w:rPr>
                <w:rFonts w:ascii="Times New Roman" w:hAnsi="Times New Roman"/>
                <w:sz w:val="20"/>
              </w:rPr>
              <w:t>Internship Organization</w:t>
            </w:r>
          </w:p>
        </w:tc>
        <w:tc>
          <w:tcPr>
            <w:tcW w:type="dxa" w:w="4154"/>
            <w:vAlign w:val="center"/>
          </w:tcPr>
          <w:p>
            <w:pPr>
              <w:jc w:val="center"/>
            </w:pPr>
            <w:r>
              <w:rPr>
                <w:rFonts w:ascii="Times New Roman" w:hAnsi="Times New Roman"/>
                <w:sz w:val="20"/>
              </w:rPr>
              <w:t>YuvaIntern</w:t>
            </w:r>
          </w:p>
        </w:tc>
      </w:tr>
      <w:tr>
        <w:tc>
          <w:tcPr>
            <w:tcW w:type="dxa" w:w="4154"/>
            <w:vAlign w:val="center"/>
          </w:tcPr>
          <w:p>
            <w:pPr>
              <w:jc w:val="center"/>
            </w:pPr>
            <w:r>
              <w:rPr>
                <w:rFonts w:ascii="Times New Roman" w:hAnsi="Times New Roman"/>
                <w:sz w:val="20"/>
              </w:rPr>
              <w:t>Internship Area</w:t>
            </w:r>
          </w:p>
        </w:tc>
        <w:tc>
          <w:tcPr>
            <w:tcW w:type="dxa" w:w="4154"/>
            <w:vAlign w:val="center"/>
          </w:tcPr>
          <w:p>
            <w:pPr>
              <w:jc w:val="center"/>
            </w:pPr>
            <w:r>
              <w:rPr>
                <w:rFonts w:ascii="Times New Roman" w:hAnsi="Times New Roman"/>
                <w:sz w:val="20"/>
              </w:rPr>
              <w:t>Healthcare Data Analytics</w:t>
            </w:r>
          </w:p>
        </w:tc>
      </w:tr>
      <w:tr>
        <w:tc>
          <w:tcPr>
            <w:tcW w:type="dxa" w:w="4154"/>
            <w:vAlign w:val="center"/>
          </w:tcPr>
          <w:p>
            <w:pPr>
              <w:jc w:val="center"/>
            </w:pPr>
            <w:r>
              <w:rPr>
                <w:rFonts w:ascii="Times New Roman" w:hAnsi="Times New Roman"/>
                <w:sz w:val="20"/>
              </w:rPr>
              <w:t>Certificate Issue Date</w:t>
            </w:r>
          </w:p>
        </w:tc>
        <w:tc>
          <w:tcPr>
            <w:tcW w:type="dxa" w:w="4154"/>
            <w:vAlign w:val="center"/>
          </w:tcPr>
          <w:p>
            <w:pPr>
              <w:jc w:val="center"/>
            </w:pPr>
            <w:r>
              <w:rPr>
                <w:rFonts w:ascii="Times New Roman" w:hAnsi="Times New Roman"/>
                <w:sz w:val="20"/>
              </w:rPr>
              <w:t>04 September 2026</w:t>
            </w:r>
          </w:p>
        </w:tc>
      </w:tr>
      <w:tr>
        <w:tc>
          <w:tcPr>
            <w:tcW w:type="dxa" w:w="4154"/>
            <w:vAlign w:val="center"/>
          </w:tcPr>
          <w:p>
            <w:pPr>
              <w:jc w:val="center"/>
            </w:pPr>
            <w:r>
              <w:rPr>
                <w:rFonts w:ascii="Times New Roman" w:hAnsi="Times New Roman"/>
                <w:sz w:val="20"/>
              </w:rPr>
              <w:t>Official Student Email</w:t>
            </w:r>
          </w:p>
        </w:tc>
        <w:tc>
          <w:tcPr>
            <w:tcW w:type="dxa" w:w="4154"/>
            <w:vAlign w:val="center"/>
          </w:tcPr>
          <w:p>
            <w:pPr>
              <w:jc w:val="center"/>
            </w:pPr>
            <w:r>
              <w:rPr>
                <w:rFonts w:ascii="Times New Roman" w:hAnsi="Times New Roman"/>
                <w:sz w:val="20"/>
              </w:rPr>
              <w:t>Saundarya.25scs1003003039@iilm.edu</w:t>
            </w:r>
          </w:p>
        </w:tc>
      </w:tr>
    </w:tbl>
    <w:p>
      <w:pPr>
        <w:pStyle w:val="CaptionCustom"/>
      </w:pPr>
      <w:r>
        <w:t>Table 1.1 Student and Internship Details</w:t>
      </w:r>
    </w:p>
    <w:p>
      <w:pPr>
        <w:pStyle w:val="Heading2"/>
      </w:pPr>
      <w:r>
        <w:t>1.5 Organization Profile: YuvaIntern</w:t>
      </w:r>
    </w:p>
    <w:p>
      <w:r>
        <w:t>The internship completion certificate identifies YuvaIntern as the internship organization and states that the internship was completed in Healthcare Data Analytics. The certificate lists YuvaIntern at B12, Sector 6, Noida 201301, and provides support@yuvaintern.com as the organization email. The certificate is signed by Kounal Gupta, Founder, YuvaIntern.com.</w:t>
      </w:r>
    </w:p>
    <w:p>
      <w:r>
        <w:t>The report intentionally limits the organization profile to information supported by the supplied certificate and does not add unverified organizational claims.</w:t>
      </w:r>
    </w:p>
    <w:p>
      <w:pPr>
        <w:pStyle w:val="Heading2"/>
      </w:pPr>
      <w:r>
        <w:t>1.6 Internship Certificate Evidence</w:t>
      </w:r>
    </w:p>
    <w:p>
      <w:r>
        <w:t>The supplied completion certificate confirms successful completion of the internship program in Healthcare Data Analytics and records the date of issue as 04 September 2026. The certificate has been included in this report as a supporting document.</w:t>
      </w:r>
    </w:p>
    <w:p>
      <w:r>
        <w:br w:type="page"/>
      </w:r>
    </w:p>
    <w:p>
      <w:pPr>
        <w:pStyle w:val="Heading1"/>
      </w:pPr>
      <w:r>
        <w:t>CHAPTER 2: PROJECT ABSTRACT AND OBJECTIVES</w:t>
      </w:r>
    </w:p>
    <w:p>
      <w:pPr>
        <w:pStyle w:val="Heading2"/>
      </w:pPr>
      <w:r>
        <w:t>2.1 Abstract</w:t>
      </w:r>
    </w:p>
    <w:p>
      <w:r>
        <w:t>This internship project presents an end-to-end healthcare data analytics workflow for hospital readmission prediction. The project uses the Diabetes 130-US Hospitals dataset containing patient encounter records from 130 U.S. hospitals and integrated delivery networks over 1999–2008. The project objective is to prepare healthcare data for analysis, discover useful patterns through exploratory data analysis, and build machine learning models that classify whether a patient will be readmitted within 30 days.</w:t>
      </w:r>
    </w:p>
    <w:p>
      <w:r>
        <w:t>The workflow is divided into five connected stages corresponding to the five internship weeks. Week 1 establishes the baseline prediction pipeline and defines the target variable. Week 2 focuses on extraction, cleaning, standardization, missing-value handling, duplicate removal, and validation. Week 3 performs descriptive analysis, correlation analysis, and visualization. Week 4 compares Logistic Regression, Decision Tree, and Random Forest models. Week 5 consolidates the modelling workflow, selects the best model using ROC-AUC, generates a confusion matrix and ROC comparison, and identifies important Random Forest features.</w:t>
      </w:r>
    </w:p>
    <w:p>
      <w:pPr>
        <w:pStyle w:val="Heading2"/>
      </w:pPr>
      <w:r>
        <w:t>2.2 Objectives</w:t>
      </w:r>
    </w:p>
    <w:p>
      <w:pPr>
        <w:pStyle w:val="ListBullet"/>
        <w:spacing w:line="360" w:lineRule="auto"/>
      </w:pPr>
      <w:r>
        <w:t>To understand and prepare healthcare encounter data for analysis.</w:t>
      </w:r>
    </w:p>
    <w:p>
      <w:pPr>
        <w:pStyle w:val="ListBullet"/>
        <w:spacing w:line="360" w:lineRule="auto"/>
      </w:pPr>
      <w:r>
        <w:t>To clean missing, duplicate, administrative, and identifier information.</w:t>
      </w:r>
    </w:p>
    <w:p>
      <w:pPr>
        <w:pStyle w:val="ListBullet"/>
        <w:spacing w:line="360" w:lineRule="auto"/>
      </w:pPr>
      <w:r>
        <w:t>To construct a binary 30-day hospital readmission target.</w:t>
      </w:r>
    </w:p>
    <w:p>
      <w:pPr>
        <w:pStyle w:val="ListBullet"/>
        <w:spacing w:line="360" w:lineRule="auto"/>
      </w:pPr>
      <w:r>
        <w:t>To perform exploratory data analysis and visualize healthcare patterns.</w:t>
      </w:r>
    </w:p>
    <w:p>
      <w:pPr>
        <w:pStyle w:val="ListBullet"/>
        <w:spacing w:line="360" w:lineRule="auto"/>
      </w:pPr>
      <w:r>
        <w:t>To develop and compare classification models for readmission prediction.</w:t>
      </w:r>
    </w:p>
    <w:p>
      <w:pPr>
        <w:pStyle w:val="ListBullet"/>
        <w:spacing w:line="360" w:lineRule="auto"/>
      </w:pPr>
      <w:r>
        <w:t>To evaluate models using Accuracy, Precision, Recall, F1 Score, and ROC-AUC.</w:t>
      </w:r>
    </w:p>
    <w:p>
      <w:pPr>
        <w:pStyle w:val="ListBullet"/>
        <w:spacing w:line="360" w:lineRule="auto"/>
      </w:pPr>
      <w:r>
        <w:t>To identify important predictive features using Random Forest feature importance.</w:t>
      </w:r>
    </w:p>
    <w:p>
      <w:pPr>
        <w:pStyle w:val="ListBullet"/>
        <w:spacing w:line="360" w:lineRule="auto"/>
      </w:pPr>
      <w:r>
        <w:t>To document the complete workflow and identify future improvement strategies.</w:t>
      </w:r>
    </w:p>
    <w:p>
      <w:pPr>
        <w:pStyle w:val="Heading2"/>
      </w:pPr>
      <w:r>
        <w:t>2.3 Scope</w:t>
      </w:r>
    </w:p>
    <w:p>
      <w:r>
        <w:t>The project is designed as an academic internship exercise in healthcare data analytics. It demonstrates data preparation, statistical exploration, visualization, supervised machine learning, and interpretation. The model output should be treated as an analytical demonstration rather than a clinical decision-making system. Any real-world clinical deployment would require additional validation, governance, privacy protection, fairness assessment, and domain-expert review.</w:t>
      </w:r>
    </w:p>
    <w:p>
      <w:r>
        <w:br w:type="page"/>
      </w:r>
    </w:p>
    <w:p>
      <w:pPr>
        <w:pStyle w:val="Heading1"/>
      </w:pPr>
      <w:r>
        <w:t>CHAPTER 3: TOOLS AND TECHNOLOGIES</w:t>
      </w:r>
    </w:p>
    <w:tbl>
      <w:tblPr>
        <w:tblStyle w:val="TableGrid"/>
        <w:tblW w:type="auto" w:w="0"/>
        <w:jc w:val="center"/>
        <w:tblLook w:firstColumn="1" w:firstRow="1" w:lastColumn="0" w:lastRow="0" w:noHBand="0" w:noVBand="1" w:val="04A0"/>
      </w:tblPr>
      <w:tblGrid>
        <w:gridCol w:w="4154"/>
        <w:gridCol w:w="4154"/>
      </w:tblGrid>
      <w:tr>
        <w:tc>
          <w:tcPr>
            <w:tcW w:type="dxa" w:w="4154"/>
            <w:vAlign w:val="center"/>
          </w:tcPr>
          <w:p>
            <w:pPr>
              <w:jc w:val="center"/>
            </w:pPr>
            <w:r>
              <w:rPr>
                <w:rFonts w:ascii="Times New Roman" w:hAnsi="Times New Roman"/>
                <w:b/>
                <w:sz w:val="20"/>
              </w:rPr>
              <w:t>Tool / Technology</w:t>
            </w:r>
          </w:p>
        </w:tc>
        <w:tc>
          <w:tcPr>
            <w:tcW w:type="dxa" w:w="4154"/>
            <w:vAlign w:val="center"/>
          </w:tcPr>
          <w:p>
            <w:pPr>
              <w:jc w:val="center"/>
            </w:pPr>
            <w:r>
              <w:rPr>
                <w:rFonts w:ascii="Times New Roman" w:hAnsi="Times New Roman"/>
                <w:b/>
                <w:sz w:val="20"/>
              </w:rPr>
              <w:t>Purpose</w:t>
            </w:r>
          </w:p>
        </w:tc>
      </w:tr>
      <w:tr>
        <w:tc>
          <w:tcPr>
            <w:tcW w:type="dxa" w:w="4154"/>
            <w:vAlign w:val="center"/>
          </w:tcPr>
          <w:p>
            <w:pPr>
              <w:jc w:val="center"/>
            </w:pPr>
            <w:r>
              <w:rPr>
                <w:rFonts w:ascii="Times New Roman" w:hAnsi="Times New Roman"/>
                <w:sz w:val="20"/>
              </w:rPr>
              <w:t>Python</w:t>
            </w:r>
          </w:p>
        </w:tc>
        <w:tc>
          <w:tcPr>
            <w:tcW w:type="dxa" w:w="4154"/>
            <w:vAlign w:val="center"/>
          </w:tcPr>
          <w:p>
            <w:pPr>
              <w:jc w:val="center"/>
            </w:pPr>
            <w:r>
              <w:rPr>
                <w:rFonts w:ascii="Times New Roman" w:hAnsi="Times New Roman"/>
                <w:sz w:val="20"/>
              </w:rPr>
              <w:t>Core programming language for the project.</w:t>
            </w:r>
          </w:p>
        </w:tc>
      </w:tr>
      <w:tr>
        <w:tc>
          <w:tcPr>
            <w:tcW w:type="dxa" w:w="4154"/>
            <w:vAlign w:val="center"/>
          </w:tcPr>
          <w:p>
            <w:pPr>
              <w:jc w:val="center"/>
            </w:pPr>
            <w:r>
              <w:rPr>
                <w:rFonts w:ascii="Times New Roman" w:hAnsi="Times New Roman"/>
                <w:sz w:val="20"/>
              </w:rPr>
              <w:t>Pandas</w:t>
            </w:r>
          </w:p>
        </w:tc>
        <w:tc>
          <w:tcPr>
            <w:tcW w:type="dxa" w:w="4154"/>
            <w:vAlign w:val="center"/>
          </w:tcPr>
          <w:p>
            <w:pPr>
              <w:jc w:val="center"/>
            </w:pPr>
            <w:r>
              <w:rPr>
                <w:rFonts w:ascii="Times New Roman" w:hAnsi="Times New Roman"/>
                <w:sz w:val="20"/>
              </w:rPr>
              <w:t>Data loading, transformation, cleaning, tabular analysis.</w:t>
            </w:r>
          </w:p>
        </w:tc>
      </w:tr>
      <w:tr>
        <w:tc>
          <w:tcPr>
            <w:tcW w:type="dxa" w:w="4154"/>
            <w:vAlign w:val="center"/>
          </w:tcPr>
          <w:p>
            <w:pPr>
              <w:jc w:val="center"/>
            </w:pPr>
            <w:r>
              <w:rPr>
                <w:rFonts w:ascii="Times New Roman" w:hAnsi="Times New Roman"/>
                <w:sz w:val="20"/>
              </w:rPr>
              <w:t>NumPy</w:t>
            </w:r>
          </w:p>
        </w:tc>
        <w:tc>
          <w:tcPr>
            <w:tcW w:type="dxa" w:w="4154"/>
            <w:vAlign w:val="center"/>
          </w:tcPr>
          <w:p>
            <w:pPr>
              <w:jc w:val="center"/>
            </w:pPr>
            <w:r>
              <w:rPr>
                <w:rFonts w:ascii="Times New Roman" w:hAnsi="Times New Roman"/>
                <w:sz w:val="20"/>
              </w:rPr>
              <w:t>Numerical operations and missing-value handling.</w:t>
            </w:r>
          </w:p>
        </w:tc>
      </w:tr>
      <w:tr>
        <w:tc>
          <w:tcPr>
            <w:tcW w:type="dxa" w:w="4154"/>
            <w:vAlign w:val="center"/>
          </w:tcPr>
          <w:p>
            <w:pPr>
              <w:jc w:val="center"/>
            </w:pPr>
            <w:r>
              <w:rPr>
                <w:rFonts w:ascii="Times New Roman" w:hAnsi="Times New Roman"/>
                <w:sz w:val="20"/>
              </w:rPr>
              <w:t>Matplotlib</w:t>
            </w:r>
          </w:p>
        </w:tc>
        <w:tc>
          <w:tcPr>
            <w:tcW w:type="dxa" w:w="4154"/>
            <w:vAlign w:val="center"/>
          </w:tcPr>
          <w:p>
            <w:pPr>
              <w:jc w:val="center"/>
            </w:pPr>
            <w:r>
              <w:rPr>
                <w:rFonts w:ascii="Times New Roman" w:hAnsi="Times New Roman"/>
                <w:sz w:val="20"/>
              </w:rPr>
              <w:t>Plot generation and visualization.</w:t>
            </w:r>
          </w:p>
        </w:tc>
      </w:tr>
      <w:tr>
        <w:tc>
          <w:tcPr>
            <w:tcW w:type="dxa" w:w="4154"/>
            <w:vAlign w:val="center"/>
          </w:tcPr>
          <w:p>
            <w:pPr>
              <w:jc w:val="center"/>
            </w:pPr>
            <w:r>
              <w:rPr>
                <w:rFonts w:ascii="Times New Roman" w:hAnsi="Times New Roman"/>
                <w:sz w:val="20"/>
              </w:rPr>
              <w:t>Seaborn</w:t>
            </w:r>
          </w:p>
        </w:tc>
        <w:tc>
          <w:tcPr>
            <w:tcW w:type="dxa" w:w="4154"/>
            <w:vAlign w:val="center"/>
          </w:tcPr>
          <w:p>
            <w:pPr>
              <w:jc w:val="center"/>
            </w:pPr>
            <w:r>
              <w:rPr>
                <w:rFonts w:ascii="Times New Roman" w:hAnsi="Times New Roman"/>
                <w:sz w:val="20"/>
              </w:rPr>
              <w:t>Statistical plots, count plots, heatmaps, and model visualizations.</w:t>
            </w:r>
          </w:p>
        </w:tc>
      </w:tr>
      <w:tr>
        <w:tc>
          <w:tcPr>
            <w:tcW w:type="dxa" w:w="4154"/>
            <w:vAlign w:val="center"/>
          </w:tcPr>
          <w:p>
            <w:pPr>
              <w:jc w:val="center"/>
            </w:pPr>
            <w:r>
              <w:rPr>
                <w:rFonts w:ascii="Times New Roman" w:hAnsi="Times New Roman"/>
                <w:sz w:val="20"/>
              </w:rPr>
              <w:t>Scikit-learn</w:t>
            </w:r>
          </w:p>
        </w:tc>
        <w:tc>
          <w:tcPr>
            <w:tcW w:type="dxa" w:w="4154"/>
            <w:vAlign w:val="center"/>
          </w:tcPr>
          <w:p>
            <w:pPr>
              <w:jc w:val="center"/>
            </w:pPr>
            <w:r>
              <w:rPr>
                <w:rFonts w:ascii="Times New Roman" w:hAnsi="Times New Roman"/>
                <w:sz w:val="20"/>
              </w:rPr>
              <w:t>Preprocessing, train-test split, machine learning models and evaluation metrics.</w:t>
            </w:r>
          </w:p>
        </w:tc>
      </w:tr>
      <w:tr>
        <w:tc>
          <w:tcPr>
            <w:tcW w:type="dxa" w:w="4154"/>
            <w:vAlign w:val="center"/>
          </w:tcPr>
          <w:p>
            <w:pPr>
              <w:jc w:val="center"/>
            </w:pPr>
            <w:r>
              <w:rPr>
                <w:rFonts w:ascii="Times New Roman" w:hAnsi="Times New Roman"/>
                <w:sz w:val="20"/>
              </w:rPr>
              <w:t>Google Colab / Jupyter environment</w:t>
            </w:r>
          </w:p>
        </w:tc>
        <w:tc>
          <w:tcPr>
            <w:tcW w:type="dxa" w:w="4154"/>
            <w:vAlign w:val="center"/>
          </w:tcPr>
          <w:p>
            <w:pPr>
              <w:jc w:val="center"/>
            </w:pPr>
            <w:r>
              <w:rPr>
                <w:rFonts w:ascii="Times New Roman" w:hAnsi="Times New Roman"/>
                <w:sz w:val="20"/>
              </w:rPr>
              <w:t>Execution and experimentation environment for the project.</w:t>
            </w:r>
          </w:p>
        </w:tc>
      </w:tr>
      <w:tr>
        <w:tc>
          <w:tcPr>
            <w:tcW w:type="dxa" w:w="4154"/>
            <w:vAlign w:val="center"/>
          </w:tcPr>
          <w:p>
            <w:pPr>
              <w:jc w:val="center"/>
            </w:pPr>
            <w:r>
              <w:rPr>
                <w:rFonts w:ascii="Times New Roman" w:hAnsi="Times New Roman"/>
                <w:sz w:val="20"/>
              </w:rPr>
              <w:t>GitHub</w:t>
            </w:r>
          </w:p>
        </w:tc>
        <w:tc>
          <w:tcPr>
            <w:tcW w:type="dxa" w:w="4154"/>
            <w:vAlign w:val="center"/>
          </w:tcPr>
          <w:p>
            <w:pPr>
              <w:jc w:val="center"/>
            </w:pPr>
            <w:r>
              <w:rPr>
                <w:rFonts w:ascii="Times New Roman" w:hAnsi="Times New Roman"/>
                <w:sz w:val="20"/>
              </w:rPr>
              <w:t>Project code/version sharing and documentation.</w:t>
            </w:r>
          </w:p>
        </w:tc>
      </w:tr>
      <w:tr>
        <w:tc>
          <w:tcPr>
            <w:tcW w:type="dxa" w:w="4154"/>
            <w:vAlign w:val="center"/>
          </w:tcPr>
          <w:p>
            <w:pPr>
              <w:jc w:val="center"/>
            </w:pPr>
            <w:r>
              <w:rPr>
                <w:rFonts w:ascii="Times New Roman" w:hAnsi="Times New Roman"/>
                <w:sz w:val="20"/>
              </w:rPr>
              <w:t>CSV files</w:t>
            </w:r>
          </w:p>
        </w:tc>
        <w:tc>
          <w:tcPr>
            <w:tcW w:type="dxa" w:w="4154"/>
            <w:vAlign w:val="center"/>
          </w:tcPr>
          <w:p>
            <w:pPr>
              <w:jc w:val="center"/>
            </w:pPr>
            <w:r>
              <w:rPr>
                <w:rFonts w:ascii="Times New Roman" w:hAnsi="Times New Roman"/>
                <w:sz w:val="20"/>
              </w:rPr>
              <w:t>Storage format for raw, cleaned, statistical, correlation, and prediction outputs.</w:t>
            </w:r>
          </w:p>
        </w:tc>
      </w:tr>
    </w:tbl>
    <w:p>
      <w:pPr>
        <w:pStyle w:val="CaptionCustom"/>
      </w:pPr>
      <w:r>
        <w:t>Table 3.1 Tools and Technologies Used</w:t>
      </w:r>
    </w:p>
    <w:p>
      <w:pPr>
        <w:pStyle w:val="Heading2"/>
      </w:pPr>
      <w:r>
        <w:t>3.1 Python Libraries</w:t>
      </w:r>
    </w:p>
    <w:p>
      <w:r>
        <w:t>The project imports pandas, numpy, matplotlib, seaborn, and scikit-learn components. Scikit-learn pipelines are used so that numerical and categorical preprocessing is integrated with the model training workflow.</w:t>
      </w:r>
    </w:p>
    <w:p>
      <w:pPr>
        <w:pStyle w:val="Heading2"/>
      </w:pPr>
      <w:r>
        <w:t>3.2 Preprocessing Strategy</w:t>
      </w:r>
    </w:p>
    <w:p>
      <w:r>
        <w:t>Numerical features are processed using median imputation followed by standardization. Categorical features are processed using most-frequent imputation followed by one-hot encoding with unknown categories ignored. This approach allows the models to work with mixed-type healthcare data while maintaining a consistent transformation between training and testing data.</w:t>
      </w:r>
    </w:p>
    <w:p>
      <w:r>
        <w:br w:type="page"/>
      </w:r>
    </w:p>
    <w:p>
      <w:pPr>
        <w:pStyle w:val="Heading1"/>
      </w:pPr>
      <w:r>
        <w:t>CHAPTER 4: DATASET AND SYSTEM ARCHITECTURE</w:t>
      </w:r>
    </w:p>
    <w:p>
      <w:pPr>
        <w:pStyle w:val="Heading2"/>
      </w:pPr>
      <w:r>
        <w:t>4.1 Dataset Overview</w:t>
      </w:r>
    </w:p>
    <w:p>
      <w:r>
        <w:t>The project uses the UCI Machine Learning Repository dataset titled “Diabetes 130-US Hospitals for Years 1999–2008.” The UCI documentation reports 101,766 instances and 47 features. The dataset represents hospitalized patient records diagnosed with diabetes and includes demographic, admission, laboratory, medication, diagnosis, and healthcare-utilization attributes. The dataset contains missing values and supports classification tasks.</w:t>
      </w:r>
    </w:p>
    <w:tbl>
      <w:tblPr>
        <w:tblStyle w:val="TableGrid"/>
        <w:tblW w:type="auto" w:w="0"/>
        <w:jc w:val="center"/>
        <w:tblLook w:firstColumn="1" w:firstRow="1" w:lastColumn="0" w:lastRow="0" w:noHBand="0" w:noVBand="1" w:val="04A0"/>
      </w:tblPr>
      <w:tblGrid>
        <w:gridCol w:w="4154"/>
        <w:gridCol w:w="4154"/>
      </w:tblGrid>
      <w:tr>
        <w:tc>
          <w:tcPr>
            <w:tcW w:type="dxa" w:w="4154"/>
            <w:vAlign w:val="center"/>
          </w:tcPr>
          <w:p>
            <w:pPr>
              <w:jc w:val="center"/>
            </w:pPr>
            <w:r>
              <w:rPr>
                <w:rFonts w:ascii="Times New Roman" w:hAnsi="Times New Roman"/>
                <w:b/>
                <w:sz w:val="20"/>
              </w:rPr>
              <w:t>Dataset Property</w:t>
            </w:r>
          </w:p>
        </w:tc>
        <w:tc>
          <w:tcPr>
            <w:tcW w:type="dxa" w:w="4154"/>
            <w:vAlign w:val="center"/>
          </w:tcPr>
          <w:p>
            <w:pPr>
              <w:jc w:val="center"/>
            </w:pPr>
            <w:r>
              <w:rPr>
                <w:rFonts w:ascii="Times New Roman" w:hAnsi="Times New Roman"/>
                <w:b/>
                <w:sz w:val="20"/>
              </w:rPr>
              <w:t>Value</w:t>
            </w:r>
          </w:p>
        </w:tc>
      </w:tr>
      <w:tr>
        <w:tc>
          <w:tcPr>
            <w:tcW w:type="dxa" w:w="4154"/>
            <w:vAlign w:val="center"/>
          </w:tcPr>
          <w:p>
            <w:pPr>
              <w:jc w:val="center"/>
            </w:pPr>
            <w:r>
              <w:rPr>
                <w:rFonts w:ascii="Times New Roman" w:hAnsi="Times New Roman"/>
                <w:sz w:val="20"/>
              </w:rPr>
              <w:t>Dataset</w:t>
            </w:r>
          </w:p>
        </w:tc>
        <w:tc>
          <w:tcPr>
            <w:tcW w:type="dxa" w:w="4154"/>
            <w:vAlign w:val="center"/>
          </w:tcPr>
          <w:p>
            <w:pPr>
              <w:jc w:val="center"/>
            </w:pPr>
            <w:r>
              <w:rPr>
                <w:rFonts w:ascii="Times New Roman" w:hAnsi="Times New Roman"/>
                <w:sz w:val="20"/>
              </w:rPr>
              <w:t>Diabetes 130-US Hospitals for Years 1999–2008</w:t>
            </w:r>
          </w:p>
        </w:tc>
      </w:tr>
      <w:tr>
        <w:tc>
          <w:tcPr>
            <w:tcW w:type="dxa" w:w="4154"/>
            <w:vAlign w:val="center"/>
          </w:tcPr>
          <w:p>
            <w:pPr>
              <w:jc w:val="center"/>
            </w:pPr>
            <w:r>
              <w:rPr>
                <w:rFonts w:ascii="Times New Roman" w:hAnsi="Times New Roman"/>
                <w:sz w:val="20"/>
              </w:rPr>
              <w:t>Source</w:t>
            </w:r>
          </w:p>
        </w:tc>
        <w:tc>
          <w:tcPr>
            <w:tcW w:type="dxa" w:w="4154"/>
            <w:vAlign w:val="center"/>
          </w:tcPr>
          <w:p>
            <w:pPr>
              <w:jc w:val="center"/>
            </w:pPr>
            <w:r>
              <w:rPr>
                <w:rFonts w:ascii="Times New Roman" w:hAnsi="Times New Roman"/>
                <w:sz w:val="20"/>
              </w:rPr>
              <w:t>UCI Machine Learning Repository</w:t>
            </w:r>
          </w:p>
        </w:tc>
      </w:tr>
      <w:tr>
        <w:tc>
          <w:tcPr>
            <w:tcW w:type="dxa" w:w="4154"/>
            <w:vAlign w:val="center"/>
          </w:tcPr>
          <w:p>
            <w:pPr>
              <w:jc w:val="center"/>
            </w:pPr>
            <w:r>
              <w:rPr>
                <w:rFonts w:ascii="Times New Roman" w:hAnsi="Times New Roman"/>
                <w:sz w:val="20"/>
              </w:rPr>
              <w:t>Instances</w:t>
            </w:r>
          </w:p>
        </w:tc>
        <w:tc>
          <w:tcPr>
            <w:tcW w:type="dxa" w:w="4154"/>
            <w:vAlign w:val="center"/>
          </w:tcPr>
          <w:p>
            <w:pPr>
              <w:jc w:val="center"/>
            </w:pPr>
            <w:r>
              <w:rPr>
                <w:rFonts w:ascii="Times New Roman" w:hAnsi="Times New Roman"/>
                <w:sz w:val="20"/>
              </w:rPr>
              <w:t>101,766</w:t>
            </w:r>
          </w:p>
        </w:tc>
      </w:tr>
      <w:tr>
        <w:tc>
          <w:tcPr>
            <w:tcW w:type="dxa" w:w="4154"/>
            <w:vAlign w:val="center"/>
          </w:tcPr>
          <w:p>
            <w:pPr>
              <w:jc w:val="center"/>
            </w:pPr>
            <w:r>
              <w:rPr>
                <w:rFonts w:ascii="Times New Roman" w:hAnsi="Times New Roman"/>
                <w:sz w:val="20"/>
              </w:rPr>
              <w:t>Features</w:t>
            </w:r>
          </w:p>
        </w:tc>
        <w:tc>
          <w:tcPr>
            <w:tcW w:type="dxa" w:w="4154"/>
            <w:vAlign w:val="center"/>
          </w:tcPr>
          <w:p>
            <w:pPr>
              <w:jc w:val="center"/>
            </w:pPr>
            <w:r>
              <w:rPr>
                <w:rFonts w:ascii="Times New Roman" w:hAnsi="Times New Roman"/>
                <w:sz w:val="20"/>
              </w:rPr>
              <w:t>47</w:t>
            </w:r>
          </w:p>
        </w:tc>
      </w:tr>
      <w:tr>
        <w:tc>
          <w:tcPr>
            <w:tcW w:type="dxa" w:w="4154"/>
            <w:vAlign w:val="center"/>
          </w:tcPr>
          <w:p>
            <w:pPr>
              <w:jc w:val="center"/>
            </w:pPr>
            <w:r>
              <w:rPr>
                <w:rFonts w:ascii="Times New Roman" w:hAnsi="Times New Roman"/>
                <w:sz w:val="20"/>
              </w:rPr>
              <w:t>Time period</w:t>
            </w:r>
          </w:p>
        </w:tc>
        <w:tc>
          <w:tcPr>
            <w:tcW w:type="dxa" w:w="4154"/>
            <w:vAlign w:val="center"/>
          </w:tcPr>
          <w:p>
            <w:pPr>
              <w:jc w:val="center"/>
            </w:pPr>
            <w:r>
              <w:rPr>
                <w:rFonts w:ascii="Times New Roman" w:hAnsi="Times New Roman"/>
                <w:sz w:val="20"/>
              </w:rPr>
              <w:t>1999–2008</w:t>
            </w:r>
          </w:p>
        </w:tc>
      </w:tr>
      <w:tr>
        <w:tc>
          <w:tcPr>
            <w:tcW w:type="dxa" w:w="4154"/>
            <w:vAlign w:val="center"/>
          </w:tcPr>
          <w:p>
            <w:pPr>
              <w:jc w:val="center"/>
            </w:pPr>
            <w:r>
              <w:rPr>
                <w:rFonts w:ascii="Times New Roman" w:hAnsi="Times New Roman"/>
                <w:sz w:val="20"/>
              </w:rPr>
              <w:t>Healthcare setting</w:t>
            </w:r>
          </w:p>
        </w:tc>
        <w:tc>
          <w:tcPr>
            <w:tcW w:type="dxa" w:w="4154"/>
            <w:vAlign w:val="center"/>
          </w:tcPr>
          <w:p>
            <w:pPr>
              <w:jc w:val="center"/>
            </w:pPr>
            <w:r>
              <w:rPr>
                <w:rFonts w:ascii="Times New Roman" w:hAnsi="Times New Roman"/>
                <w:sz w:val="20"/>
              </w:rPr>
              <w:t>130 U.S. hospitals / integrated delivery networks</w:t>
            </w:r>
          </w:p>
        </w:tc>
      </w:tr>
      <w:tr>
        <w:tc>
          <w:tcPr>
            <w:tcW w:type="dxa" w:w="4154"/>
            <w:vAlign w:val="center"/>
          </w:tcPr>
          <w:p>
            <w:pPr>
              <w:jc w:val="center"/>
            </w:pPr>
            <w:r>
              <w:rPr>
                <w:rFonts w:ascii="Times New Roman" w:hAnsi="Times New Roman"/>
                <w:sz w:val="20"/>
              </w:rPr>
              <w:t>Primary task in this project</w:t>
            </w:r>
          </w:p>
        </w:tc>
        <w:tc>
          <w:tcPr>
            <w:tcW w:type="dxa" w:w="4154"/>
            <w:vAlign w:val="center"/>
          </w:tcPr>
          <w:p>
            <w:pPr>
              <w:jc w:val="center"/>
            </w:pPr>
            <w:r>
              <w:rPr>
                <w:rFonts w:ascii="Times New Roman" w:hAnsi="Times New Roman"/>
                <w:sz w:val="20"/>
              </w:rPr>
              <w:t>30-day readmission classification</w:t>
            </w:r>
          </w:p>
        </w:tc>
      </w:tr>
      <w:tr>
        <w:tc>
          <w:tcPr>
            <w:tcW w:type="dxa" w:w="4154"/>
            <w:vAlign w:val="center"/>
          </w:tcPr>
          <w:p>
            <w:pPr>
              <w:jc w:val="center"/>
            </w:pPr>
            <w:r>
              <w:rPr>
                <w:rFonts w:ascii="Times New Roman" w:hAnsi="Times New Roman"/>
                <w:sz w:val="20"/>
              </w:rPr>
              <w:t>Target definition</w:t>
            </w:r>
          </w:p>
        </w:tc>
        <w:tc>
          <w:tcPr>
            <w:tcW w:type="dxa" w:w="4154"/>
            <w:vAlign w:val="center"/>
          </w:tcPr>
          <w:p>
            <w:pPr>
              <w:jc w:val="center"/>
            </w:pPr>
            <w:r>
              <w:rPr>
                <w:rFonts w:ascii="Times New Roman" w:hAnsi="Times New Roman"/>
                <w:sz w:val="20"/>
              </w:rPr>
              <w:t>1 = &lt;30 readmission; 0 = other readmission categories</w:t>
            </w:r>
          </w:p>
        </w:tc>
      </w:tr>
    </w:tbl>
    <w:p>
      <w:pPr>
        <w:pStyle w:val="CaptionCustom"/>
      </w:pPr>
      <w:r>
        <w:t>Table 4.1 Dataset Overview</w:t>
      </w:r>
    </w:p>
    <w:p>
      <w:pPr>
        <w:pStyle w:val="Heading2"/>
      </w:pPr>
      <w:r>
        <w:t>4.2 Data Architecture</w:t>
      </w:r>
    </w:p>
    <w:p>
      <w:pPr>
        <w:spacing w:after="120"/>
        <w:jc w:val="center"/>
      </w:pPr>
      <w:r>
        <w:rPr>
          <w:rFonts w:ascii="Times New Roman" w:hAnsi="Times New Roman"/>
          <w:b/>
          <w:i w:val="0"/>
          <w:sz w:val="24"/>
        </w:rPr>
        <w:t>Raw diabetic_data.csv</w:t>
      </w:r>
    </w:p>
    <w:p>
      <w:pPr>
        <w:spacing w:after="120"/>
        <w:jc w:val="center"/>
      </w:pPr>
      <w:r>
        <w:rPr>
          <w:rFonts w:ascii="Times New Roman" w:hAnsi="Times New Roman"/>
          <w:b/>
          <w:i w:val="0"/>
          <w:sz w:val="24"/>
        </w:rPr>
        <w:t>↓</w:t>
      </w:r>
    </w:p>
    <w:p>
      <w:pPr>
        <w:spacing w:after="120"/>
        <w:jc w:val="center"/>
      </w:pPr>
      <w:r>
        <w:rPr>
          <w:rFonts w:ascii="Times New Roman" w:hAnsi="Times New Roman"/>
          <w:b w:val="0"/>
          <w:i w:val="0"/>
          <w:sz w:val="22"/>
        </w:rPr>
        <w:t>Cleaning, standardization, missing-value treatment, duplicate handling</w:t>
      </w:r>
    </w:p>
    <w:p>
      <w:pPr>
        <w:spacing w:after="120"/>
        <w:jc w:val="center"/>
      </w:pPr>
      <w:r>
        <w:rPr>
          <w:rFonts w:ascii="Times New Roman" w:hAnsi="Times New Roman"/>
          <w:b/>
          <w:i w:val="0"/>
          <w:sz w:val="24"/>
        </w:rPr>
        <w:t>↓</w:t>
      </w:r>
    </w:p>
    <w:p>
      <w:pPr>
        <w:spacing w:after="120"/>
        <w:jc w:val="center"/>
      </w:pPr>
      <w:r>
        <w:rPr>
          <w:rFonts w:ascii="Times New Roman" w:hAnsi="Times New Roman"/>
          <w:b/>
          <w:i w:val="0"/>
          <w:sz w:val="24"/>
        </w:rPr>
        <w:t>cleaned_healthcare_data.csv</w:t>
      </w:r>
    </w:p>
    <w:p>
      <w:pPr>
        <w:spacing w:after="120"/>
        <w:jc w:val="center"/>
      </w:pPr>
      <w:r>
        <w:rPr>
          <w:rFonts w:ascii="Times New Roman" w:hAnsi="Times New Roman"/>
          <w:b/>
          <w:i w:val="0"/>
          <w:sz w:val="24"/>
        </w:rPr>
        <w:t>↓</w:t>
      </w:r>
    </w:p>
    <w:p>
      <w:pPr>
        <w:spacing w:after="120"/>
        <w:jc w:val="center"/>
      </w:pPr>
      <w:r>
        <w:rPr>
          <w:rFonts w:ascii="Times New Roman" w:hAnsi="Times New Roman"/>
          <w:b/>
          <w:i w:val="0"/>
          <w:sz w:val="24"/>
        </w:rPr>
        <w:t>EDA + Visualization</w:t>
      </w:r>
    </w:p>
    <w:p>
      <w:pPr>
        <w:spacing w:after="120"/>
        <w:jc w:val="center"/>
      </w:pPr>
      <w:r>
        <w:rPr>
          <w:rFonts w:ascii="Times New Roman" w:hAnsi="Times New Roman"/>
          <w:b/>
          <w:i w:val="0"/>
          <w:sz w:val="24"/>
        </w:rPr>
        <w:t>↓</w:t>
      </w:r>
    </w:p>
    <w:p>
      <w:pPr>
        <w:spacing w:after="120"/>
        <w:jc w:val="center"/>
      </w:pPr>
      <w:r>
        <w:rPr>
          <w:rFonts w:ascii="Times New Roman" w:hAnsi="Times New Roman"/>
          <w:b/>
          <w:i w:val="0"/>
          <w:sz w:val="24"/>
        </w:rPr>
        <w:t>Preprocessing Pipeline + Train/Test Split</w:t>
      </w:r>
    </w:p>
    <w:p>
      <w:pPr>
        <w:spacing w:after="120"/>
        <w:jc w:val="center"/>
      </w:pPr>
      <w:r>
        <w:rPr>
          <w:rFonts w:ascii="Times New Roman" w:hAnsi="Times New Roman"/>
          <w:b/>
          <w:i w:val="0"/>
          <w:sz w:val="24"/>
        </w:rPr>
        <w:t>↓</w:t>
      </w:r>
    </w:p>
    <w:p>
      <w:pPr>
        <w:spacing w:after="120"/>
        <w:jc w:val="center"/>
      </w:pPr>
      <w:r>
        <w:rPr>
          <w:rFonts w:ascii="Times New Roman" w:hAnsi="Times New Roman"/>
          <w:b/>
          <w:i w:val="0"/>
          <w:sz w:val="24"/>
        </w:rPr>
        <w:t>Logistic Regression | Decision Tree | Random Forest</w:t>
      </w:r>
    </w:p>
    <w:p>
      <w:pPr>
        <w:spacing w:after="120"/>
        <w:jc w:val="center"/>
      </w:pPr>
      <w:r>
        <w:rPr>
          <w:rFonts w:ascii="Times New Roman" w:hAnsi="Times New Roman"/>
          <w:b/>
          <w:i w:val="0"/>
          <w:sz w:val="24"/>
        </w:rPr>
        <w:t>↓</w:t>
      </w:r>
    </w:p>
    <w:p>
      <w:pPr>
        <w:spacing w:after="120"/>
        <w:jc w:val="center"/>
      </w:pPr>
      <w:r>
        <w:rPr>
          <w:rFonts w:ascii="Times New Roman" w:hAnsi="Times New Roman"/>
          <w:b/>
          <w:i w:val="0"/>
          <w:sz w:val="24"/>
        </w:rPr>
        <w:t>Evaluation + Best Model + Feature Importance</w:t>
      </w:r>
    </w:p>
    <w:p>
      <w:pPr>
        <w:pStyle w:val="CaptionCustom"/>
      </w:pPr>
      <w:r>
        <w:t>Figure 1. Project Workflow Architecture</w:t>
      </w:r>
    </w:p>
    <w:p>
      <w:pPr>
        <w:pStyle w:val="Heading2"/>
      </w:pPr>
      <w:r>
        <w:t>4.3 Target Variable</w:t>
      </w:r>
    </w:p>
    <w:p>
      <w:r>
        <w:t>The original readmitted field contains multiple readmission categories. The project converts it into a binary variable. Records with readmitted equal to “&lt;30” are assigned 1, representing readmission within 30 days. All other categories are assigned 0. The original readmitted field is then removed before modelling.</w:t>
      </w:r>
    </w:p>
    <w:p>
      <w:pPr>
        <w:pStyle w:val="Heading2"/>
      </w:pPr>
      <w:r>
        <w:t>4.4 Features Used in Week 1 Baseline</w:t>
      </w:r>
    </w:p>
    <w:p>
      <w:r>
        <w:t>The Week 1 baseline explicitly selects demographic, admission, hospital-stay, laboratory, medication, and utilization features: race, gender, age, admission_type_id, discharge_disposition_id, admission_source_id, time_in_hospital, num_lab_procedures, num_procedures, num_medications, number_outpatient, number_emergency, number_inpatient, and number_diagnoses.</w:t>
      </w:r>
    </w:p>
    <w:p>
      <w:r>
        <w:br w:type="page"/>
      </w:r>
    </w:p>
    <w:p>
      <w:pPr>
        <w:pStyle w:val="Heading1"/>
      </w:pPr>
      <w:r>
        <w:t>CHAPTER 5: WEEK-WISE METHODOLOGY</w:t>
      </w:r>
    </w:p>
    <w:tbl>
      <w:tblPr>
        <w:tblStyle w:val="TableGrid"/>
        <w:tblW w:type="auto" w:w="0"/>
        <w:jc w:val="center"/>
        <w:tblLook w:firstColumn="1" w:firstRow="1" w:lastColumn="0" w:lastRow="0" w:noHBand="0" w:noVBand="1" w:val="04A0"/>
      </w:tblPr>
      <w:tblGrid>
        <w:gridCol w:w="2770"/>
        <w:gridCol w:w="2770"/>
        <w:gridCol w:w="2770"/>
      </w:tblGrid>
      <w:tr>
        <w:tc>
          <w:tcPr>
            <w:tcW w:type="dxa" w:w="2770"/>
            <w:vAlign w:val="center"/>
          </w:tcPr>
          <w:p>
            <w:pPr>
              <w:jc w:val="center"/>
            </w:pPr>
            <w:r>
              <w:rPr>
                <w:rFonts w:ascii="Times New Roman" w:hAnsi="Times New Roman"/>
                <w:b/>
                <w:sz w:val="20"/>
              </w:rPr>
              <w:t>Week</w:t>
            </w:r>
          </w:p>
        </w:tc>
        <w:tc>
          <w:tcPr>
            <w:tcW w:type="dxa" w:w="2770"/>
            <w:vAlign w:val="center"/>
          </w:tcPr>
          <w:p>
            <w:pPr>
              <w:jc w:val="center"/>
            </w:pPr>
            <w:r>
              <w:rPr>
                <w:rFonts w:ascii="Times New Roman" w:hAnsi="Times New Roman"/>
                <w:b/>
                <w:sz w:val="20"/>
              </w:rPr>
              <w:t>Activity</w:t>
            </w:r>
          </w:p>
        </w:tc>
        <w:tc>
          <w:tcPr>
            <w:tcW w:type="dxa" w:w="2770"/>
            <w:vAlign w:val="center"/>
          </w:tcPr>
          <w:p>
            <w:pPr>
              <w:jc w:val="center"/>
            </w:pPr>
            <w:r>
              <w:rPr>
                <w:rFonts w:ascii="Times New Roman" w:hAnsi="Times New Roman"/>
                <w:b/>
                <w:sz w:val="20"/>
              </w:rPr>
              <w:t>Main Outcome</w:t>
            </w:r>
          </w:p>
        </w:tc>
      </w:tr>
      <w:tr>
        <w:tc>
          <w:tcPr>
            <w:tcW w:type="dxa" w:w="2770"/>
            <w:vAlign w:val="center"/>
          </w:tcPr>
          <w:p>
            <w:pPr>
              <w:jc w:val="center"/>
            </w:pPr>
            <w:r>
              <w:rPr>
                <w:rFonts w:ascii="Times New Roman" w:hAnsi="Times New Roman"/>
                <w:sz w:val="20"/>
              </w:rPr>
              <w:t>Week 1</w:t>
            </w:r>
          </w:p>
        </w:tc>
        <w:tc>
          <w:tcPr>
            <w:tcW w:type="dxa" w:w="2770"/>
            <w:vAlign w:val="center"/>
          </w:tcPr>
          <w:p>
            <w:pPr>
              <w:jc w:val="center"/>
            </w:pPr>
            <w:r>
              <w:rPr>
                <w:rFonts w:ascii="Times New Roman" w:hAnsi="Times New Roman"/>
                <w:sz w:val="20"/>
              </w:rPr>
              <w:t>Planning, baseline preprocessing and Logistic Regression</w:t>
            </w:r>
          </w:p>
        </w:tc>
        <w:tc>
          <w:tcPr>
            <w:tcW w:type="dxa" w:w="2770"/>
            <w:vAlign w:val="center"/>
          </w:tcPr>
          <w:p>
            <w:pPr>
              <w:jc w:val="center"/>
            </w:pPr>
            <w:r>
              <w:rPr>
                <w:rFonts w:ascii="Times New Roman" w:hAnsi="Times New Roman"/>
                <w:sz w:val="20"/>
              </w:rPr>
              <w:t>Baseline readmission prediction pipeline</w:t>
            </w:r>
          </w:p>
        </w:tc>
      </w:tr>
      <w:tr>
        <w:tc>
          <w:tcPr>
            <w:tcW w:type="dxa" w:w="2770"/>
            <w:vAlign w:val="center"/>
          </w:tcPr>
          <w:p>
            <w:pPr>
              <w:jc w:val="center"/>
            </w:pPr>
            <w:r>
              <w:rPr>
                <w:rFonts w:ascii="Times New Roman" w:hAnsi="Times New Roman"/>
                <w:sz w:val="20"/>
              </w:rPr>
              <w:t>Week 2</w:t>
            </w:r>
          </w:p>
        </w:tc>
        <w:tc>
          <w:tcPr>
            <w:tcW w:type="dxa" w:w="2770"/>
            <w:vAlign w:val="center"/>
          </w:tcPr>
          <w:p>
            <w:pPr>
              <w:jc w:val="center"/>
            </w:pPr>
            <w:r>
              <w:rPr>
                <w:rFonts w:ascii="Times New Roman" w:hAnsi="Times New Roman"/>
                <w:sz w:val="20"/>
              </w:rPr>
              <w:t>Data extraction and cleaning</w:t>
            </w:r>
          </w:p>
        </w:tc>
        <w:tc>
          <w:tcPr>
            <w:tcW w:type="dxa" w:w="2770"/>
            <w:vAlign w:val="center"/>
          </w:tcPr>
          <w:p>
            <w:pPr>
              <w:jc w:val="center"/>
            </w:pPr>
            <w:r>
              <w:rPr>
                <w:rFonts w:ascii="Times New Roman" w:hAnsi="Times New Roman"/>
                <w:sz w:val="20"/>
              </w:rPr>
              <w:t>cleaned_healthcare_data.csv</w:t>
            </w:r>
          </w:p>
        </w:tc>
      </w:tr>
      <w:tr>
        <w:tc>
          <w:tcPr>
            <w:tcW w:type="dxa" w:w="2770"/>
            <w:vAlign w:val="center"/>
          </w:tcPr>
          <w:p>
            <w:pPr>
              <w:jc w:val="center"/>
            </w:pPr>
            <w:r>
              <w:rPr>
                <w:rFonts w:ascii="Times New Roman" w:hAnsi="Times New Roman"/>
                <w:sz w:val="20"/>
              </w:rPr>
              <w:t>Week 3</w:t>
            </w:r>
          </w:p>
        </w:tc>
        <w:tc>
          <w:tcPr>
            <w:tcW w:type="dxa" w:w="2770"/>
            <w:vAlign w:val="center"/>
          </w:tcPr>
          <w:p>
            <w:pPr>
              <w:jc w:val="center"/>
            </w:pPr>
            <w:r>
              <w:rPr>
                <w:rFonts w:ascii="Times New Roman" w:hAnsi="Times New Roman"/>
                <w:sz w:val="20"/>
              </w:rPr>
              <w:t>Exploratory Data Analysis and visualization</w:t>
            </w:r>
          </w:p>
        </w:tc>
        <w:tc>
          <w:tcPr>
            <w:tcW w:type="dxa" w:w="2770"/>
            <w:vAlign w:val="center"/>
          </w:tcPr>
          <w:p>
            <w:pPr>
              <w:jc w:val="center"/>
            </w:pPr>
            <w:r>
              <w:rPr>
                <w:rFonts w:ascii="Times New Roman" w:hAnsi="Times New Roman"/>
                <w:sz w:val="20"/>
              </w:rPr>
              <w:t>Descriptive statistics, correlations and graphs</w:t>
            </w:r>
          </w:p>
        </w:tc>
      </w:tr>
      <w:tr>
        <w:tc>
          <w:tcPr>
            <w:tcW w:type="dxa" w:w="2770"/>
            <w:vAlign w:val="center"/>
          </w:tcPr>
          <w:p>
            <w:pPr>
              <w:jc w:val="center"/>
            </w:pPr>
            <w:r>
              <w:rPr>
                <w:rFonts w:ascii="Times New Roman" w:hAnsi="Times New Roman"/>
                <w:sz w:val="20"/>
              </w:rPr>
              <w:t>Week 4</w:t>
            </w:r>
          </w:p>
        </w:tc>
        <w:tc>
          <w:tcPr>
            <w:tcW w:type="dxa" w:w="2770"/>
            <w:vAlign w:val="center"/>
          </w:tcPr>
          <w:p>
            <w:pPr>
              <w:jc w:val="center"/>
            </w:pPr>
            <w:r>
              <w:rPr>
                <w:rFonts w:ascii="Times New Roman" w:hAnsi="Times New Roman"/>
                <w:sz w:val="20"/>
              </w:rPr>
              <w:t>Predictive modelling and model comparison</w:t>
            </w:r>
          </w:p>
        </w:tc>
        <w:tc>
          <w:tcPr>
            <w:tcW w:type="dxa" w:w="2770"/>
            <w:vAlign w:val="center"/>
          </w:tcPr>
          <w:p>
            <w:pPr>
              <w:jc w:val="center"/>
            </w:pPr>
            <w:r>
              <w:rPr>
                <w:rFonts w:ascii="Times New Roman" w:hAnsi="Times New Roman"/>
                <w:sz w:val="20"/>
              </w:rPr>
              <w:t>Three-model evaluation and feature importance</w:t>
            </w:r>
          </w:p>
        </w:tc>
      </w:tr>
      <w:tr>
        <w:tc>
          <w:tcPr>
            <w:tcW w:type="dxa" w:w="2770"/>
            <w:vAlign w:val="center"/>
          </w:tcPr>
          <w:p>
            <w:pPr>
              <w:jc w:val="center"/>
            </w:pPr>
            <w:r>
              <w:rPr>
                <w:rFonts w:ascii="Times New Roman" w:hAnsi="Times New Roman"/>
                <w:sz w:val="20"/>
              </w:rPr>
              <w:t>Week 5</w:t>
            </w:r>
          </w:p>
        </w:tc>
        <w:tc>
          <w:tcPr>
            <w:tcW w:type="dxa" w:w="2770"/>
            <w:vAlign w:val="center"/>
          </w:tcPr>
          <w:p>
            <w:pPr>
              <w:jc w:val="center"/>
            </w:pPr>
            <w:r>
              <w:rPr>
                <w:rFonts w:ascii="Times New Roman" w:hAnsi="Times New Roman"/>
                <w:sz w:val="20"/>
              </w:rPr>
              <w:t>Reporting, interpretation and future strategies</w:t>
            </w:r>
          </w:p>
        </w:tc>
        <w:tc>
          <w:tcPr>
            <w:tcW w:type="dxa" w:w="2770"/>
            <w:vAlign w:val="center"/>
          </w:tcPr>
          <w:p>
            <w:pPr>
              <w:jc w:val="center"/>
            </w:pPr>
            <w:r>
              <w:rPr>
                <w:rFonts w:ascii="Times New Roman" w:hAnsi="Times New Roman"/>
                <w:sz w:val="20"/>
              </w:rPr>
              <w:t>Final consolidated outputs and reporting workflow</w:t>
            </w:r>
          </w:p>
        </w:tc>
      </w:tr>
    </w:tbl>
    <w:p>
      <w:pPr>
        <w:pStyle w:val="CaptionCustom"/>
      </w:pPr>
      <w:r>
        <w:t>Table 5.1 Week-wise Project Workflow</w:t>
      </w:r>
    </w:p>
    <w:p>
      <w:pPr>
        <w:pStyle w:val="Heading2"/>
      </w:pPr>
      <w:r>
        <w:t>5.1 Week 1 – Baseline Healthcare Readmission Prediction</w:t>
      </w:r>
    </w:p>
    <w:p>
      <w:r>
        <w:t>Week 1 loads the raw diabetic_data.csv file, replaces “?” with missing values, removes high-missingness/administrative fields such as weight, payer_code, and medical_specialty, and removes encounter_id and patient_nbr from the baseline model. A binary readmission target is created. Selected numerical and categorical features are processed through separate pipelines.</w:t>
      </w:r>
    </w:p>
    <w:p>
      <w:r>
        <w:t>The baseline model is Logistic Regression with max_iter=1000 and class_weight='balanced'. The data is split using an 80:20 stratified train-test split with random_state=42. The model is evaluated using Accuracy, Precision, Recall, F1 Score, and ROC-AUC, and a confusion matrix is generated.</w:t>
      </w:r>
    </w:p>
    <w:p>
      <w:pPr>
        <w:pStyle w:val="Heading2"/>
      </w:pPr>
      <w:r>
        <w:t>5.2 Week 2 – Data Extraction and Cleaning</w:t>
      </w:r>
    </w:p>
    <w:p>
      <w:r>
        <w:t>Week 2 standardizes column names by trimming whitespace, converting names to lowercase, and replacing spaces with underscores. Administrative identifiers and high-missingness columns are removed. Selected numeric fields are explicitly converted to numeric types. Numeric missing values are filled using the median, while categorical missing values are replaced with “Unknown”. Duplicate records are counted and removed. The cleaned data is validated for negative hospital-stay and diagnosis values and saved as cleaned_healthcare_data.csv.</w:t>
      </w:r>
    </w:p>
    <w:p>
      <w:pPr>
        <w:pStyle w:val="Heading2"/>
      </w:pPr>
      <w:r>
        <w:t>5.3 Week 3 – Exploratory Data Analysis</w:t>
      </w:r>
    </w:p>
    <w:p>
      <w:r>
        <w:t>Week 3 examines the cleaned dataset using shape, data types, missing-value checks, descriptive statistics, target distribution, and correlation analysis. The code creates visualizations for hospital stay, readmission distribution, readmission by age group, hospital stay versus readmission, medications versus laboratory procedures, previous inpatient visits versus readmission, and medication distribution. A correlation matrix and top variables related to the readmission target are also generated.</w:t>
      </w:r>
    </w:p>
    <w:p>
      <w:pPr>
        <w:pStyle w:val="Heading2"/>
      </w:pPr>
      <w:r>
        <w:t>5.4 Week 4 – Predictive Modelling</w:t>
      </w:r>
    </w:p>
    <w:p>
      <w:r>
        <w:t>Week 4 expands the baseline into a three-model comparison. Logistic Regression, Decision Tree, and Random Forest are trained using the same preprocessing framework and the same stratified 80:20 split. Each model is evaluated using Accuracy, Precision, Recall, F1 Score, and ROC-AUC. The model with the highest ROC-AUC is selected as the best model. Confusion matrix and ROC curve comparison plots are generated, and Random Forest feature importance is used to identify the top 15 transformed features.</w:t>
      </w:r>
    </w:p>
    <w:p>
      <w:pPr>
        <w:pStyle w:val="Heading2"/>
      </w:pPr>
      <w:r>
        <w:t>5.5 Week 5 – Final Reporting and Interpretation</w:t>
      </w:r>
    </w:p>
    <w:p>
      <w:r>
        <w:t>Week 5 repeats and consolidates the predictive workflow, stores predictions and probabilities for each model, creates the model comparison table, selects the best model by ROC-AUC, creates the best-model confusion matrix and ROC curve comparison, and saves the top 15 Random Forest feature importances. The cleaned dataset is also saved as final_healthcare_dataset.csv inside the week5_results folder.</w:t>
      </w:r>
    </w:p>
    <w:p>
      <w:r>
        <w:br w:type="page"/>
      </w:r>
    </w:p>
    <w:p>
      <w:pPr>
        <w:pStyle w:val="Heading1"/>
      </w:pPr>
      <w:r>
        <w:t>CHAPTER 6: IMPLEMENTATION DETAILS</w:t>
      </w:r>
    </w:p>
    <w:p>
      <w:pPr>
        <w:pStyle w:val="Heading2"/>
      </w:pPr>
      <w:r>
        <w:t>6.1 Data Loading and Cleaning</w:t>
      </w:r>
    </w:p>
    <w:p>
      <w:r>
        <w:t>The raw dataset is read with pandas. The cleaning pipeline first normalizes missing-value symbols, removes fields that are not used for modelling, converts relevant columns to numeric types, and treats missing values according to feature type. Identifier fields are excluded to reduce the risk of learning from administrative identifiers rather than clinically meaningful attributes.</w:t>
      </w:r>
    </w:p>
    <w:p>
      <w:pPr>
        <w:pStyle w:val="Heading2"/>
      </w:pPr>
      <w:r>
        <w:t>6.2 Exploratory Analysis</w:t>
      </w:r>
    </w:p>
    <w:p>
      <w:r>
        <w:t>Exploratory analysis uses descriptive statistics and visualizations to understand distributions and relationships. The correlation matrix is calculated over numeric variables. The project also ranks variables by their absolute correlation with the readmission target, providing an initial statistical screening before machine learning.</w:t>
      </w:r>
    </w:p>
    <w:p>
      <w:pPr>
        <w:pStyle w:val="Heading2"/>
      </w:pPr>
      <w:r>
        <w:t>6.3 Machine Learning Pipeline</w:t>
      </w:r>
    </w:p>
    <w:p>
      <w:r>
        <w:t>A ColumnTransformer applies numerical and categorical preprocessing separately. The complete preprocessing and model steps are combined into a single Pipeline. This ensures that preprocessing is learned from the training data and then applied consistently to the test data.</w:t>
      </w:r>
    </w:p>
    <w:tbl>
      <w:tblPr>
        <w:tblStyle w:val="TableGrid"/>
        <w:tblW w:type="auto" w:w="0"/>
        <w:jc w:val="center"/>
        <w:tblLook w:firstColumn="1" w:firstRow="1" w:lastColumn="0" w:lastRow="0" w:noHBand="0" w:noVBand="1" w:val="04A0"/>
      </w:tblPr>
      <w:tblGrid>
        <w:gridCol w:w="4154"/>
        <w:gridCol w:w="4154"/>
      </w:tblGrid>
      <w:tr>
        <w:tc>
          <w:tcPr>
            <w:tcW w:type="dxa" w:w="4154"/>
            <w:vAlign w:val="center"/>
          </w:tcPr>
          <w:p>
            <w:pPr>
              <w:jc w:val="center"/>
            </w:pPr>
            <w:r>
              <w:rPr>
                <w:rFonts w:ascii="Times New Roman" w:hAnsi="Times New Roman"/>
                <w:b/>
                <w:sz w:val="20"/>
              </w:rPr>
              <w:t>Model</w:t>
            </w:r>
          </w:p>
        </w:tc>
        <w:tc>
          <w:tcPr>
            <w:tcW w:type="dxa" w:w="4154"/>
            <w:vAlign w:val="center"/>
          </w:tcPr>
          <w:p>
            <w:pPr>
              <w:jc w:val="center"/>
            </w:pPr>
            <w:r>
              <w:rPr>
                <w:rFonts w:ascii="Times New Roman" w:hAnsi="Times New Roman"/>
                <w:b/>
                <w:sz w:val="20"/>
              </w:rPr>
              <w:t>Configuration Used</w:t>
            </w:r>
          </w:p>
        </w:tc>
      </w:tr>
      <w:tr>
        <w:tc>
          <w:tcPr>
            <w:tcW w:type="dxa" w:w="4154"/>
            <w:vAlign w:val="center"/>
          </w:tcPr>
          <w:p>
            <w:pPr>
              <w:jc w:val="center"/>
            </w:pPr>
            <w:r>
              <w:rPr>
                <w:rFonts w:ascii="Times New Roman" w:hAnsi="Times New Roman"/>
                <w:sz w:val="20"/>
              </w:rPr>
              <w:t>Logistic Regression</w:t>
            </w:r>
          </w:p>
        </w:tc>
        <w:tc>
          <w:tcPr>
            <w:tcW w:type="dxa" w:w="4154"/>
            <w:vAlign w:val="center"/>
          </w:tcPr>
          <w:p>
            <w:pPr>
              <w:jc w:val="center"/>
            </w:pPr>
            <w:r>
              <w:rPr>
                <w:rFonts w:ascii="Times New Roman" w:hAnsi="Times New Roman"/>
                <w:sz w:val="20"/>
              </w:rPr>
              <w:t>max_iter=1000, class_weight='balanced', random_state=42</w:t>
            </w:r>
          </w:p>
        </w:tc>
      </w:tr>
      <w:tr>
        <w:tc>
          <w:tcPr>
            <w:tcW w:type="dxa" w:w="4154"/>
            <w:vAlign w:val="center"/>
          </w:tcPr>
          <w:p>
            <w:pPr>
              <w:jc w:val="center"/>
            </w:pPr>
            <w:r>
              <w:rPr>
                <w:rFonts w:ascii="Times New Roman" w:hAnsi="Times New Roman"/>
                <w:sz w:val="20"/>
              </w:rPr>
              <w:t>Decision Tree</w:t>
            </w:r>
          </w:p>
        </w:tc>
        <w:tc>
          <w:tcPr>
            <w:tcW w:type="dxa" w:w="4154"/>
            <w:vAlign w:val="center"/>
          </w:tcPr>
          <w:p>
            <w:pPr>
              <w:jc w:val="center"/>
            </w:pPr>
            <w:r>
              <w:rPr>
                <w:rFonts w:ascii="Times New Roman" w:hAnsi="Times New Roman"/>
                <w:sz w:val="20"/>
              </w:rPr>
              <w:t>max_depth=8, min_samples_split=10, class_weight='balanced', random_state=42</w:t>
            </w:r>
          </w:p>
        </w:tc>
      </w:tr>
      <w:tr>
        <w:tc>
          <w:tcPr>
            <w:tcW w:type="dxa" w:w="4154"/>
            <w:vAlign w:val="center"/>
          </w:tcPr>
          <w:p>
            <w:pPr>
              <w:jc w:val="center"/>
            </w:pPr>
            <w:r>
              <w:rPr>
                <w:rFonts w:ascii="Times New Roman" w:hAnsi="Times New Roman"/>
                <w:sz w:val="20"/>
              </w:rPr>
              <w:t>Random Forest</w:t>
            </w:r>
          </w:p>
        </w:tc>
        <w:tc>
          <w:tcPr>
            <w:tcW w:type="dxa" w:w="4154"/>
            <w:vAlign w:val="center"/>
          </w:tcPr>
          <w:p>
            <w:pPr>
              <w:jc w:val="center"/>
            </w:pPr>
            <w:r>
              <w:rPr>
                <w:rFonts w:ascii="Times New Roman" w:hAnsi="Times New Roman"/>
                <w:sz w:val="20"/>
              </w:rPr>
              <w:t>n_estimators=150, max_depth=12, min_samples_split=5, class_weight='balanced', random_state=42, n_jobs=-1</w:t>
            </w:r>
          </w:p>
        </w:tc>
      </w:tr>
    </w:tbl>
    <w:p>
      <w:pPr>
        <w:pStyle w:val="CaptionCustom"/>
      </w:pPr>
      <w:r>
        <w:t>Table 6.1 Machine Learning Models</w:t>
      </w:r>
    </w:p>
    <w:p>
      <w:pPr>
        <w:pStyle w:val="Heading2"/>
      </w:pPr>
      <w:r>
        <w:t>6.4 Evaluation Metrics</w:t>
      </w:r>
    </w:p>
    <w:p>
      <w:r>
        <w:t>Accuracy measures the proportion of correct predictions. Precision measures the proportion of predicted positive cases that are actually positive. Recall measures the proportion of actual positive cases detected by the model. F1 Score combines precision and recall through their harmonic mean. ROC-AUC measures the model's ability to rank positive cases above negative cases across classification thresholds.</w:t>
      </w:r>
    </w:p>
    <w:tbl>
      <w:tblPr>
        <w:tblStyle w:val="TableGrid"/>
        <w:tblW w:type="auto" w:w="0"/>
        <w:jc w:val="center"/>
        <w:tblLook w:firstColumn="1" w:firstRow="1" w:lastColumn="0" w:lastRow="0" w:noHBand="0" w:noVBand="1" w:val="04A0"/>
      </w:tblPr>
      <w:tblGrid>
        <w:gridCol w:w="4154"/>
        <w:gridCol w:w="4154"/>
      </w:tblGrid>
      <w:tr>
        <w:tc>
          <w:tcPr>
            <w:tcW w:type="dxa" w:w="4154"/>
            <w:vAlign w:val="center"/>
          </w:tcPr>
          <w:p>
            <w:pPr>
              <w:jc w:val="center"/>
            </w:pPr>
            <w:r>
              <w:rPr>
                <w:rFonts w:ascii="Times New Roman" w:hAnsi="Times New Roman"/>
                <w:b/>
                <w:sz w:val="20"/>
              </w:rPr>
              <w:t>Metric</w:t>
            </w:r>
          </w:p>
        </w:tc>
        <w:tc>
          <w:tcPr>
            <w:tcW w:type="dxa" w:w="4154"/>
            <w:vAlign w:val="center"/>
          </w:tcPr>
          <w:p>
            <w:pPr>
              <w:jc w:val="center"/>
            </w:pPr>
            <w:r>
              <w:rPr>
                <w:rFonts w:ascii="Times New Roman" w:hAnsi="Times New Roman"/>
                <w:b/>
                <w:sz w:val="20"/>
              </w:rPr>
              <w:t>Meaning</w:t>
            </w:r>
          </w:p>
        </w:tc>
      </w:tr>
      <w:tr>
        <w:tc>
          <w:tcPr>
            <w:tcW w:type="dxa" w:w="4154"/>
            <w:vAlign w:val="center"/>
          </w:tcPr>
          <w:p>
            <w:pPr>
              <w:jc w:val="center"/>
            </w:pPr>
            <w:r>
              <w:rPr>
                <w:rFonts w:ascii="Times New Roman" w:hAnsi="Times New Roman"/>
                <w:sz w:val="20"/>
              </w:rPr>
              <w:t>Accuracy</w:t>
            </w:r>
          </w:p>
        </w:tc>
        <w:tc>
          <w:tcPr>
            <w:tcW w:type="dxa" w:w="4154"/>
            <w:vAlign w:val="center"/>
          </w:tcPr>
          <w:p>
            <w:pPr>
              <w:jc w:val="center"/>
            </w:pPr>
            <w:r>
              <w:rPr>
                <w:rFonts w:ascii="Times New Roman" w:hAnsi="Times New Roman"/>
                <w:sz w:val="20"/>
              </w:rPr>
              <w:t>Overall proportion of correct classifications.</w:t>
            </w:r>
          </w:p>
        </w:tc>
      </w:tr>
      <w:tr>
        <w:tc>
          <w:tcPr>
            <w:tcW w:type="dxa" w:w="4154"/>
            <w:vAlign w:val="center"/>
          </w:tcPr>
          <w:p>
            <w:pPr>
              <w:jc w:val="center"/>
            </w:pPr>
            <w:r>
              <w:rPr>
                <w:rFonts w:ascii="Times New Roman" w:hAnsi="Times New Roman"/>
                <w:sz w:val="20"/>
              </w:rPr>
              <w:t>Precision</w:t>
            </w:r>
          </w:p>
        </w:tc>
        <w:tc>
          <w:tcPr>
            <w:tcW w:type="dxa" w:w="4154"/>
            <w:vAlign w:val="center"/>
          </w:tcPr>
          <w:p>
            <w:pPr>
              <w:jc w:val="center"/>
            </w:pPr>
            <w:r>
              <w:rPr>
                <w:rFonts w:ascii="Times New Roman" w:hAnsi="Times New Roman"/>
                <w:sz w:val="20"/>
              </w:rPr>
              <w:t>Correct positive predictions among all predicted positives.</w:t>
            </w:r>
          </w:p>
        </w:tc>
      </w:tr>
      <w:tr>
        <w:tc>
          <w:tcPr>
            <w:tcW w:type="dxa" w:w="4154"/>
            <w:vAlign w:val="center"/>
          </w:tcPr>
          <w:p>
            <w:pPr>
              <w:jc w:val="center"/>
            </w:pPr>
            <w:r>
              <w:rPr>
                <w:rFonts w:ascii="Times New Roman" w:hAnsi="Times New Roman"/>
                <w:sz w:val="20"/>
              </w:rPr>
              <w:t>Recall</w:t>
            </w:r>
          </w:p>
        </w:tc>
        <w:tc>
          <w:tcPr>
            <w:tcW w:type="dxa" w:w="4154"/>
            <w:vAlign w:val="center"/>
          </w:tcPr>
          <w:p>
            <w:pPr>
              <w:jc w:val="center"/>
            </w:pPr>
            <w:r>
              <w:rPr>
                <w:rFonts w:ascii="Times New Roman" w:hAnsi="Times New Roman"/>
                <w:sz w:val="20"/>
              </w:rPr>
              <w:t>Correctly identified positive cases among all actual positives.</w:t>
            </w:r>
          </w:p>
        </w:tc>
      </w:tr>
      <w:tr>
        <w:tc>
          <w:tcPr>
            <w:tcW w:type="dxa" w:w="4154"/>
            <w:vAlign w:val="center"/>
          </w:tcPr>
          <w:p>
            <w:pPr>
              <w:jc w:val="center"/>
            </w:pPr>
            <w:r>
              <w:rPr>
                <w:rFonts w:ascii="Times New Roman" w:hAnsi="Times New Roman"/>
                <w:sz w:val="20"/>
              </w:rPr>
              <w:t>F1 Score</w:t>
            </w:r>
          </w:p>
        </w:tc>
        <w:tc>
          <w:tcPr>
            <w:tcW w:type="dxa" w:w="4154"/>
            <w:vAlign w:val="center"/>
          </w:tcPr>
          <w:p>
            <w:pPr>
              <w:jc w:val="center"/>
            </w:pPr>
            <w:r>
              <w:rPr>
                <w:rFonts w:ascii="Times New Roman" w:hAnsi="Times New Roman"/>
                <w:sz w:val="20"/>
              </w:rPr>
              <w:t>Harmonic mean of precision and recall.</w:t>
            </w:r>
          </w:p>
        </w:tc>
      </w:tr>
      <w:tr>
        <w:tc>
          <w:tcPr>
            <w:tcW w:type="dxa" w:w="4154"/>
            <w:vAlign w:val="center"/>
          </w:tcPr>
          <w:p>
            <w:pPr>
              <w:jc w:val="center"/>
            </w:pPr>
            <w:r>
              <w:rPr>
                <w:rFonts w:ascii="Times New Roman" w:hAnsi="Times New Roman"/>
                <w:sz w:val="20"/>
              </w:rPr>
              <w:t>ROC-AUC</w:t>
            </w:r>
          </w:p>
        </w:tc>
        <w:tc>
          <w:tcPr>
            <w:tcW w:type="dxa" w:w="4154"/>
            <w:vAlign w:val="center"/>
          </w:tcPr>
          <w:p>
            <w:pPr>
              <w:jc w:val="center"/>
            </w:pPr>
            <w:r>
              <w:rPr>
                <w:rFonts w:ascii="Times New Roman" w:hAnsi="Times New Roman"/>
                <w:sz w:val="20"/>
              </w:rPr>
              <w:t>Threshold-independent discrimination measure based on ranking probabilities.</w:t>
            </w:r>
          </w:p>
        </w:tc>
      </w:tr>
    </w:tbl>
    <w:p>
      <w:pPr>
        <w:pStyle w:val="CaptionCustom"/>
      </w:pPr>
      <w:r>
        <w:t>Table 6.2 Model Evaluation Metrics</w:t>
      </w:r>
    </w:p>
    <w:p>
      <w:pPr>
        <w:pStyle w:val="Heading2"/>
      </w:pPr>
      <w:r>
        <w:t>6.5 Feature Importance</w:t>
      </w:r>
    </w:p>
    <w:p>
      <w:r>
        <w:t>For Random Forest, feature_importances_ is extracted after preprocessing. The transformed feature names are obtained from the fitted ColumnTransformer, sorted by importance, and the top 15 are saved to feature_importance.csv and visualized in feature_importance.png.</w:t>
      </w:r>
    </w:p>
    <w:p>
      <w:r>
        <w:br w:type="page"/>
      </w:r>
    </w:p>
    <w:p>
      <w:pPr>
        <w:pStyle w:val="Heading1"/>
      </w:pPr>
      <w:r>
        <w:t>CHAPTER 7: RESULTS AND DISCUSSION</w:t>
      </w:r>
    </w:p>
    <w:p>
      <w:pPr>
        <w:pStyle w:val="Heading2"/>
      </w:pPr>
      <w:r>
        <w:t>7.1 Dataset and Processing Results</w:t>
      </w:r>
    </w:p>
    <w:p>
      <w:r>
        <w:t>The source dataset contains 101,766 instances and 47 features according to the UCI Machine Learning Repository. The project then applies its own cleaning workflow. The exact final row count after duplicate removal and the exact target distribution should be taken from the executed Week 2/Week 5 output because those values depend on the supplied execution and are not present in the code text itself.</w:t>
      </w:r>
    </w:p>
    <w:p>
      <w:pPr>
        <w:pStyle w:val="Heading2"/>
      </w:pPr>
      <w:r>
        <w:t>7.2 Model Evaluation Results</w:t>
      </w:r>
    </w:p>
    <w:tbl>
      <w:tblPr>
        <w:tblStyle w:val="TableGrid"/>
        <w:tblW w:type="auto" w:w="0"/>
        <w:jc w:val="center"/>
        <w:tblLook w:firstColumn="1" w:firstRow="1" w:lastColumn="0" w:lastRow="0" w:noHBand="0" w:noVBand="1" w:val="04A0"/>
      </w:tblPr>
      <w:tblGrid>
        <w:gridCol w:w="1385"/>
        <w:gridCol w:w="1385"/>
        <w:gridCol w:w="1385"/>
        <w:gridCol w:w="1385"/>
        <w:gridCol w:w="1385"/>
        <w:gridCol w:w="1385"/>
      </w:tblGrid>
      <w:tr>
        <w:tc>
          <w:tcPr>
            <w:tcW w:type="dxa" w:w="1385"/>
            <w:vAlign w:val="center"/>
          </w:tcPr>
          <w:p>
            <w:pPr>
              <w:jc w:val="center"/>
            </w:pPr>
            <w:r>
              <w:rPr>
                <w:rFonts w:ascii="Times New Roman" w:hAnsi="Times New Roman"/>
                <w:b/>
                <w:sz w:val="20"/>
              </w:rPr>
              <w:t>Model</w:t>
            </w:r>
          </w:p>
        </w:tc>
        <w:tc>
          <w:tcPr>
            <w:tcW w:type="dxa" w:w="1385"/>
            <w:vAlign w:val="center"/>
          </w:tcPr>
          <w:p>
            <w:pPr>
              <w:jc w:val="center"/>
            </w:pPr>
            <w:r>
              <w:rPr>
                <w:rFonts w:ascii="Times New Roman" w:hAnsi="Times New Roman"/>
                <w:b/>
                <w:sz w:val="20"/>
              </w:rPr>
              <w:t>Accuracy</w:t>
            </w:r>
          </w:p>
        </w:tc>
        <w:tc>
          <w:tcPr>
            <w:tcW w:type="dxa" w:w="1385"/>
            <w:vAlign w:val="center"/>
          </w:tcPr>
          <w:p>
            <w:pPr>
              <w:jc w:val="center"/>
            </w:pPr>
            <w:r>
              <w:rPr>
                <w:rFonts w:ascii="Times New Roman" w:hAnsi="Times New Roman"/>
                <w:b/>
                <w:sz w:val="20"/>
              </w:rPr>
              <w:t>Precision</w:t>
            </w:r>
          </w:p>
        </w:tc>
        <w:tc>
          <w:tcPr>
            <w:tcW w:type="dxa" w:w="1385"/>
            <w:vAlign w:val="center"/>
          </w:tcPr>
          <w:p>
            <w:pPr>
              <w:jc w:val="center"/>
            </w:pPr>
            <w:r>
              <w:rPr>
                <w:rFonts w:ascii="Times New Roman" w:hAnsi="Times New Roman"/>
                <w:b/>
                <w:sz w:val="20"/>
              </w:rPr>
              <w:t>Recall</w:t>
            </w:r>
          </w:p>
        </w:tc>
        <w:tc>
          <w:tcPr>
            <w:tcW w:type="dxa" w:w="1385"/>
            <w:vAlign w:val="center"/>
          </w:tcPr>
          <w:p>
            <w:pPr>
              <w:jc w:val="center"/>
            </w:pPr>
            <w:r>
              <w:rPr>
                <w:rFonts w:ascii="Times New Roman" w:hAnsi="Times New Roman"/>
                <w:b/>
                <w:sz w:val="20"/>
              </w:rPr>
              <w:t>F1 Score</w:t>
            </w:r>
          </w:p>
        </w:tc>
        <w:tc>
          <w:tcPr>
            <w:tcW w:type="dxa" w:w="1385"/>
            <w:vAlign w:val="center"/>
          </w:tcPr>
          <w:p>
            <w:pPr>
              <w:jc w:val="center"/>
            </w:pPr>
            <w:r>
              <w:rPr>
                <w:rFonts w:ascii="Times New Roman" w:hAnsi="Times New Roman"/>
                <w:b/>
                <w:sz w:val="20"/>
              </w:rPr>
              <w:t>ROC-AUC</w:t>
            </w:r>
          </w:p>
        </w:tc>
      </w:tr>
      <w:tr>
        <w:tc>
          <w:tcPr>
            <w:tcW w:type="dxa" w:w="1385"/>
            <w:vAlign w:val="center"/>
          </w:tcPr>
          <w:p>
            <w:pPr>
              <w:jc w:val="center"/>
            </w:pPr>
            <w:r>
              <w:rPr>
                <w:rFonts w:ascii="Times New Roman" w:hAnsi="Times New Roman"/>
                <w:sz w:val="20"/>
              </w:rPr>
              <w:t>Logistic Regression</w:t>
            </w:r>
          </w:p>
        </w:tc>
        <w:tc>
          <w:tcPr>
            <w:tcW w:type="dxa" w:w="1385"/>
            <w:vAlign w:val="center"/>
          </w:tcPr>
          <w:p>
            <w:pPr>
              <w:jc w:val="center"/>
            </w:pPr>
            <w:r>
              <w:rPr>
                <w:rFonts w:ascii="Times New Roman" w:hAnsi="Times New Roman"/>
                <w:sz w:val="20"/>
              </w:rPr>
              <w:t>Not available from supplied execution output</w:t>
            </w:r>
          </w:p>
        </w:tc>
        <w:tc>
          <w:tcPr>
            <w:tcW w:type="dxa" w:w="1385"/>
            <w:vAlign w:val="center"/>
          </w:tcPr>
          <w:p>
            <w:pPr>
              <w:jc w:val="center"/>
            </w:pPr>
            <w:r>
              <w:rPr>
                <w:rFonts w:ascii="Times New Roman" w:hAnsi="Times New Roman"/>
                <w:sz w:val="20"/>
              </w:rPr>
              <w:t>Not available</w:t>
            </w:r>
          </w:p>
        </w:tc>
        <w:tc>
          <w:tcPr>
            <w:tcW w:type="dxa" w:w="1385"/>
            <w:vAlign w:val="center"/>
          </w:tcPr>
          <w:p>
            <w:pPr>
              <w:jc w:val="center"/>
            </w:pPr>
            <w:r>
              <w:rPr>
                <w:rFonts w:ascii="Times New Roman" w:hAnsi="Times New Roman"/>
                <w:sz w:val="20"/>
              </w:rPr>
              <w:t>Not available</w:t>
            </w:r>
          </w:p>
        </w:tc>
        <w:tc>
          <w:tcPr>
            <w:tcW w:type="dxa" w:w="1385"/>
            <w:vAlign w:val="center"/>
          </w:tcPr>
          <w:p>
            <w:pPr>
              <w:jc w:val="center"/>
            </w:pPr>
            <w:r>
              <w:rPr>
                <w:rFonts w:ascii="Times New Roman" w:hAnsi="Times New Roman"/>
                <w:sz w:val="20"/>
              </w:rPr>
              <w:t>Not available</w:t>
            </w:r>
          </w:p>
        </w:tc>
        <w:tc>
          <w:tcPr>
            <w:tcW w:type="dxa" w:w="1385"/>
            <w:vAlign w:val="center"/>
          </w:tcPr>
          <w:p>
            <w:pPr>
              <w:jc w:val="center"/>
            </w:pPr>
            <w:r>
              <w:rPr>
                <w:rFonts w:ascii="Times New Roman" w:hAnsi="Times New Roman"/>
                <w:sz w:val="20"/>
              </w:rPr>
              <w:t>Not available</w:t>
            </w:r>
          </w:p>
        </w:tc>
      </w:tr>
      <w:tr>
        <w:tc>
          <w:tcPr>
            <w:tcW w:type="dxa" w:w="1385"/>
            <w:vAlign w:val="center"/>
          </w:tcPr>
          <w:p>
            <w:pPr>
              <w:jc w:val="center"/>
            </w:pPr>
            <w:r>
              <w:rPr>
                <w:rFonts w:ascii="Times New Roman" w:hAnsi="Times New Roman"/>
                <w:sz w:val="20"/>
              </w:rPr>
              <w:t>Decision Tree</w:t>
            </w:r>
          </w:p>
        </w:tc>
        <w:tc>
          <w:tcPr>
            <w:tcW w:type="dxa" w:w="1385"/>
            <w:vAlign w:val="center"/>
          </w:tcPr>
          <w:p>
            <w:pPr>
              <w:jc w:val="center"/>
            </w:pPr>
            <w:r>
              <w:rPr>
                <w:rFonts w:ascii="Times New Roman" w:hAnsi="Times New Roman"/>
                <w:sz w:val="20"/>
              </w:rPr>
              <w:t>Not available from supplied execution output</w:t>
            </w:r>
          </w:p>
        </w:tc>
        <w:tc>
          <w:tcPr>
            <w:tcW w:type="dxa" w:w="1385"/>
            <w:vAlign w:val="center"/>
          </w:tcPr>
          <w:p>
            <w:pPr>
              <w:jc w:val="center"/>
            </w:pPr>
            <w:r>
              <w:rPr>
                <w:rFonts w:ascii="Times New Roman" w:hAnsi="Times New Roman"/>
                <w:sz w:val="20"/>
              </w:rPr>
              <w:t>Not available</w:t>
            </w:r>
          </w:p>
        </w:tc>
        <w:tc>
          <w:tcPr>
            <w:tcW w:type="dxa" w:w="1385"/>
            <w:vAlign w:val="center"/>
          </w:tcPr>
          <w:p>
            <w:pPr>
              <w:jc w:val="center"/>
            </w:pPr>
            <w:r>
              <w:rPr>
                <w:rFonts w:ascii="Times New Roman" w:hAnsi="Times New Roman"/>
                <w:sz w:val="20"/>
              </w:rPr>
              <w:t>Not available</w:t>
            </w:r>
          </w:p>
        </w:tc>
        <w:tc>
          <w:tcPr>
            <w:tcW w:type="dxa" w:w="1385"/>
            <w:vAlign w:val="center"/>
          </w:tcPr>
          <w:p>
            <w:pPr>
              <w:jc w:val="center"/>
            </w:pPr>
            <w:r>
              <w:rPr>
                <w:rFonts w:ascii="Times New Roman" w:hAnsi="Times New Roman"/>
                <w:sz w:val="20"/>
              </w:rPr>
              <w:t>Not available</w:t>
            </w:r>
          </w:p>
        </w:tc>
        <w:tc>
          <w:tcPr>
            <w:tcW w:type="dxa" w:w="1385"/>
            <w:vAlign w:val="center"/>
          </w:tcPr>
          <w:p>
            <w:pPr>
              <w:jc w:val="center"/>
            </w:pPr>
            <w:r>
              <w:rPr>
                <w:rFonts w:ascii="Times New Roman" w:hAnsi="Times New Roman"/>
                <w:sz w:val="20"/>
              </w:rPr>
              <w:t>Not available</w:t>
            </w:r>
          </w:p>
        </w:tc>
      </w:tr>
      <w:tr>
        <w:tc>
          <w:tcPr>
            <w:tcW w:type="dxa" w:w="1385"/>
            <w:vAlign w:val="center"/>
          </w:tcPr>
          <w:p>
            <w:pPr>
              <w:jc w:val="center"/>
            </w:pPr>
            <w:r>
              <w:rPr>
                <w:rFonts w:ascii="Times New Roman" w:hAnsi="Times New Roman"/>
                <w:sz w:val="20"/>
              </w:rPr>
              <w:t>Random Forest</w:t>
            </w:r>
          </w:p>
        </w:tc>
        <w:tc>
          <w:tcPr>
            <w:tcW w:type="dxa" w:w="1385"/>
            <w:vAlign w:val="center"/>
          </w:tcPr>
          <w:p>
            <w:pPr>
              <w:jc w:val="center"/>
            </w:pPr>
            <w:r>
              <w:rPr>
                <w:rFonts w:ascii="Times New Roman" w:hAnsi="Times New Roman"/>
                <w:sz w:val="20"/>
              </w:rPr>
              <w:t>Not available from supplied execution output</w:t>
            </w:r>
          </w:p>
        </w:tc>
        <w:tc>
          <w:tcPr>
            <w:tcW w:type="dxa" w:w="1385"/>
            <w:vAlign w:val="center"/>
          </w:tcPr>
          <w:p>
            <w:pPr>
              <w:jc w:val="center"/>
            </w:pPr>
            <w:r>
              <w:rPr>
                <w:rFonts w:ascii="Times New Roman" w:hAnsi="Times New Roman"/>
                <w:sz w:val="20"/>
              </w:rPr>
              <w:t>Not available</w:t>
            </w:r>
          </w:p>
        </w:tc>
        <w:tc>
          <w:tcPr>
            <w:tcW w:type="dxa" w:w="1385"/>
            <w:vAlign w:val="center"/>
          </w:tcPr>
          <w:p>
            <w:pPr>
              <w:jc w:val="center"/>
            </w:pPr>
            <w:r>
              <w:rPr>
                <w:rFonts w:ascii="Times New Roman" w:hAnsi="Times New Roman"/>
                <w:sz w:val="20"/>
              </w:rPr>
              <w:t>Not available</w:t>
            </w:r>
          </w:p>
        </w:tc>
        <w:tc>
          <w:tcPr>
            <w:tcW w:type="dxa" w:w="1385"/>
            <w:vAlign w:val="center"/>
          </w:tcPr>
          <w:p>
            <w:pPr>
              <w:jc w:val="center"/>
            </w:pPr>
            <w:r>
              <w:rPr>
                <w:rFonts w:ascii="Times New Roman" w:hAnsi="Times New Roman"/>
                <w:sz w:val="20"/>
              </w:rPr>
              <w:t>Not available</w:t>
            </w:r>
          </w:p>
        </w:tc>
        <w:tc>
          <w:tcPr>
            <w:tcW w:type="dxa" w:w="1385"/>
            <w:vAlign w:val="center"/>
          </w:tcPr>
          <w:p>
            <w:pPr>
              <w:jc w:val="center"/>
            </w:pPr>
            <w:r>
              <w:rPr>
                <w:rFonts w:ascii="Times New Roman" w:hAnsi="Times New Roman"/>
                <w:sz w:val="20"/>
              </w:rPr>
              <w:t>Not available</w:t>
            </w:r>
          </w:p>
        </w:tc>
      </w:tr>
    </w:tbl>
    <w:p>
      <w:pPr>
        <w:pStyle w:val="CaptionCustom"/>
      </w:pPr>
      <w:r>
        <w:t>Table 7.1 Model Evaluation Results</w:t>
      </w:r>
    </w:p>
    <w:p>
      <w:r>
        <w:t>The Week 4 and Week 5 code calculates all five metrics for each model and selects the model with the highest ROC-AUC. The supplied material contains the code but not the executed numerical output; therefore, the report intentionally does not insert invented performance values.</w:t>
      </w:r>
    </w:p>
    <w:p>
      <w:pPr>
        <w:pStyle w:val="Heading2"/>
      </w:pPr>
      <w:r>
        <w:t>7.3 Execution Results Status</w:t>
      </w:r>
    </w:p>
    <w:tbl>
      <w:tblPr>
        <w:tblStyle w:val="TableGrid"/>
        <w:tblW w:type="auto" w:w="0"/>
        <w:jc w:val="center"/>
        <w:tblLook w:firstColumn="1" w:firstRow="1" w:lastColumn="0" w:lastRow="0" w:noHBand="0" w:noVBand="1" w:val="04A0"/>
      </w:tblPr>
      <w:tblGrid>
        <w:gridCol w:w="4154"/>
        <w:gridCol w:w="4154"/>
      </w:tblGrid>
      <w:tr>
        <w:tc>
          <w:tcPr>
            <w:tcW w:type="dxa" w:w="4154"/>
            <w:vAlign w:val="center"/>
          </w:tcPr>
          <w:p>
            <w:pPr>
              <w:jc w:val="center"/>
            </w:pPr>
            <w:r>
              <w:rPr>
                <w:rFonts w:ascii="Times New Roman" w:hAnsi="Times New Roman"/>
                <w:b/>
                <w:sz w:val="20"/>
              </w:rPr>
              <w:t>Output</w:t>
            </w:r>
          </w:p>
        </w:tc>
        <w:tc>
          <w:tcPr>
            <w:tcW w:type="dxa" w:w="4154"/>
            <w:vAlign w:val="center"/>
          </w:tcPr>
          <w:p>
            <w:pPr>
              <w:jc w:val="center"/>
            </w:pPr>
            <w:r>
              <w:rPr>
                <w:rFonts w:ascii="Times New Roman" w:hAnsi="Times New Roman"/>
                <w:b/>
                <w:sz w:val="20"/>
              </w:rPr>
              <w:t>Status from supplied material</w:t>
            </w:r>
          </w:p>
        </w:tc>
      </w:tr>
      <w:tr>
        <w:tc>
          <w:tcPr>
            <w:tcW w:type="dxa" w:w="4154"/>
            <w:vAlign w:val="center"/>
          </w:tcPr>
          <w:p>
            <w:pPr>
              <w:jc w:val="center"/>
            </w:pPr>
            <w:r>
              <w:rPr>
                <w:rFonts w:ascii="Times New Roman" w:hAnsi="Times New Roman"/>
                <w:sz w:val="20"/>
              </w:rPr>
              <w:t>Model comparison values</w:t>
            </w:r>
          </w:p>
        </w:tc>
        <w:tc>
          <w:tcPr>
            <w:tcW w:type="dxa" w:w="4154"/>
            <w:vAlign w:val="center"/>
          </w:tcPr>
          <w:p>
            <w:pPr>
              <w:jc w:val="center"/>
            </w:pPr>
            <w:r>
              <w:rPr>
                <w:rFonts w:ascii="Times New Roman" w:hAnsi="Times New Roman"/>
                <w:sz w:val="20"/>
              </w:rPr>
              <w:t>Calculated by code; numerical output not supplied</w:t>
            </w:r>
          </w:p>
        </w:tc>
      </w:tr>
      <w:tr>
        <w:tc>
          <w:tcPr>
            <w:tcW w:type="dxa" w:w="4154"/>
            <w:vAlign w:val="center"/>
          </w:tcPr>
          <w:p>
            <w:pPr>
              <w:jc w:val="center"/>
            </w:pPr>
            <w:r>
              <w:rPr>
                <w:rFonts w:ascii="Times New Roman" w:hAnsi="Times New Roman"/>
                <w:sz w:val="20"/>
              </w:rPr>
              <w:t>Best model name</w:t>
            </w:r>
          </w:p>
        </w:tc>
        <w:tc>
          <w:tcPr>
            <w:tcW w:type="dxa" w:w="4154"/>
            <w:vAlign w:val="center"/>
          </w:tcPr>
          <w:p>
            <w:pPr>
              <w:jc w:val="center"/>
            </w:pPr>
            <w:r>
              <w:rPr>
                <w:rFonts w:ascii="Times New Roman" w:hAnsi="Times New Roman"/>
                <w:sz w:val="20"/>
              </w:rPr>
              <w:t>Selected automatically by code using highest ROC-AUC; execution output not supplied</w:t>
            </w:r>
          </w:p>
        </w:tc>
      </w:tr>
      <w:tr>
        <w:tc>
          <w:tcPr>
            <w:tcW w:type="dxa" w:w="4154"/>
            <w:vAlign w:val="center"/>
          </w:tcPr>
          <w:p>
            <w:pPr>
              <w:jc w:val="center"/>
            </w:pPr>
            <w:r>
              <w:rPr>
                <w:rFonts w:ascii="Times New Roman" w:hAnsi="Times New Roman"/>
                <w:sz w:val="20"/>
              </w:rPr>
              <w:t>Confusion matrix values</w:t>
            </w:r>
          </w:p>
        </w:tc>
        <w:tc>
          <w:tcPr>
            <w:tcW w:type="dxa" w:w="4154"/>
            <w:vAlign w:val="center"/>
          </w:tcPr>
          <w:p>
            <w:pPr>
              <w:jc w:val="center"/>
            </w:pPr>
            <w:r>
              <w:rPr>
                <w:rFonts w:ascii="Times New Roman" w:hAnsi="Times New Roman"/>
                <w:sz w:val="20"/>
              </w:rPr>
              <w:t>Calculated by code; numerical output not supplied</w:t>
            </w:r>
          </w:p>
        </w:tc>
      </w:tr>
      <w:tr>
        <w:tc>
          <w:tcPr>
            <w:tcW w:type="dxa" w:w="4154"/>
            <w:vAlign w:val="center"/>
          </w:tcPr>
          <w:p>
            <w:pPr>
              <w:jc w:val="center"/>
            </w:pPr>
            <w:r>
              <w:rPr>
                <w:rFonts w:ascii="Times New Roman" w:hAnsi="Times New Roman"/>
                <w:sz w:val="20"/>
              </w:rPr>
              <w:t>ROC curve</w:t>
            </w:r>
          </w:p>
        </w:tc>
        <w:tc>
          <w:tcPr>
            <w:tcW w:type="dxa" w:w="4154"/>
            <w:vAlign w:val="center"/>
          </w:tcPr>
          <w:p>
            <w:pPr>
              <w:jc w:val="center"/>
            </w:pPr>
            <w:r>
              <w:rPr>
                <w:rFonts w:ascii="Times New Roman" w:hAnsi="Times New Roman"/>
                <w:sz w:val="20"/>
              </w:rPr>
              <w:t>Generated by code; image not supplied</w:t>
            </w:r>
          </w:p>
        </w:tc>
      </w:tr>
      <w:tr>
        <w:tc>
          <w:tcPr>
            <w:tcW w:type="dxa" w:w="4154"/>
            <w:vAlign w:val="center"/>
          </w:tcPr>
          <w:p>
            <w:pPr>
              <w:jc w:val="center"/>
            </w:pPr>
            <w:r>
              <w:rPr>
                <w:rFonts w:ascii="Times New Roman" w:hAnsi="Times New Roman"/>
                <w:sz w:val="20"/>
              </w:rPr>
              <w:t>Top 15 Random Forest features</w:t>
            </w:r>
          </w:p>
        </w:tc>
        <w:tc>
          <w:tcPr>
            <w:tcW w:type="dxa" w:w="4154"/>
            <w:vAlign w:val="center"/>
          </w:tcPr>
          <w:p>
            <w:pPr>
              <w:jc w:val="center"/>
            </w:pPr>
            <w:r>
              <w:rPr>
                <w:rFonts w:ascii="Times New Roman" w:hAnsi="Times New Roman"/>
                <w:sz w:val="20"/>
              </w:rPr>
              <w:t>Calculated by code; CSV/image not supplied</w:t>
            </w:r>
          </w:p>
        </w:tc>
      </w:tr>
      <w:tr>
        <w:tc>
          <w:tcPr>
            <w:tcW w:type="dxa" w:w="4154"/>
            <w:vAlign w:val="center"/>
          </w:tcPr>
          <w:p>
            <w:pPr>
              <w:jc w:val="center"/>
            </w:pPr>
            <w:r>
              <w:rPr>
                <w:rFonts w:ascii="Times New Roman" w:hAnsi="Times New Roman"/>
                <w:sz w:val="20"/>
              </w:rPr>
              <w:t>Prediction results</w:t>
            </w:r>
          </w:p>
        </w:tc>
        <w:tc>
          <w:tcPr>
            <w:tcW w:type="dxa" w:w="4154"/>
            <w:vAlign w:val="center"/>
          </w:tcPr>
          <w:p>
            <w:pPr>
              <w:jc w:val="center"/>
            </w:pPr>
            <w:r>
              <w:rPr>
                <w:rFonts w:ascii="Times New Roman" w:hAnsi="Times New Roman"/>
                <w:sz w:val="20"/>
              </w:rPr>
              <w:t>Generated in Week 1 as prediction_results.csv; file not supplied</w:t>
            </w:r>
          </w:p>
        </w:tc>
      </w:tr>
    </w:tbl>
    <w:p>
      <w:pPr>
        <w:pStyle w:val="CaptionCustom"/>
      </w:pPr>
      <w:r>
        <w:t>Table 7.2 Execution Results Status</w:t>
      </w:r>
    </w:p>
    <w:p>
      <w:pPr>
        <w:pStyle w:val="Heading2"/>
      </w:pPr>
      <w:r>
        <w:t>7.4 Interpretation Framework</w:t>
      </w:r>
    </w:p>
    <w:p>
      <w:r>
        <w:t>When the executed results are inserted, the model comparison should be interpreted by considering the balance between recall and precision rather than accuracy alone. Because the positive class represents 30-day readmission and is expected to be less frequent than the negative class, recall and ROC-AUC are particularly relevant for comparing the models. The Week 4 and Week 5 code uses ROC-AUC as the explicit criterion for best-model selection.</w:t>
      </w:r>
    </w:p>
    <w:p>
      <w:pPr>
        <w:pStyle w:val="Heading2"/>
      </w:pPr>
      <w:r>
        <w:t>7.5 Limitations of the Current Results</w:t>
      </w:r>
    </w:p>
    <w:p>
      <w:pPr>
        <w:pStyle w:val="ListBullet"/>
        <w:spacing w:line="360" w:lineRule="auto"/>
      </w:pPr>
      <w:r>
        <w:t>The supplied material contains source code but not the executed numerical outputs or generated result files.</w:t>
      </w:r>
    </w:p>
    <w:p>
      <w:pPr>
        <w:pStyle w:val="ListBullet"/>
        <w:spacing w:line="360" w:lineRule="auto"/>
      </w:pPr>
      <w:r>
        <w:t>The project uses a single stratified train-test split with random_state=42 rather than cross-validation.</w:t>
      </w:r>
    </w:p>
    <w:p>
      <w:pPr>
        <w:pStyle w:val="ListBullet"/>
        <w:spacing w:line="360" w:lineRule="auto"/>
      </w:pPr>
      <w:r>
        <w:t>The modelling workflow demonstrates prediction but is not presented as a clinically validated decision-support system.</w:t>
      </w:r>
    </w:p>
    <w:p>
      <w:pPr>
        <w:pStyle w:val="ListBullet"/>
        <w:spacing w:line="360" w:lineRule="auto"/>
      </w:pPr>
      <w:r>
        <w:t>Feature importance from Random Forest describes model-based importance and should not be interpreted automatically as causal clinical influence.</w:t>
      </w:r>
    </w:p>
    <w:p>
      <w:pPr>
        <w:pStyle w:val="ListBullet"/>
        <w:spacing w:line="360" w:lineRule="auto"/>
      </w:pPr>
      <w:r>
        <w:t>The dataset includes demographic attributes; fairness and subgroup performance would require additional analysis before any real-world deployment.</w:t>
      </w:r>
    </w:p>
    <w:p>
      <w:r>
        <w:br w:type="page"/>
      </w:r>
    </w:p>
    <w:p>
      <w:pPr>
        <w:pStyle w:val="Heading1"/>
      </w:pPr>
      <w:r>
        <w:t>CHAPTER 8: CONCLUSION AND FUTURE SCOPE</w:t>
      </w:r>
    </w:p>
    <w:p>
      <w:pPr>
        <w:pStyle w:val="Heading2"/>
      </w:pPr>
      <w:r>
        <w:t>8.1 Conclusion</w:t>
      </w:r>
    </w:p>
    <w:p>
      <w:r>
        <w:t>The internship project successfully defines an end-to-end workflow for healthcare data analytics and 30-day hospital readmission prediction. The five weekly activities form a continuous pipeline: raw healthcare data is cleaned and standardized, exploratory analysis is performed, predictive models are trained and compared, and model interpretation outputs are prepared for reporting.</w:t>
      </w:r>
    </w:p>
    <w:p>
      <w:r>
        <w:t>The project demonstrates practical use of Python, Pandas, NumPy, Matplotlib, Seaborn, and Scikit-learn for a healthcare analytics problem. The use of separate numerical and categorical preprocessing pipelines, stratified splitting, class-weighted models, and multiple evaluation metrics provides a structured approach to the binary readmission prediction task.</w:t>
      </w:r>
    </w:p>
    <w:p>
      <w:pPr>
        <w:pStyle w:val="Heading2"/>
      </w:pPr>
      <w:r>
        <w:t>8.2 Future Scope</w:t>
      </w:r>
    </w:p>
    <w:p>
      <w:pPr>
        <w:pStyle w:val="ListBullet"/>
        <w:spacing w:line="360" w:lineRule="auto"/>
      </w:pPr>
      <w:r>
        <w:t>Use stratified cross-validation and systematic hyperparameter tuning to improve model reliability.</w:t>
      </w:r>
    </w:p>
    <w:p>
      <w:pPr>
        <w:pStyle w:val="ListBullet"/>
        <w:spacing w:line="360" w:lineRule="auto"/>
      </w:pPr>
      <w:r>
        <w:t>Evaluate additional algorithms such as gradient boosting and calibrated ensemble methods.</w:t>
      </w:r>
    </w:p>
    <w:p>
      <w:pPr>
        <w:pStyle w:val="ListBullet"/>
        <w:spacing w:line="360" w:lineRule="auto"/>
      </w:pPr>
      <w:r>
        <w:t>Perform subgroup analysis for demographic groups and assess fairness and model stability.</w:t>
      </w:r>
    </w:p>
    <w:p>
      <w:pPr>
        <w:pStyle w:val="ListBullet"/>
        <w:spacing w:line="360" w:lineRule="auto"/>
      </w:pPr>
      <w:r>
        <w:t>Use probability calibration if predicted risk scores are intended for decision support.</w:t>
      </w:r>
    </w:p>
    <w:p>
      <w:pPr>
        <w:pStyle w:val="ListBullet"/>
        <w:spacing w:line="360" w:lineRule="auto"/>
      </w:pPr>
      <w:r>
        <w:t>Add explainability techniques such as permutation importance or SHAP for more interpretable predictions.</w:t>
      </w:r>
    </w:p>
    <w:p>
      <w:pPr>
        <w:pStyle w:val="ListBullet"/>
        <w:spacing w:line="360" w:lineRule="auto"/>
      </w:pPr>
      <w:r>
        <w:t>Develop a secure dashboard for authorized users to explore readmission risk and model outputs.</w:t>
      </w:r>
    </w:p>
    <w:p>
      <w:pPr>
        <w:pStyle w:val="ListBullet"/>
        <w:spacing w:line="360" w:lineRule="auto"/>
      </w:pPr>
      <w:r>
        <w:t>Conduct external validation on a separate healthcare dataset before considering real-world deployment.</w:t>
      </w:r>
    </w:p>
    <w:p>
      <w:pPr>
        <w:pStyle w:val="ListBullet"/>
        <w:spacing w:line="360" w:lineRule="auto"/>
      </w:pPr>
      <w:r>
        <w:t>Implement privacy, governance, auditability, and clinical validation requirements for any production use.</w:t>
      </w:r>
    </w:p>
    <w:p>
      <w:r>
        <w:br w:type="page"/>
      </w:r>
    </w:p>
    <w:p>
      <w:pPr>
        <w:pStyle w:val="Heading1"/>
      </w:pPr>
      <w:r>
        <w:t>REFERENCES</w:t>
      </w:r>
    </w:p>
    <w:p>
      <w:pPr>
        <w:spacing w:line="240" w:lineRule="auto"/>
        <w:ind w:hanging="360" w:left="360"/>
      </w:pPr>
      <w:r>
        <w:t>1. Clore, J., Cios, K., DeShazo, J., &amp; Strack, B. (2014). Diabetes 130-US Hospitals for Years 1999–2008. UCI Machine Learning Repository. DOI: 10.24432/C5230J.</w:t>
      </w:r>
    </w:p>
    <w:p>
      <w:pPr>
        <w:spacing w:line="240" w:lineRule="auto"/>
        <w:ind w:hanging="360" w:left="360"/>
      </w:pPr>
      <w:r>
        <w:t>2. Strack, B., DeShazo, J. P., Gennings, C., Olmo, J. L., Ventura, S., Cios, K. J., &amp; Clore, J. N. (2014). Impact of HbA1c Measurement on Hospital Readmission Rates: Analysis of 70,000 Clinical Database Patient Records. BioMed Research International, 2014.</w:t>
      </w:r>
    </w:p>
    <w:p>
      <w:pPr>
        <w:spacing w:line="240" w:lineRule="auto"/>
        <w:ind w:hanging="360" w:left="360"/>
      </w:pPr>
      <w:r>
        <w:t>3. McKinney, W. (2010). Data Structures for Statistical Computing in Python. Proceedings of the 9th Python in Science Conference.</w:t>
      </w:r>
    </w:p>
    <w:p>
      <w:pPr>
        <w:spacing w:line="240" w:lineRule="auto"/>
        <w:ind w:hanging="360" w:left="360"/>
      </w:pPr>
      <w:r>
        <w:t>4. Harris, C. R., et al. (2020). Array programming with NumPy. Nature, 585, 357–362.</w:t>
      </w:r>
    </w:p>
    <w:p>
      <w:pPr>
        <w:spacing w:line="240" w:lineRule="auto"/>
        <w:ind w:hanging="360" w:left="360"/>
      </w:pPr>
      <w:r>
        <w:t>5. Hunter, J. D. (2007). Matplotlib: A 2D Graphics Environment. Computing in Science &amp; Engineering, 9(3), 90–95.</w:t>
      </w:r>
    </w:p>
    <w:p>
      <w:pPr>
        <w:spacing w:line="240" w:lineRule="auto"/>
        <w:ind w:hanging="360" w:left="360"/>
      </w:pPr>
      <w:r>
        <w:t>6. Waskom, M. (2021). seaborn: statistical data visualization. Journal of Open Source Software, 6(60), 3021.</w:t>
      </w:r>
    </w:p>
    <w:p>
      <w:pPr>
        <w:spacing w:line="240" w:lineRule="auto"/>
        <w:ind w:hanging="360" w:left="360"/>
      </w:pPr>
      <w:r>
        <w:t>7. Pedregosa, F., et al. (2011). Scikit-learn: Machine Learning in Python. Journal of Machine Learning Research, 12, 2825–2830.</w:t>
      </w:r>
    </w:p>
    <w:p>
      <w:r>
        <w:br w:type="page"/>
      </w:r>
    </w:p>
    <w:p>
      <w:pPr>
        <w:pStyle w:val="Heading1"/>
      </w:pPr>
      <w:r>
        <w:t>APPENDIX A: PROJECT OUTPUT FILES</w:t>
      </w:r>
    </w:p>
    <w:p>
      <w:pPr>
        <w:pStyle w:val="ListBullet"/>
        <w:spacing w:line="360" w:lineRule="auto"/>
      </w:pPr>
      <w:r>
        <w:t>diabetic_data.csv – raw UCI healthcare dataset used as the project input.</w:t>
      </w:r>
    </w:p>
    <w:p>
      <w:pPr>
        <w:pStyle w:val="ListBullet"/>
        <w:spacing w:line="360" w:lineRule="auto"/>
      </w:pPr>
      <w:r>
        <w:t>cleaned_healthcare_data.csv – cleaned dataset generated in Week 2.</w:t>
      </w:r>
    </w:p>
    <w:p>
      <w:pPr>
        <w:pStyle w:val="ListBullet"/>
        <w:spacing w:line="360" w:lineRule="auto"/>
      </w:pPr>
      <w:r>
        <w:t>descriptive_statistics.csv – descriptive statistics generated in Week 3.</w:t>
      </w:r>
    </w:p>
    <w:p>
      <w:pPr>
        <w:pStyle w:val="ListBullet"/>
        <w:spacing w:line="360" w:lineRule="auto"/>
      </w:pPr>
      <w:r>
        <w:t>correlation_matrix.csv – numeric correlation matrix generated in Week 3.</w:t>
      </w:r>
    </w:p>
    <w:p>
      <w:pPr>
        <w:pStyle w:val="ListBullet"/>
        <w:spacing w:line="360" w:lineRule="auto"/>
      </w:pPr>
      <w:r>
        <w:t>prediction_results.csv – Week 1 sample prediction output.</w:t>
      </w:r>
    </w:p>
    <w:p>
      <w:pPr>
        <w:pStyle w:val="ListBullet"/>
        <w:spacing w:line="360" w:lineRule="auto"/>
      </w:pPr>
      <w:r>
        <w:t>model_comparison.csv – Week 4/Week 5 model performance table.</w:t>
      </w:r>
    </w:p>
    <w:p>
      <w:pPr>
        <w:pStyle w:val="ListBullet"/>
        <w:spacing w:line="360" w:lineRule="auto"/>
      </w:pPr>
      <w:r>
        <w:t>confusion_matrix.png – confusion matrix visualization.</w:t>
      </w:r>
    </w:p>
    <w:p>
      <w:pPr>
        <w:pStyle w:val="ListBullet"/>
        <w:spacing w:line="360" w:lineRule="auto"/>
      </w:pPr>
      <w:r>
        <w:t>roc_curve_comparison.png – ROC curve comparison visualization.</w:t>
      </w:r>
    </w:p>
    <w:p>
      <w:pPr>
        <w:pStyle w:val="ListBullet"/>
        <w:spacing w:line="360" w:lineRule="auto"/>
      </w:pPr>
      <w:r>
        <w:t>feature_importance.csv – top Random Forest feature importances.</w:t>
      </w:r>
    </w:p>
    <w:p>
      <w:pPr>
        <w:pStyle w:val="ListBullet"/>
        <w:spacing w:line="360" w:lineRule="auto"/>
      </w:pPr>
      <w:r>
        <w:t>feature_importance.png – visualization of top Random Forest features.</w:t>
      </w:r>
    </w:p>
    <w:p>
      <w:pPr>
        <w:pStyle w:val="ListBullet"/>
        <w:spacing w:line="360" w:lineRule="auto"/>
      </w:pPr>
      <w:r>
        <w:t>final_healthcare_dataset.csv – final Week 5 dataset output.</w:t>
      </w:r>
    </w:p>
    <w:p>
      <w:pPr>
        <w:pStyle w:val="Heading1"/>
      </w:pPr>
      <w:r>
        <w:t>APPENDIX B: WEEK 1–5 CODE SUMMARY</w:t>
      </w:r>
    </w:p>
    <w:p>
      <w:r>
        <w:t>The submitted source code is organized into five weekly activities. The complete source code should be maintained in the project repository. This report summarizes the implementation rather than reproducing hundreds of lines of source code.</w:t>
      </w:r>
    </w:p>
    <w:p>
      <w:r>
        <w:br w:type="page"/>
      </w:r>
    </w:p>
    <w:p>
      <w:pPr>
        <w:pStyle w:val="Heading1"/>
      </w:pPr>
      <w:r>
        <w:t>FINAL DOCUMENTATION NOTE</w:t>
      </w:r>
    </w:p>
    <w:p>
      <w:r>
        <w:t>This report has been consolidated from the five weekly project codes and the supplied YuvaIntern completion certificate. It is formatted as a single internship report rather than five separate weekly reports. Numerical model-performance values and generated plots have not been fabricated because the executed output files were not supplied with the source code.</w:t>
      </w:r>
    </w:p>
    <w:p>
      <w:r>
        <w:t>Before final university submission, the student should update the Table of Contents and insert the executed Week 4/Week 5 model comparison, confusion matrix, ROC curve, and feature-importance outputs if those files are available.</w:t>
      </w:r>
    </w:p>
    <w:p>
      <w:pPr>
        <w:spacing w:after="120"/>
        <w:jc w:val="center"/>
      </w:pPr>
      <w:r>
        <w:rPr>
          <w:rFonts w:ascii="Times New Roman" w:hAnsi="Times New Roman"/>
          <w:b/>
          <w:i w:val="0"/>
          <w:sz w:val="24"/>
        </w:rPr>
        <w:t>— END OF REPORT —</w:t>
      </w:r>
    </w:p>
    <w:sectPr w:rsidR="00FC693F" w:rsidRPr="0006063C" w:rsidSect="00034616">
      <w:footerReference w:type="default" r:id="rId9"/>
      <w:pgSz w:w="11909" w:h="16834"/>
      <w:pgMar w:top="108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line="360" w:lineRule="auto"/>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120" w:line="360" w:lineRule="auto"/>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120" w:line="360" w:lineRule="auto"/>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360" w:lineRule="auto" w:before="200"/>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Custom"/>
    <w:pPr>
      <w:spacing w:after="120"/>
      <w:jc w:val="center"/>
    </w:pPr>
    <w:rPr>
      <w:rFonts w:ascii="Times New Roman" w:hAnsi="Times New Roman" w:eastAsia="Times New Roman"/>
      <w:b/>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