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-------------------------------------------etc@etc:~/Desktop/Exp2$ gcc code.c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etc@etc:~/Desktop/Exp2$ ./a.out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Uniform Symbol Table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Symbol    Type   </w:t>
        <w:tab/>
        <w:t xml:space="preserve"> Index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void          keyword   </w:t>
        <w:tab/>
        <w:t xml:space="preserve">  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(               Operator       16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)               Operator       17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{               Operator       18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               Identifier       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=              Operator       14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5.0            literal   </w:t>
        <w:tab/>
        <w:t xml:space="preserve"> 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;               Operator       15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               Identifier       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3.0            literal   </w:t>
        <w:tab/>
        <w:t xml:space="preserve">  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               Identifier       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+              Operator       9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}               Operator       19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Literal Table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Literal No.    Literal Name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1   </w:t>
        <w:tab/>
        <w:t xml:space="preserve">             5.0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2   </w:t>
        <w:tab/>
        <w:t xml:space="preserve">             3.0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Identifier Table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Identifier No.    Identifier Name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1   </w:t>
        <w:tab/>
        <w:t xml:space="preserve">                  a</w:t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   </w:t>
        <w:tab/>
        <w:t xml:space="preserve">                  b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   </w:t>
        <w:tab/>
        <w:t xml:space="preserve">                  c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-------------------------------------------etc@etc:~/Desktop/Exp2$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