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vlsi@vlsi:~$ cd Desktop/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vlsi@vlsi:~/Desktop$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vlsi@vlsi:~/Desktop$ cd BankerAbhi/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vlsi@vlsi:~/Desktop/BankerAbhi$ gcc Code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Code: file not recognized: File truncated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vlsi@vlsi:~/Desktop/BankerAbhi$ gcc Code.c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vlsi@vlsi:~/Desktop/BankerAbhi$ ./a.out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Input the number of processes running(&lt;10)..3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Input the number of resources (&lt;5)..3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Input the allocation matrix for the processes in row major order..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Process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Resource 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Resource 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Resource 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Process 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Resource 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Resource 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Resource 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Process 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Resource 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Resource 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Resource 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Input the no. of resources that a process can max have..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Process 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Resource 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Resource 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Resource 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Process 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Resource 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Resource 1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Resource 2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Process 2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Resource 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Resource 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Resource 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Input the no. of available instances of each resource..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Resource 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Resource 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Resource 2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The need matrix is as follows 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1    4    5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2    3    0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2    2    0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***************IT'S A SAFE STATE*****************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The safe sequence is...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P1    P2    P0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available matris is now:    7    7    10vlsi@vlsi:~/Desktop/BankerAbhi$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