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7F8FA9"/>
          <w:sz w:val="22"/>
          <w:szCs w:val="22"/>
        </w:rPr>
        <w:t xml:space="preserve">MERIDIAN FREIGHT GROUP</w:t>
      </w:r>
    </w:p>
    <w:p>
      <w:pPr>
        <w:spacing w:after="120"/>
      </w:pPr>
      <w:r>
        <w:rPr>
          <w:rFonts w:ascii="Calibri" w:cs="Calibri" w:eastAsia="Calibri" w:hAnsi="Calibri"/>
          <w:b/>
          <w:bCs/>
          <w:color w:val="1F3864"/>
          <w:sz w:val="52"/>
          <w:szCs w:val="52"/>
        </w:rPr>
        <w:t xml:space="preserve">Business Requirements Document</w:t>
      </w:r>
    </w:p>
    <w:p>
      <w:pPr>
        <w:spacing w:after="480"/>
      </w:pPr>
      <w:r>
        <w:rPr>
          <w:rFonts w:ascii="Calibri" w:cs="Calibri" w:eastAsia="Calibri" w:hAnsi="Calibri"/>
          <w:color w:val="2E5597"/>
          <w:sz w:val="30"/>
          <w:szCs w:val="30"/>
        </w:rPr>
        <w:t xml:space="preserve">AssetHub — IT Asset &amp; Software License Management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Field</w:t>
            </w:r>
          </w:p>
        </w:tc>
        <w:tc>
          <w:tcPr>
            <w:tcW w:type="dxa" w:w="6552"/>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Value</w:t>
            </w:r>
          </w:p>
        </w:tc>
      </w:tr>
      <w:tr>
        <w:tc>
          <w:tcPr>
            <w:tcW w:type="dxa" w:w="280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Document ID</w:t>
            </w:r>
          </w:p>
        </w:tc>
        <w:tc>
          <w:tcPr>
            <w:tcW w:type="dxa" w:w="655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BRD-ITAM-2026-014</w:t>
            </w:r>
          </w:p>
        </w:tc>
      </w:tr>
      <w:tr>
        <w:tc>
          <w:tcPr>
            <w:tcW w:type="dxa" w:w="280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Version</w:t>
            </w:r>
          </w:p>
        </w:tc>
        <w:tc>
          <w:tcPr>
            <w:tcW w:type="dxa" w:w="655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1.3</w:t>
            </w:r>
          </w:p>
        </w:tc>
      </w:tr>
      <w:tr>
        <w:tc>
          <w:tcPr>
            <w:tcW w:type="dxa" w:w="280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Status</w:t>
            </w:r>
          </w:p>
        </w:tc>
        <w:tc>
          <w:tcPr>
            <w:tcW w:type="dxa" w:w="655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Approved for build</w:t>
            </w:r>
          </w:p>
        </w:tc>
      </w:tr>
      <w:tr>
        <w:tc>
          <w:tcPr>
            <w:tcW w:type="dxa" w:w="280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Date</w:t>
            </w:r>
          </w:p>
        </w:tc>
        <w:tc>
          <w:tcPr>
            <w:tcW w:type="dxa" w:w="655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21 September 2026</w:t>
            </w:r>
          </w:p>
        </w:tc>
      </w:tr>
      <w:tr>
        <w:tc>
          <w:tcPr>
            <w:tcW w:type="dxa" w:w="280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Business owner</w:t>
            </w:r>
          </w:p>
        </w:tc>
        <w:tc>
          <w:tcPr>
            <w:tcW w:type="dxa" w:w="655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Hannah Okafor, Head of IT Operations</w:t>
            </w:r>
          </w:p>
        </w:tc>
      </w:tr>
      <w:tr>
        <w:tc>
          <w:tcPr>
            <w:tcW w:type="dxa" w:w="280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Prepared by</w:t>
            </w:r>
          </w:p>
        </w:tc>
        <w:tc>
          <w:tcPr>
            <w:tcW w:type="dxa" w:w="655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Rahul Menon, Senior Business Analyst, Digital Delivery</w:t>
            </w:r>
          </w:p>
        </w:tc>
      </w:tr>
      <w:tr>
        <w:tc>
          <w:tcPr>
            <w:tcW w:type="dxa" w:w="280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Classification</w:t>
            </w:r>
          </w:p>
        </w:tc>
        <w:tc>
          <w:tcPr>
            <w:tcW w:type="dxa" w:w="655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Internal</w:t>
            </w:r>
          </w:p>
        </w:tc>
      </w:tr>
    </w:tbl>
    <w:p>
      <w:r>
        <w:br w:type="page"/>
      </w:r>
    </w:p>
    <w:p>
      <w:pPr>
        <w:pStyle w:val="Heading1"/>
        <w:spacing w:after="160" w:before="360"/>
      </w:pPr>
      <w:r>
        <w:rPr>
          <w:rFonts w:ascii="Calibri" w:cs="Calibri" w:eastAsia="Calibri" w:hAnsi="Calibri"/>
          <w:b/>
          <w:bCs/>
          <w:color w:val="1F3864"/>
          <w:sz w:val="30"/>
          <w:szCs w:val="30"/>
        </w:rPr>
        <w:t xml:space="preserve">Document Control</w:t>
      </w:r>
    </w:p>
    <w:p>
      <w:pPr>
        <w:pStyle w:val="Heading2"/>
        <w:spacing w:after="120" w:before="240"/>
      </w:pPr>
      <w:r>
        <w:rPr>
          <w:rFonts w:ascii="Calibri" w:cs="Calibri" w:eastAsia="Calibri" w:hAnsi="Calibri"/>
          <w:b/>
          <w:bCs/>
          <w:color w:val="2E5597"/>
          <w:sz w:val="25"/>
          <w:szCs w:val="25"/>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498"/>
        <w:gridCol w:w="1310"/>
        <w:gridCol w:w="5429"/>
      </w:tblGrid>
      <w:tr>
        <w:trPr>
          <w:tblHeader/>
        </w:trPr>
        <w:tc>
          <w:tcPr>
            <w:tcW w:type="dxa" w:w="1123"/>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Version</w:t>
            </w:r>
          </w:p>
        </w:tc>
        <w:tc>
          <w:tcPr>
            <w:tcW w:type="dxa" w:w="1498"/>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Date</w:t>
            </w:r>
          </w:p>
        </w:tc>
        <w:tc>
          <w:tcPr>
            <w:tcW w:type="dxa" w:w="131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Author</w:t>
            </w:r>
          </w:p>
        </w:tc>
        <w:tc>
          <w:tcPr>
            <w:tcW w:type="dxa" w:w="5429"/>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Summary of changes</w:t>
            </w:r>
          </w:p>
        </w:tc>
      </w:tr>
      <w:tr>
        <w:tc>
          <w:tcPr>
            <w:tcW w:type="dxa" w:w="1123"/>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0.1</w:t>
            </w:r>
          </w:p>
        </w:tc>
        <w:tc>
          <w:tcPr>
            <w:tcW w:type="dxa" w:w="149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12 Aug 2026</w:t>
            </w:r>
          </w:p>
        </w:tc>
        <w:tc>
          <w:tcPr>
            <w:tcW w:type="dxa" w:w="13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R. Menon</w:t>
            </w:r>
          </w:p>
        </w:tc>
        <w:tc>
          <w:tcPr>
            <w:tcW w:type="dxa" w:w="542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First draft from discovery workshops with IT Operations and Finance</w:t>
            </w:r>
          </w:p>
        </w:tc>
      </w:tr>
      <w:tr>
        <w:tc>
          <w:tcPr>
            <w:tcW w:type="dxa" w:w="1123"/>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0.9</w:t>
            </w:r>
          </w:p>
        </w:tc>
        <w:tc>
          <w:tcPr>
            <w:tcW w:type="dxa" w:w="149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02 Sep 2026</w:t>
            </w:r>
          </w:p>
        </w:tc>
        <w:tc>
          <w:tcPr>
            <w:tcW w:type="dxa" w:w="131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R. Menon</w:t>
            </w:r>
          </w:p>
        </w:tc>
        <w:tc>
          <w:tcPr>
            <w:tcW w:type="dxa" w:w="5429"/>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Review comments from Procurement, Service Desk and Internal Audit incorporated</w:t>
            </w:r>
          </w:p>
        </w:tc>
      </w:tr>
      <w:tr>
        <w:tc>
          <w:tcPr>
            <w:tcW w:type="dxa" w:w="1123"/>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1.0</w:t>
            </w:r>
          </w:p>
        </w:tc>
        <w:tc>
          <w:tcPr>
            <w:tcW w:type="dxa" w:w="149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09 Sep 2026</w:t>
            </w:r>
          </w:p>
        </w:tc>
        <w:tc>
          <w:tcPr>
            <w:tcW w:type="dxa" w:w="13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R. Menon</w:t>
            </w:r>
          </w:p>
        </w:tc>
        <w:tc>
          <w:tcPr>
            <w:tcW w:type="dxa" w:w="542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Baselined after steering committee</w:t>
            </w:r>
          </w:p>
        </w:tc>
      </w:tr>
      <w:tr>
        <w:tc>
          <w:tcPr>
            <w:tcW w:type="dxa" w:w="1123"/>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1.3</w:t>
            </w:r>
          </w:p>
        </w:tc>
        <w:tc>
          <w:tcPr>
            <w:tcW w:type="dxa" w:w="149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21 Sep 2026</w:t>
            </w:r>
          </w:p>
        </w:tc>
        <w:tc>
          <w:tcPr>
            <w:tcW w:type="dxa" w:w="131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R. Menon</w:t>
            </w:r>
          </w:p>
        </w:tc>
        <w:tc>
          <w:tcPr>
            <w:tcW w:type="dxa" w:w="5429"/>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MVP scope confirmed: integrations moved to Phase 2; demonstration data volumes added (section 9.2)</w:t>
            </w:r>
          </w:p>
        </w:tc>
      </w:tr>
    </w:tbl>
    <w:p>
      <w:pPr>
        <w:spacing w:after="80"/>
      </w:pPr>
    </w:p>
    <w:p>
      <w:pPr>
        <w:pStyle w:val="Heading2"/>
        <w:spacing w:after="120" w:before="240"/>
      </w:pPr>
      <w:r>
        <w:rPr>
          <w:rFonts w:ascii="Calibri" w:cs="Calibri" w:eastAsia="Calibri" w:hAnsi="Calibri"/>
          <w:b/>
          <w:bCs/>
          <w:color w:val="2E5597"/>
          <w:sz w:val="25"/>
          <w:szCs w:val="25"/>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557"/>
        <w:gridCol w:w="2246"/>
        <w:gridCol w:w="1498"/>
      </w:tblGrid>
      <w:tr>
        <w:trPr>
          <w:tblHeader/>
        </w:trPr>
        <w:tc>
          <w:tcPr>
            <w:tcW w:type="dxa" w:w="2059"/>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Name</w:t>
            </w:r>
          </w:p>
        </w:tc>
        <w:tc>
          <w:tcPr>
            <w:tcW w:type="dxa" w:w="3557"/>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Role</w:t>
            </w:r>
          </w:p>
        </w:tc>
        <w:tc>
          <w:tcPr>
            <w:tcW w:type="dxa" w:w="2246"/>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Decision</w:t>
            </w:r>
          </w:p>
        </w:tc>
        <w:tc>
          <w:tcPr>
            <w:tcW w:type="dxa" w:w="1498"/>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Date</w:t>
            </w:r>
          </w:p>
        </w:tc>
      </w:tr>
      <w:tr>
        <w:tc>
          <w:tcPr>
            <w:tcW w:type="dxa" w:w="205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Hannah Okafor</w:t>
            </w:r>
          </w:p>
        </w:tc>
        <w:tc>
          <w:tcPr>
            <w:tcW w:type="dxa" w:w="3557"/>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Head of IT Operations (Business Owner)</w:t>
            </w:r>
          </w:p>
        </w:tc>
        <w:tc>
          <w:tcPr>
            <w:tcW w:type="dxa" w:w="224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Approved</w:t>
            </w:r>
          </w:p>
        </w:tc>
        <w:tc>
          <w:tcPr>
            <w:tcW w:type="dxa" w:w="149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19 Sep 2026</w:t>
            </w:r>
          </w:p>
        </w:tc>
      </w:tr>
      <w:tr>
        <w:tc>
          <w:tcPr>
            <w:tcW w:type="dxa" w:w="2059"/>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Daniel Brandt</w:t>
            </w:r>
          </w:p>
        </w:tc>
        <w:tc>
          <w:tcPr>
            <w:tcW w:type="dxa" w:w="3557"/>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Finance Controller, Group Services</w:t>
            </w:r>
          </w:p>
        </w:tc>
        <w:tc>
          <w:tcPr>
            <w:tcW w:type="dxa" w:w="22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Approved</w:t>
            </w:r>
          </w:p>
        </w:tc>
        <w:tc>
          <w:tcPr>
            <w:tcW w:type="dxa" w:w="149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19 Sep 2026</w:t>
            </w:r>
          </w:p>
        </w:tc>
      </w:tr>
      <w:tr>
        <w:tc>
          <w:tcPr>
            <w:tcW w:type="dxa" w:w="205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Priya Raman</w:t>
            </w:r>
          </w:p>
        </w:tc>
        <w:tc>
          <w:tcPr>
            <w:tcW w:type="dxa" w:w="3557"/>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Service Desk Manager</w:t>
            </w:r>
          </w:p>
        </w:tc>
        <w:tc>
          <w:tcPr>
            <w:tcW w:type="dxa" w:w="224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Approved</w:t>
            </w:r>
          </w:p>
        </w:tc>
        <w:tc>
          <w:tcPr>
            <w:tcW w:type="dxa" w:w="149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20 Sep 2026</w:t>
            </w:r>
          </w:p>
        </w:tc>
      </w:tr>
      <w:tr>
        <w:tc>
          <w:tcPr>
            <w:tcW w:type="dxa" w:w="2059"/>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Marco Silva</w:t>
            </w:r>
          </w:p>
        </w:tc>
        <w:tc>
          <w:tcPr>
            <w:tcW w:type="dxa" w:w="3557"/>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Internal Audit Lead</w:t>
            </w:r>
          </w:p>
        </w:tc>
        <w:tc>
          <w:tcPr>
            <w:tcW w:type="dxa" w:w="22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Approved with comments (see R-04)</w:t>
            </w:r>
          </w:p>
        </w:tc>
        <w:tc>
          <w:tcPr>
            <w:tcW w:type="dxa" w:w="149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20 Sep 2026</w:t>
            </w:r>
          </w:p>
        </w:tc>
      </w:tr>
    </w:tbl>
    <w:p>
      <w:pPr>
        <w:spacing w:after="80"/>
      </w:pPr>
    </w:p>
    <w:p>
      <w:pPr>
        <w:pStyle w:val="Heading2"/>
        <w:spacing w:after="120" w:before="240"/>
      </w:pPr>
      <w:r>
        <w:rPr>
          <w:rFonts w:ascii="Calibri" w:cs="Calibri" w:eastAsia="Calibri" w:hAnsi="Calibri"/>
          <w:b/>
          <w:bCs/>
          <w:color w:val="2E5597"/>
          <w:sz w:val="25"/>
          <w:szCs w:val="25"/>
        </w:rPr>
        <w:t xml:space="preserve">Related documents</w:t>
      </w:r>
    </w:p>
    <w:p>
      <w:pPr>
        <w:pStyle w:val="ListParagraph"/>
        <w:numPr>
          <w:ilvl w:val="0"/>
          <w:numId w:val="2"/>
        </w:numPr>
        <w:spacing w:after="60"/>
      </w:pPr>
      <w:r>
        <w:rPr>
          <w:rFonts w:ascii="Calibri" w:cs="Calibri" w:eastAsia="Calibri" w:hAnsi="Calibri"/>
          <w:sz w:val="21"/>
          <w:szCs w:val="21"/>
        </w:rPr>
        <w:t xml:space="preserve">ITAM-POL-003 IT Asset Handling Policy (v2.1)</w:t>
      </w:r>
    </w:p>
    <w:p>
      <w:pPr>
        <w:pStyle w:val="ListParagraph"/>
        <w:numPr>
          <w:ilvl w:val="0"/>
          <w:numId w:val="2"/>
        </w:numPr>
        <w:spacing w:after="60"/>
      </w:pPr>
      <w:r>
        <w:rPr>
          <w:rFonts w:ascii="Calibri" w:cs="Calibri" w:eastAsia="Calibri" w:hAnsi="Calibri"/>
          <w:sz w:val="21"/>
          <w:szCs w:val="21"/>
        </w:rPr>
        <w:t xml:space="preserve">AUD-2026-Q2-07 Internal Audit report: End-user device and licence controls</w:t>
      </w:r>
    </w:p>
    <w:p>
      <w:pPr>
        <w:pStyle w:val="ListParagraph"/>
        <w:numPr>
          <w:ilvl w:val="0"/>
          <w:numId w:val="2"/>
        </w:numPr>
        <w:spacing w:after="60"/>
      </w:pPr>
      <w:r>
        <w:rPr>
          <w:rFonts w:ascii="Calibri" w:cs="Calibri" w:eastAsia="Calibri" w:hAnsi="Calibri"/>
          <w:sz w:val="21"/>
          <w:szCs w:val="21"/>
        </w:rPr>
        <w:t xml:space="preserve">FIN-PRC-011 Capital Asset Depreciation Procedure</w:t>
      </w:r>
    </w:p>
    <w:p>
      <w:r>
        <w:br w:type="page"/>
      </w:r>
    </w:p>
    <w:p>
      <w:pPr>
        <w:pStyle w:val="Heading1"/>
        <w:spacing w:after="160" w:before="360"/>
      </w:pPr>
      <w:r>
        <w:rPr>
          <w:rFonts w:ascii="Calibri" w:cs="Calibri" w:eastAsia="Calibri" w:hAnsi="Calibri"/>
          <w:b/>
          <w:bCs/>
          <w:color w:val="1F3864"/>
          <w:sz w:val="30"/>
          <w:szCs w:val="30"/>
        </w:rPr>
        <w:t xml:space="preserve">1. Executive Summary</w:t>
      </w:r>
    </w:p>
    <w:p>
      <w:pPr>
        <w:spacing w:after="120" w:line="276"/>
      </w:pPr>
      <w:r>
        <w:rPr>
          <w:rFonts w:ascii="Calibri" w:cs="Calibri" w:eastAsia="Calibri" w:hAnsi="Calibri"/>
          <w:sz w:val="21"/>
          <w:szCs w:val="21"/>
        </w:rPr>
        <w:t xml:space="preserve">Meridian Freight Group runs 1,400 employees across eight offices and three warehouses. IT hardware (laptops, monitors, phones, docking stations, network gear) and software licences are tracked today in two shared spreadsheets and the Service Desk mailbox. Nobody can say with confidence who holds which laptop, which licences are paid for but unused, or which devices are out of warranty.</w:t>
      </w:r>
    </w:p>
    <w:p>
      <w:pPr>
        <w:spacing w:after="120" w:line="276"/>
      </w:pPr>
      <w:r>
        <w:rPr>
          <w:rFonts w:ascii="Calibri" w:cs="Calibri" w:eastAsia="Calibri" w:hAnsi="Calibri"/>
          <w:sz w:val="21"/>
          <w:szCs w:val="21"/>
        </w:rPr>
        <w:t xml:space="preserve">The Q2 2026 internal audit (AUD-2026-Q2-07) found 212 software seats paid for and unassigned (about USD 96,000 a year), 9% of laptops belonging to leavers not recovered, and a three-day effort to answer a single auditor request for the device list of one department.</w:t>
      </w:r>
    </w:p>
    <w:p>
      <w:pPr>
        <w:spacing w:after="120" w:line="276"/>
      </w:pPr>
      <w:r>
        <w:rPr>
          <w:rFonts w:ascii="Calibri" w:cs="Calibri" w:eastAsia="Calibri" w:hAnsi="Calibri"/>
          <w:sz w:val="21"/>
          <w:szCs w:val="21"/>
        </w:rPr>
        <w:t xml:space="preserve">AssetHub will give IT Operations a single, trustworthy register of hardware and software, with the check-out and check-in of devices to employees, licence seat utilisation, warranty and refresh tracking, repairs, and a dashboard for the monthly asset review. This document describes the Minimum Viable Product: a web application that the IT Operations team can use from day one on realistic demonstration data, before any integration with HR, procurement or device management systems.</w:t>
      </w:r>
    </w:p>
    <w:p>
      <w:pPr>
        <w:pStyle w:val="Heading1"/>
        <w:spacing w:after="160" w:before="360"/>
      </w:pPr>
      <w:r>
        <w:rPr>
          <w:rFonts w:ascii="Calibri" w:cs="Calibri" w:eastAsia="Calibri" w:hAnsi="Calibri"/>
          <w:b/>
          <w:bCs/>
          <w:color w:val="1F3864"/>
          <w:sz w:val="30"/>
          <w:szCs w:val="30"/>
        </w:rPr>
        <w:t xml:space="preserve">2. Business Context and Problem Statement</w:t>
      </w:r>
    </w:p>
    <w:p>
      <w:pPr>
        <w:pStyle w:val="Heading2"/>
        <w:spacing w:after="120" w:before="240"/>
      </w:pPr>
      <w:r>
        <w:rPr>
          <w:rFonts w:ascii="Calibri" w:cs="Calibri" w:eastAsia="Calibri" w:hAnsi="Calibri"/>
          <w:b/>
          <w:bCs/>
          <w:color w:val="2E5597"/>
          <w:sz w:val="25"/>
          <w:szCs w:val="25"/>
        </w:rPr>
        <w:t xml:space="preserve">2.1 Current state</w:t>
      </w:r>
    </w:p>
    <w:p>
      <w:pPr>
        <w:pStyle w:val="ListParagraph"/>
        <w:numPr>
          <w:ilvl w:val="0"/>
          <w:numId w:val="2"/>
        </w:numPr>
        <w:spacing w:after="60"/>
      </w:pPr>
      <w:r>
        <w:rPr>
          <w:rFonts w:ascii="Calibri" w:cs="Calibri" w:eastAsia="Calibri" w:hAnsi="Calibri"/>
          <w:sz w:val="21"/>
          <w:szCs w:val="21"/>
        </w:rPr>
        <w:t xml:space="preserve">Hardware register: an Excel workbook with 1,612 rows, maintained by two IT technicians. Asset tags are inconsistent (MFG-, MER-, none). Assignment is a free-text column.</w:t>
      </w:r>
    </w:p>
    <w:p>
      <w:pPr>
        <w:pStyle w:val="ListParagraph"/>
        <w:numPr>
          <w:ilvl w:val="0"/>
          <w:numId w:val="2"/>
        </w:numPr>
        <w:spacing w:after="60"/>
      </w:pPr>
      <w:r>
        <w:rPr>
          <w:rFonts w:ascii="Calibri" w:cs="Calibri" w:eastAsia="Calibri" w:hAnsi="Calibri"/>
          <w:sz w:val="21"/>
          <w:szCs w:val="21"/>
        </w:rPr>
        <w:t xml:space="preserve">Software licences: a separate spreadsheet owned by Procurement, with purchase quantities but no record of who is using each seat.</w:t>
      </w:r>
    </w:p>
    <w:p>
      <w:pPr>
        <w:pStyle w:val="ListParagraph"/>
        <w:numPr>
          <w:ilvl w:val="0"/>
          <w:numId w:val="2"/>
        </w:numPr>
        <w:spacing w:after="60"/>
      </w:pPr>
      <w:r>
        <w:rPr>
          <w:rFonts w:ascii="Calibri" w:cs="Calibri" w:eastAsia="Calibri" w:hAnsi="Calibri"/>
          <w:sz w:val="21"/>
          <w:szCs w:val="21"/>
        </w:rPr>
        <w:t xml:space="preserve">Repairs: tracked by e-mail with the vendor; the register is rarely updated when a device is sent away or returned.</w:t>
      </w:r>
    </w:p>
    <w:p>
      <w:pPr>
        <w:pStyle w:val="ListParagraph"/>
        <w:numPr>
          <w:ilvl w:val="0"/>
          <w:numId w:val="2"/>
        </w:numPr>
        <w:spacing w:after="60"/>
      </w:pPr>
      <w:r>
        <w:rPr>
          <w:rFonts w:ascii="Calibri" w:cs="Calibri" w:eastAsia="Calibri" w:hAnsi="Calibri"/>
          <w:sz w:val="21"/>
          <w:szCs w:val="21"/>
        </w:rPr>
        <w:t xml:space="preserve">Leavers: HR e-mails IT on the last day; recovering devices depends on the technician remembering to chase.</w:t>
      </w:r>
    </w:p>
    <w:p>
      <w:pPr>
        <w:pStyle w:val="Heading2"/>
        <w:spacing w:after="120" w:before="240"/>
      </w:pPr>
      <w:r>
        <w:rPr>
          <w:rFonts w:ascii="Calibri" w:cs="Calibri" w:eastAsia="Calibri" w:hAnsi="Calibri"/>
          <w:b/>
          <w:bCs/>
          <w:color w:val="2E5597"/>
          <w:sz w:val="25"/>
          <w:szCs w:val="25"/>
        </w:rPr>
        <w:t xml:space="preserve">2.2 Problems to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3838"/>
        <w:gridCol w:w="4680"/>
      </w:tblGrid>
      <w:tr>
        <w:trPr>
          <w:tblHeader/>
        </w:trPr>
        <w:tc>
          <w:tcPr>
            <w:tcW w:type="dxa" w:w="842"/>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ID</w:t>
            </w:r>
          </w:p>
        </w:tc>
        <w:tc>
          <w:tcPr>
            <w:tcW w:type="dxa" w:w="3838"/>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Problem</w:t>
            </w:r>
          </w:p>
        </w:tc>
        <w:tc>
          <w:tcPr>
            <w:tcW w:type="dxa" w:w="468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Business impact</w:t>
            </w:r>
          </w:p>
        </w:tc>
      </w:tr>
      <w:tr>
        <w:tc>
          <w:tcPr>
            <w:tcW w:type="dxa" w:w="84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P-01</w:t>
            </w:r>
          </w:p>
        </w:tc>
        <w:tc>
          <w:tcPr>
            <w:tcW w:type="dxa" w:w="383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No reliable view of who holds which device</w:t>
            </w:r>
          </w:p>
        </w:tc>
        <w:tc>
          <w:tcPr>
            <w:tcW w:type="dxa" w:w="468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Lost devices on leaver exit (9% of leaver laptops in FY25); data-protection exposure</w:t>
            </w:r>
          </w:p>
        </w:tc>
      </w:tr>
      <w:tr>
        <w:tc>
          <w:tcPr>
            <w:tcW w:type="dxa" w:w="84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P-02</w:t>
            </w:r>
          </w:p>
        </w:tc>
        <w:tc>
          <w:tcPr>
            <w:tcW w:type="dxa" w:w="383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Licence seats bought but not used</w:t>
            </w:r>
          </w:p>
        </w:tc>
        <w:tc>
          <w:tcPr>
            <w:tcW w:type="dxa" w:w="468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About USD 96k/year of unused subscriptions; renewals approved without evidence</w:t>
            </w:r>
          </w:p>
        </w:tc>
      </w:tr>
      <w:tr>
        <w:tc>
          <w:tcPr>
            <w:tcW w:type="dxa" w:w="84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P-03</w:t>
            </w:r>
          </w:p>
        </w:tc>
        <w:tc>
          <w:tcPr>
            <w:tcW w:type="dxa" w:w="383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Warranty and refresh dates not tracked</w:t>
            </w:r>
          </w:p>
        </w:tc>
        <w:tc>
          <w:tcPr>
            <w:tcW w:type="dxa" w:w="468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Out-of-warranty repairs paid in full; refresh budget requested without a device-age view</w:t>
            </w:r>
          </w:p>
        </w:tc>
      </w:tr>
      <w:tr>
        <w:tc>
          <w:tcPr>
            <w:tcW w:type="dxa" w:w="84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P-04</w:t>
            </w:r>
          </w:p>
        </w:tc>
        <w:tc>
          <w:tcPr>
            <w:tcW w:type="dxa" w:w="383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Audit requests answered by hand</w:t>
            </w:r>
          </w:p>
        </w:tc>
        <w:tc>
          <w:tcPr>
            <w:tcW w:type="dxa" w:w="468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Three days per request; audit finding rated Medium</w:t>
            </w:r>
          </w:p>
        </w:tc>
      </w:tr>
      <w:tr>
        <w:tc>
          <w:tcPr>
            <w:tcW w:type="dxa" w:w="84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P-05</w:t>
            </w:r>
          </w:p>
        </w:tc>
        <w:tc>
          <w:tcPr>
            <w:tcW w:type="dxa" w:w="383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Repairs invisible once a device leaves the building</w:t>
            </w:r>
          </w:p>
        </w:tc>
        <w:tc>
          <w:tcPr>
            <w:tcW w:type="dxa" w:w="468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Staff without a laptop for weeks; no vendor turnaround measure</w:t>
            </w:r>
          </w:p>
        </w:tc>
      </w:tr>
    </w:tbl>
    <w:p>
      <w:pPr>
        <w:pStyle w:val="Heading1"/>
        <w:spacing w:after="160" w:before="360"/>
      </w:pPr>
      <w:r>
        <w:rPr>
          <w:rFonts w:ascii="Calibri" w:cs="Calibri" w:eastAsia="Calibri" w:hAnsi="Calibri"/>
          <w:b/>
          <w:bCs/>
          <w:color w:val="1F3864"/>
          <w:sz w:val="30"/>
          <w:szCs w:val="30"/>
        </w:rPr>
        <w:t xml:space="preserve">3. Business Objectives and Success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808"/>
        <w:gridCol w:w="3182"/>
        <w:gridCol w:w="2621"/>
      </w:tblGrid>
      <w:tr>
        <w:trPr>
          <w:tblHeader/>
        </w:trPr>
        <w:tc>
          <w:tcPr>
            <w:tcW w:type="dxa" w:w="749"/>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ID</w:t>
            </w:r>
          </w:p>
        </w:tc>
        <w:tc>
          <w:tcPr>
            <w:tcW w:type="dxa" w:w="2808"/>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Objective</w:t>
            </w:r>
          </w:p>
        </w:tc>
        <w:tc>
          <w:tcPr>
            <w:tcW w:type="dxa" w:w="3182"/>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Measure</w:t>
            </w:r>
          </w:p>
        </w:tc>
        <w:tc>
          <w:tcPr>
            <w:tcW w:type="dxa" w:w="2621"/>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Target (6 months after go-live)</w:t>
            </w:r>
          </w:p>
        </w:tc>
      </w:tr>
      <w:tr>
        <w:tc>
          <w:tcPr>
            <w:tcW w:type="dxa" w:w="74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BO-1</w:t>
            </w:r>
          </w:p>
        </w:tc>
        <w:tc>
          <w:tcPr>
            <w:tcW w:type="dxa" w:w="280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One trusted register of IT assets</w:t>
            </w:r>
          </w:p>
        </w:tc>
        <w:tc>
          <w:tcPr>
            <w:tcW w:type="dxa" w:w="318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Assets with a named holder or location</w:t>
            </w:r>
          </w:p>
        </w:tc>
        <w:tc>
          <w:tcPr>
            <w:tcW w:type="dxa" w:w="262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 98%</w:t>
            </w:r>
          </w:p>
        </w:tc>
      </w:tr>
      <w:tr>
        <w:tc>
          <w:tcPr>
            <w:tcW w:type="dxa" w:w="749"/>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BO-2</w:t>
            </w:r>
          </w:p>
        </w:tc>
        <w:tc>
          <w:tcPr>
            <w:tcW w:type="dxa" w:w="280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Recover licence spend</w:t>
            </w:r>
          </w:p>
        </w:tc>
        <w:tc>
          <w:tcPr>
            <w:tcW w:type="dxa" w:w="318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Licence seat utilisation across paid titles</w:t>
            </w:r>
          </w:p>
        </w:tc>
        <w:tc>
          <w:tcPr>
            <w:tcW w:type="dxa" w:w="262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 90%; unused seats reported monthly</w:t>
            </w:r>
          </w:p>
        </w:tc>
      </w:tr>
      <w:tr>
        <w:tc>
          <w:tcPr>
            <w:tcW w:type="dxa" w:w="74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BO-3</w:t>
            </w:r>
          </w:p>
        </w:tc>
        <w:tc>
          <w:tcPr>
            <w:tcW w:type="dxa" w:w="280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Answer audit questions in minutes</w:t>
            </w:r>
          </w:p>
        </w:tc>
        <w:tc>
          <w:tcPr>
            <w:tcW w:type="dxa" w:w="318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Time to produce the device list for one department</w:t>
            </w:r>
          </w:p>
        </w:tc>
        <w:tc>
          <w:tcPr>
            <w:tcW w:type="dxa" w:w="262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&lt; 5 minutes</w:t>
            </w:r>
          </w:p>
        </w:tc>
      </w:tr>
      <w:tr>
        <w:tc>
          <w:tcPr>
            <w:tcW w:type="dxa" w:w="749"/>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BO-4</w:t>
            </w:r>
          </w:p>
        </w:tc>
        <w:tc>
          <w:tcPr>
            <w:tcW w:type="dxa" w:w="280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Plan refresh and warranty spend</w:t>
            </w:r>
          </w:p>
        </w:tc>
        <w:tc>
          <w:tcPr>
            <w:tcW w:type="dxa" w:w="318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Devices with warranty expiry and purchase date recorded</w:t>
            </w:r>
          </w:p>
        </w:tc>
        <w:tc>
          <w:tcPr>
            <w:tcW w:type="dxa" w:w="2621"/>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100%</w:t>
            </w:r>
          </w:p>
        </w:tc>
      </w:tr>
      <w:tr>
        <w:tc>
          <w:tcPr>
            <w:tcW w:type="dxa" w:w="749"/>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BO-5</w:t>
            </w:r>
          </w:p>
        </w:tc>
        <w:tc>
          <w:tcPr>
            <w:tcW w:type="dxa" w:w="280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Shorten repair downtime</w:t>
            </w:r>
          </w:p>
        </w:tc>
        <w:tc>
          <w:tcPr>
            <w:tcW w:type="dxa" w:w="318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Median days a device spends in repair</w:t>
            </w:r>
          </w:p>
        </w:tc>
        <w:tc>
          <w:tcPr>
            <w:tcW w:type="dxa" w:w="2621"/>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Measured, then reduced by 30%</w:t>
            </w:r>
          </w:p>
        </w:tc>
      </w:tr>
    </w:tbl>
    <w:p>
      <w:pPr>
        <w:pStyle w:val="Heading1"/>
        <w:spacing w:after="160" w:before="360"/>
      </w:pPr>
      <w:r>
        <w:rPr>
          <w:rFonts w:ascii="Calibri" w:cs="Calibri" w:eastAsia="Calibri" w:hAnsi="Calibri"/>
          <w:b/>
          <w:bCs/>
          <w:color w:val="1F3864"/>
          <w:sz w:val="30"/>
          <w:szCs w:val="30"/>
        </w:rPr>
        <w:t xml:space="preserve">4. Scope</w:t>
      </w:r>
    </w:p>
    <w:p>
      <w:pPr>
        <w:pStyle w:val="Heading2"/>
        <w:spacing w:after="120" w:before="240"/>
      </w:pPr>
      <w:r>
        <w:rPr>
          <w:rFonts w:ascii="Calibri" w:cs="Calibri" w:eastAsia="Calibri" w:hAnsi="Calibri"/>
          <w:b/>
          <w:bCs/>
          <w:color w:val="2E5597"/>
          <w:sz w:val="25"/>
          <w:szCs w:val="25"/>
        </w:rPr>
        <w:t xml:space="preserve">4.1 In scope for the MVP</w:t>
      </w:r>
    </w:p>
    <w:p>
      <w:pPr>
        <w:pStyle w:val="ListParagraph"/>
        <w:numPr>
          <w:ilvl w:val="0"/>
          <w:numId w:val="2"/>
        </w:numPr>
        <w:spacing w:after="60"/>
      </w:pPr>
      <w:r>
        <w:rPr>
          <w:rFonts w:ascii="Calibri" w:cs="Calibri" w:eastAsia="Calibri" w:hAnsi="Calibri"/>
          <w:sz w:val="21"/>
          <w:szCs w:val="21"/>
        </w:rPr>
        <w:t xml:space="preserve">Operations dashboard with headline figures and charts for the monthly asset review.</w:t>
      </w:r>
    </w:p>
    <w:p>
      <w:pPr>
        <w:pStyle w:val="ListParagraph"/>
        <w:numPr>
          <w:ilvl w:val="0"/>
          <w:numId w:val="2"/>
        </w:numPr>
        <w:spacing w:after="60"/>
      </w:pPr>
      <w:r>
        <w:rPr>
          <w:rFonts w:ascii="Calibri" w:cs="Calibri" w:eastAsia="Calibri" w:hAnsi="Calibri"/>
          <w:sz w:val="21"/>
          <w:szCs w:val="21"/>
        </w:rPr>
        <w:t xml:space="preserve">Asset register: search, filter and sort all hardware; add and edit an asset.</w:t>
      </w:r>
    </w:p>
    <w:p>
      <w:pPr>
        <w:pStyle w:val="ListParagraph"/>
        <w:numPr>
          <w:ilvl w:val="0"/>
          <w:numId w:val="2"/>
        </w:numPr>
        <w:spacing w:after="60"/>
      </w:pPr>
      <w:r>
        <w:rPr>
          <w:rFonts w:ascii="Calibri" w:cs="Calibri" w:eastAsia="Calibri" w:hAnsi="Calibri"/>
          <w:sz w:val="21"/>
          <w:szCs w:val="21"/>
        </w:rPr>
        <w:t xml:space="preserve">Asset detail: full record, assignment history and repair history for one asset.</w:t>
      </w:r>
    </w:p>
    <w:p>
      <w:pPr>
        <w:pStyle w:val="ListParagraph"/>
        <w:numPr>
          <w:ilvl w:val="0"/>
          <w:numId w:val="2"/>
        </w:numPr>
        <w:spacing w:after="60"/>
      </w:pPr>
      <w:r>
        <w:rPr>
          <w:rFonts w:ascii="Calibri" w:cs="Calibri" w:eastAsia="Calibri" w:hAnsi="Calibri"/>
          <w:sz w:val="21"/>
          <w:szCs w:val="21"/>
        </w:rPr>
        <w:t xml:space="preserve">Check-out of an asset to an employee and check-in back to stock, with condition notes.</w:t>
      </w:r>
    </w:p>
    <w:p>
      <w:pPr>
        <w:pStyle w:val="ListParagraph"/>
        <w:numPr>
          <w:ilvl w:val="0"/>
          <w:numId w:val="2"/>
        </w:numPr>
        <w:spacing w:after="60"/>
      </w:pPr>
      <w:r>
        <w:rPr>
          <w:rFonts w:ascii="Calibri" w:cs="Calibri" w:eastAsia="Calibri" w:hAnsi="Calibri"/>
          <w:sz w:val="21"/>
          <w:szCs w:val="21"/>
        </w:rPr>
        <w:t xml:space="preserve">Employee directory showing the devices and licences each person holds, including leavers still holding assets.</w:t>
      </w:r>
    </w:p>
    <w:p>
      <w:pPr>
        <w:pStyle w:val="ListParagraph"/>
        <w:numPr>
          <w:ilvl w:val="0"/>
          <w:numId w:val="2"/>
        </w:numPr>
        <w:spacing w:after="60"/>
      </w:pPr>
      <w:r>
        <w:rPr>
          <w:rFonts w:ascii="Calibri" w:cs="Calibri" w:eastAsia="Calibri" w:hAnsi="Calibri"/>
          <w:sz w:val="21"/>
          <w:szCs w:val="21"/>
        </w:rPr>
        <w:t xml:space="preserve">Software licence register with seats purchased, seats assigned and utilisation; assign and release seats.</w:t>
      </w:r>
    </w:p>
    <w:p>
      <w:pPr>
        <w:pStyle w:val="ListParagraph"/>
        <w:numPr>
          <w:ilvl w:val="0"/>
          <w:numId w:val="2"/>
        </w:numPr>
        <w:spacing w:after="60"/>
      </w:pPr>
      <w:r>
        <w:rPr>
          <w:rFonts w:ascii="Calibri" w:cs="Calibri" w:eastAsia="Calibri" w:hAnsi="Calibri"/>
          <w:sz w:val="21"/>
          <w:szCs w:val="21"/>
        </w:rPr>
        <w:t xml:space="preserve">Repairs and maintenance log: raise a repair, track it with the vendor, close it.</w:t>
      </w:r>
    </w:p>
    <w:p>
      <w:pPr>
        <w:pStyle w:val="ListParagraph"/>
        <w:numPr>
          <w:ilvl w:val="0"/>
          <w:numId w:val="2"/>
        </w:numPr>
        <w:spacing w:after="60"/>
      </w:pPr>
      <w:r>
        <w:rPr>
          <w:rFonts w:ascii="Calibri" w:cs="Calibri" w:eastAsia="Calibri" w:hAnsi="Calibri"/>
          <w:sz w:val="21"/>
          <w:szCs w:val="21"/>
        </w:rPr>
        <w:t xml:space="preserve">Warranty and refresh view: devices out of warranty or due for refresh within 60 days.</w:t>
      </w:r>
    </w:p>
    <w:p>
      <w:pPr>
        <w:pStyle w:val="ListParagraph"/>
        <w:numPr>
          <w:ilvl w:val="0"/>
          <w:numId w:val="2"/>
        </w:numPr>
        <w:spacing w:after="60"/>
      </w:pPr>
      <w:r>
        <w:rPr>
          <w:rFonts w:ascii="Calibri" w:cs="Calibri" w:eastAsia="Calibri" w:hAnsi="Calibri"/>
          <w:sz w:val="21"/>
          <w:szCs w:val="21"/>
        </w:rPr>
        <w:t xml:space="preserve">Realistic demonstration data loaded on first start (section 9.2).</w:t>
      </w:r>
    </w:p>
    <w:p>
      <w:pPr>
        <w:pStyle w:val="Heading2"/>
        <w:spacing w:after="120" w:before="240"/>
      </w:pPr>
      <w:r>
        <w:rPr>
          <w:rFonts w:ascii="Calibri" w:cs="Calibri" w:eastAsia="Calibri" w:hAnsi="Calibri"/>
          <w:b/>
          <w:bCs/>
          <w:color w:val="2E5597"/>
          <w:sz w:val="25"/>
          <w:szCs w:val="25"/>
        </w:rPr>
        <w:t xml:space="preserve">4.2 Out of scope (Phase 2 or later)</w:t>
      </w:r>
    </w:p>
    <w:p>
      <w:pPr>
        <w:pStyle w:val="ListParagraph"/>
        <w:numPr>
          <w:ilvl w:val="0"/>
          <w:numId w:val="2"/>
        </w:numPr>
        <w:spacing w:after="60"/>
      </w:pPr>
      <w:r>
        <w:rPr>
          <w:rFonts w:ascii="Calibri" w:cs="Calibri" w:eastAsia="Calibri" w:hAnsi="Calibri"/>
          <w:sz w:val="21"/>
          <w:szCs w:val="21"/>
        </w:rPr>
        <w:t xml:space="preserve">Integration with Workday (HR), SAP Ariba (procurement), Microsoft Intune or Jamf (device management).</w:t>
      </w:r>
    </w:p>
    <w:p>
      <w:pPr>
        <w:pStyle w:val="ListParagraph"/>
        <w:numPr>
          <w:ilvl w:val="0"/>
          <w:numId w:val="2"/>
        </w:numPr>
        <w:spacing w:after="60"/>
      </w:pPr>
      <w:r>
        <w:rPr>
          <w:rFonts w:ascii="Calibri" w:cs="Calibri" w:eastAsia="Calibri" w:hAnsi="Calibri"/>
          <w:sz w:val="21"/>
          <w:szCs w:val="21"/>
        </w:rPr>
        <w:t xml:space="preserve">Single sign-on and role-based access control; the MVP runs on the internal network without login.</w:t>
      </w:r>
    </w:p>
    <w:p>
      <w:pPr>
        <w:pStyle w:val="ListParagraph"/>
        <w:numPr>
          <w:ilvl w:val="0"/>
          <w:numId w:val="2"/>
        </w:numPr>
        <w:spacing w:after="60"/>
      </w:pPr>
      <w:r>
        <w:rPr>
          <w:rFonts w:ascii="Calibri" w:cs="Calibri" w:eastAsia="Calibri" w:hAnsi="Calibri"/>
          <w:sz w:val="21"/>
          <w:szCs w:val="21"/>
        </w:rPr>
        <w:t xml:space="preserve">Barcode or QR scanning, e-mail notifications, and financial depreciation postings to SAP.</w:t>
      </w:r>
    </w:p>
    <w:p>
      <w:pPr>
        <w:pStyle w:val="Heading1"/>
        <w:spacing w:after="160" w:before="360"/>
      </w:pPr>
      <w:r>
        <w:rPr>
          <w:rFonts w:ascii="Calibri" w:cs="Calibri" w:eastAsia="Calibri" w:hAnsi="Calibri"/>
          <w:b/>
          <w:bCs/>
          <w:color w:val="1F3864"/>
          <w:sz w:val="30"/>
          <w:szCs w:val="30"/>
        </w:rPr>
        <w:t xml:space="preserve">5. Stakeholders and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34"/>
        <w:gridCol w:w="5054"/>
      </w:tblGrid>
      <w:tr>
        <w:trPr>
          <w:tblHeader/>
        </w:trPr>
        <w:tc>
          <w:tcPr>
            <w:tcW w:type="dxa" w:w="1872"/>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Persona</w:t>
            </w:r>
          </w:p>
        </w:tc>
        <w:tc>
          <w:tcPr>
            <w:tcW w:type="dxa" w:w="243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Who</w:t>
            </w:r>
          </w:p>
        </w:tc>
        <w:tc>
          <w:tcPr>
            <w:tcW w:type="dxa" w:w="505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What they need from AssetHub</w:t>
            </w:r>
          </w:p>
        </w:tc>
      </w:tr>
      <w:tr>
        <w:tc>
          <w:tcPr>
            <w:tcW w:type="dxa" w:w="187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IT Asset Manager</w:t>
            </w:r>
          </w:p>
        </w:tc>
        <w:tc>
          <w:tcPr>
            <w:tcW w:type="dxa" w:w="243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Hannah Okafor's team lead, 1 person</w:t>
            </w:r>
          </w:p>
        </w:tc>
        <w:tc>
          <w:tcPr>
            <w:tcW w:type="dxa" w:w="505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The monthly review: totals, utilisation, warranty exposure, leavers still holding kit</w:t>
            </w:r>
          </w:p>
        </w:tc>
      </w:tr>
      <w:tr>
        <w:tc>
          <w:tcPr>
            <w:tcW w:type="dxa" w:w="187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IT Technician</w:t>
            </w:r>
          </w:p>
        </w:tc>
        <w:tc>
          <w:tcPr>
            <w:tcW w:type="dxa" w:w="243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4 technicians across sites</w:t>
            </w:r>
          </w:p>
        </w:tc>
        <w:tc>
          <w:tcPr>
            <w:tcW w:type="dxa" w:w="505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Find an asset fast, check it out or in, raise and close repairs</w:t>
            </w:r>
          </w:p>
        </w:tc>
      </w:tr>
      <w:tr>
        <w:tc>
          <w:tcPr>
            <w:tcW w:type="dxa" w:w="187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Service Desk Agent</w:t>
            </w:r>
          </w:p>
        </w:tc>
        <w:tc>
          <w:tcPr>
            <w:tcW w:type="dxa" w:w="243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12 agents</w:t>
            </w:r>
          </w:p>
        </w:tc>
        <w:tc>
          <w:tcPr>
            <w:tcW w:type="dxa" w:w="505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See what a caller holds before troubleshooting; confirm a device's warranty</w:t>
            </w:r>
          </w:p>
        </w:tc>
      </w:tr>
      <w:tr>
        <w:tc>
          <w:tcPr>
            <w:tcW w:type="dxa" w:w="187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Finance Controller</w:t>
            </w:r>
          </w:p>
        </w:tc>
        <w:tc>
          <w:tcPr>
            <w:tcW w:type="dxa" w:w="243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Group Services Finance</w:t>
            </w:r>
          </w:p>
        </w:tc>
        <w:tc>
          <w:tcPr>
            <w:tcW w:type="dxa" w:w="505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Licence utilisation and unused seat cost before renewals</w:t>
            </w:r>
          </w:p>
        </w:tc>
      </w:tr>
      <w:tr>
        <w:tc>
          <w:tcPr>
            <w:tcW w:type="dxa" w:w="187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Internal Auditor</w:t>
            </w:r>
          </w:p>
        </w:tc>
        <w:tc>
          <w:tcPr>
            <w:tcW w:type="dxa" w:w="243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Internal Audit</w:t>
            </w:r>
          </w:p>
        </w:tc>
        <w:tc>
          <w:tcPr>
            <w:tcW w:type="dxa" w:w="505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Device list by department or location on request, with history</w:t>
            </w:r>
          </w:p>
        </w:tc>
      </w:tr>
    </w:tbl>
    <w:p>
      <w:pPr>
        <w:pStyle w:val="Heading1"/>
        <w:spacing w:after="160" w:before="360"/>
      </w:pPr>
      <w:r>
        <w:rPr>
          <w:rFonts w:ascii="Calibri" w:cs="Calibri" w:eastAsia="Calibri" w:hAnsi="Calibri"/>
          <w:b/>
          <w:bCs/>
          <w:color w:val="1F3864"/>
          <w:sz w:val="30"/>
          <w:szCs w:val="30"/>
        </w:rPr>
        <w:t xml:space="preserve">6. Business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5710"/>
        <w:gridCol w:w="1030"/>
        <w:gridCol w:w="1778"/>
      </w:tblGrid>
      <w:tr>
        <w:trPr>
          <w:tblHeader/>
        </w:trPr>
        <w:tc>
          <w:tcPr>
            <w:tcW w:type="dxa" w:w="842"/>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ID</w:t>
            </w:r>
          </w:p>
        </w:tc>
        <w:tc>
          <w:tcPr>
            <w:tcW w:type="dxa" w:w="571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Requirement</w:t>
            </w:r>
          </w:p>
        </w:tc>
        <w:tc>
          <w:tcPr>
            <w:tcW w:type="dxa" w:w="103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Priority</w:t>
            </w:r>
          </w:p>
        </w:tc>
        <w:tc>
          <w:tcPr>
            <w:tcW w:type="dxa" w:w="1778"/>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Source</w:t>
            </w:r>
          </w:p>
        </w:tc>
      </w:tr>
      <w:tr>
        <w:tc>
          <w:tcPr>
            <w:tcW w:type="dxa" w:w="84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BR-01</w:t>
            </w:r>
          </w:p>
        </w:tc>
        <w:tc>
          <w:tcPr>
            <w:tcW w:type="dxa" w:w="57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The business must be able to see every IT asset, its status, location and current holder in one place.</w:t>
            </w:r>
          </w:p>
        </w:tc>
        <w:tc>
          <w:tcPr>
            <w:tcW w:type="dxa" w:w="103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77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P-01, AUD-2026-Q2-07</w:t>
            </w:r>
          </w:p>
        </w:tc>
      </w:tr>
      <w:tr>
        <w:tc>
          <w:tcPr>
            <w:tcW w:type="dxa" w:w="84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BR-02</w:t>
            </w:r>
          </w:p>
        </w:tc>
        <w:tc>
          <w:tcPr>
            <w:tcW w:type="dxa" w:w="571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IT must record every hand-over of a device to or from an employee, with date and condition.</w:t>
            </w:r>
          </w:p>
        </w:tc>
        <w:tc>
          <w:tcPr>
            <w:tcW w:type="dxa" w:w="103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77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P-01, ITAM-POL-003 §4</w:t>
            </w:r>
          </w:p>
        </w:tc>
      </w:tr>
      <w:tr>
        <w:tc>
          <w:tcPr>
            <w:tcW w:type="dxa" w:w="84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BR-03</w:t>
            </w:r>
          </w:p>
        </w:tc>
        <w:tc>
          <w:tcPr>
            <w:tcW w:type="dxa" w:w="57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Finance must see, per software title, seats purchased, seats in use and the annual cost of unused seats.</w:t>
            </w:r>
          </w:p>
        </w:tc>
        <w:tc>
          <w:tcPr>
            <w:tcW w:type="dxa" w:w="103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77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P-02</w:t>
            </w:r>
          </w:p>
        </w:tc>
      </w:tr>
      <w:tr>
        <w:tc>
          <w:tcPr>
            <w:tcW w:type="dxa" w:w="84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BR-04</w:t>
            </w:r>
          </w:p>
        </w:tc>
        <w:tc>
          <w:tcPr>
            <w:tcW w:type="dxa" w:w="571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IT must know which devices are out of warranty or due for refresh in the next 60 days.</w:t>
            </w:r>
          </w:p>
        </w:tc>
        <w:tc>
          <w:tcPr>
            <w:tcW w:type="dxa" w:w="103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77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P-03</w:t>
            </w:r>
          </w:p>
        </w:tc>
      </w:tr>
      <w:tr>
        <w:tc>
          <w:tcPr>
            <w:tcW w:type="dxa" w:w="84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BR-05</w:t>
            </w:r>
          </w:p>
        </w:tc>
        <w:tc>
          <w:tcPr>
            <w:tcW w:type="dxa" w:w="57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IT must track devices sent for repair from sending to return.</w:t>
            </w:r>
          </w:p>
        </w:tc>
        <w:tc>
          <w:tcPr>
            <w:tcW w:type="dxa" w:w="103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Should</w:t>
            </w:r>
          </w:p>
        </w:tc>
        <w:tc>
          <w:tcPr>
            <w:tcW w:type="dxa" w:w="177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P-05</w:t>
            </w:r>
          </w:p>
        </w:tc>
      </w:tr>
      <w:tr>
        <w:tc>
          <w:tcPr>
            <w:tcW w:type="dxa" w:w="84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BR-06</w:t>
            </w:r>
          </w:p>
        </w:tc>
        <w:tc>
          <w:tcPr>
            <w:tcW w:type="dxa" w:w="571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Auditors must be able to list assets by department or location and see each asset's history.</w:t>
            </w:r>
          </w:p>
        </w:tc>
        <w:tc>
          <w:tcPr>
            <w:tcW w:type="dxa" w:w="103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77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P-04</w:t>
            </w:r>
          </w:p>
        </w:tc>
      </w:tr>
      <w:tr>
        <w:tc>
          <w:tcPr>
            <w:tcW w:type="dxa" w:w="84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BR-07</w:t>
            </w:r>
          </w:p>
        </w:tc>
        <w:tc>
          <w:tcPr>
            <w:tcW w:type="dxa" w:w="57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The monthly asset review must be run from a single dashboard.</w:t>
            </w:r>
          </w:p>
        </w:tc>
        <w:tc>
          <w:tcPr>
            <w:tcW w:type="dxa" w:w="103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Should</w:t>
            </w:r>
          </w:p>
        </w:tc>
        <w:tc>
          <w:tcPr>
            <w:tcW w:type="dxa" w:w="177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BO-1..BO-5</w:t>
            </w:r>
          </w:p>
        </w:tc>
      </w:tr>
      <w:tr>
        <w:tc>
          <w:tcPr>
            <w:tcW w:type="dxa" w:w="84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BR-08</w:t>
            </w:r>
          </w:p>
        </w:tc>
        <w:tc>
          <w:tcPr>
            <w:tcW w:type="dxa" w:w="571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Employees who have left but still hold assets must be visible until everything is returned.</w:t>
            </w:r>
          </w:p>
        </w:tc>
        <w:tc>
          <w:tcPr>
            <w:tcW w:type="dxa" w:w="103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c>
          <w:tcPr>
            <w:tcW w:type="dxa" w:w="177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P-01</w:t>
            </w:r>
          </w:p>
        </w:tc>
      </w:tr>
    </w:tbl>
    <w:p>
      <w:pPr>
        <w:pStyle w:val="Heading1"/>
        <w:spacing w:after="160" w:before="360"/>
      </w:pPr>
      <w:r>
        <w:rPr>
          <w:rFonts w:ascii="Calibri" w:cs="Calibri" w:eastAsia="Calibri" w:hAnsi="Calibri"/>
          <w:b/>
          <w:bCs/>
          <w:color w:val="1F3864"/>
          <w:sz w:val="30"/>
          <w:szCs w:val="30"/>
        </w:rPr>
        <w:t xml:space="preserve">7. Functional Requirements</w:t>
      </w:r>
    </w:p>
    <w:p>
      <w:pPr>
        <w:spacing w:after="120" w:line="276"/>
      </w:pPr>
      <w:r>
        <w:rPr>
          <w:rFonts w:ascii="Calibri" w:cs="Calibri" w:eastAsia="Calibri" w:hAnsi="Calibri"/>
          <w:sz w:val="21"/>
          <w:szCs w:val="21"/>
        </w:rPr>
        <w:t xml:space="preserve">Priorities use MoSCoW. Every screen must open showing the demonstration data, and every action must show its result on the screen without a page reload.</w:t>
      </w:r>
    </w:p>
    <w:p>
      <w:pPr>
        <w:pStyle w:val="Heading2"/>
        <w:spacing w:after="120" w:before="240"/>
      </w:pPr>
      <w:r>
        <w:rPr>
          <w:rFonts w:ascii="Calibri" w:cs="Calibri" w:eastAsia="Calibri" w:hAnsi="Calibri"/>
          <w:b/>
          <w:bCs/>
          <w:color w:val="2E5597"/>
          <w:sz w:val="25"/>
          <w:szCs w:val="25"/>
        </w:rPr>
        <w:t xml:space="preserve">7.1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7114"/>
        <w:gridCol w:w="1310"/>
      </w:tblGrid>
      <w:tr>
        <w:trPr>
          <w:tblHeader/>
        </w:trPr>
        <w:tc>
          <w:tcPr>
            <w:tcW w:type="dxa" w:w="936"/>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ID</w:t>
            </w:r>
          </w:p>
        </w:tc>
        <w:tc>
          <w:tcPr>
            <w:tcW w:type="dxa" w:w="711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Requirement</w:t>
            </w:r>
          </w:p>
        </w:tc>
        <w:tc>
          <w:tcPr>
            <w:tcW w:type="dxa" w:w="131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Priority</w:t>
            </w:r>
          </w:p>
        </w:tc>
      </w:tr>
      <w:tr>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FR-01</w:t>
            </w:r>
          </w:p>
        </w:tc>
        <w:tc>
          <w:tcPr>
            <w:tcW w:type="dxa" w:w="711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Show headline figures: total assets, assigned, in stock, in repair, out of warranty, and licence utilisation %.</w:t>
            </w:r>
          </w:p>
        </w:tc>
        <w:tc>
          <w:tcPr>
            <w:tcW w:type="dxa" w:w="13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r>
      <w:tr>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FR-02</w:t>
            </w:r>
          </w:p>
        </w:tc>
        <w:tc>
          <w:tcPr>
            <w:tcW w:type="dxa" w:w="711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Chart assets by category (laptop, monitor, phone, docking station, network) and by status.</w:t>
            </w:r>
          </w:p>
        </w:tc>
        <w:tc>
          <w:tcPr>
            <w:tcW w:type="dxa" w:w="131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r>
      <w:tr>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FR-03</w:t>
            </w:r>
          </w:p>
        </w:tc>
        <w:tc>
          <w:tcPr>
            <w:tcW w:type="dxa" w:w="711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Chart new assignments per week for the last 12 weeks.</w:t>
            </w:r>
          </w:p>
        </w:tc>
        <w:tc>
          <w:tcPr>
            <w:tcW w:type="dxa" w:w="13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Should</w:t>
            </w:r>
          </w:p>
        </w:tc>
      </w:tr>
      <w:tr>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FR-04</w:t>
            </w:r>
          </w:p>
        </w:tc>
        <w:tc>
          <w:tcPr>
            <w:tcW w:type="dxa" w:w="711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List the ten software titles with the most unused seats and their annual cost.</w:t>
            </w:r>
          </w:p>
        </w:tc>
        <w:tc>
          <w:tcPr>
            <w:tcW w:type="dxa" w:w="131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Should</w:t>
            </w:r>
          </w:p>
        </w:tc>
      </w:tr>
    </w:tbl>
    <w:p>
      <w:pPr>
        <w:pStyle w:val="Heading2"/>
        <w:spacing w:after="120" w:before="240"/>
      </w:pPr>
      <w:r>
        <w:rPr>
          <w:rFonts w:ascii="Calibri" w:cs="Calibri" w:eastAsia="Calibri" w:hAnsi="Calibri"/>
          <w:b/>
          <w:bCs/>
          <w:color w:val="2E5597"/>
          <w:sz w:val="25"/>
          <w:szCs w:val="25"/>
        </w:rPr>
        <w:t xml:space="preserve">7.2 Asset register and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7114"/>
        <w:gridCol w:w="1310"/>
      </w:tblGrid>
      <w:tr>
        <w:trPr>
          <w:tblHeader/>
        </w:trPr>
        <w:tc>
          <w:tcPr>
            <w:tcW w:type="dxa" w:w="936"/>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ID</w:t>
            </w:r>
          </w:p>
        </w:tc>
        <w:tc>
          <w:tcPr>
            <w:tcW w:type="dxa" w:w="711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Requirement</w:t>
            </w:r>
          </w:p>
        </w:tc>
        <w:tc>
          <w:tcPr>
            <w:tcW w:type="dxa" w:w="131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Priority</w:t>
            </w:r>
          </w:p>
        </w:tc>
      </w:tr>
      <w:tr>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FR-05</w:t>
            </w:r>
          </w:p>
        </w:tc>
        <w:tc>
          <w:tcPr>
            <w:tcW w:type="dxa" w:w="711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List all assets with tag, name/model, category, status, location, current holder and warranty end date.</w:t>
            </w:r>
          </w:p>
        </w:tc>
        <w:tc>
          <w:tcPr>
            <w:tcW w:type="dxa" w:w="13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r>
      <w:tr>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FR-06</w:t>
            </w:r>
          </w:p>
        </w:tc>
        <w:tc>
          <w:tcPr>
            <w:tcW w:type="dxa" w:w="711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Search by tag, model, serial number or holder; filter by category, status and location; sort by any column.</w:t>
            </w:r>
          </w:p>
        </w:tc>
        <w:tc>
          <w:tcPr>
            <w:tcW w:type="dxa" w:w="131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r>
      <w:tr>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FR-07</w:t>
            </w:r>
          </w:p>
        </w:tc>
        <w:tc>
          <w:tcPr>
            <w:tcW w:type="dxa" w:w="711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Open an asset to see its full record, assignment history and repair history.</w:t>
            </w:r>
          </w:p>
        </w:tc>
        <w:tc>
          <w:tcPr>
            <w:tcW w:type="dxa" w:w="13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r>
      <w:tr>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FR-08</w:t>
            </w:r>
          </w:p>
        </w:tc>
        <w:tc>
          <w:tcPr>
            <w:tcW w:type="dxa" w:w="711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Add a new asset (tag, category, manufacturer, model, serial, purchase date, cost, warranty end, location).</w:t>
            </w:r>
          </w:p>
        </w:tc>
        <w:tc>
          <w:tcPr>
            <w:tcW w:type="dxa" w:w="131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r>
      <w:tr>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FR-09</w:t>
            </w:r>
          </w:p>
        </w:tc>
        <w:tc>
          <w:tcPr>
            <w:tcW w:type="dxa" w:w="711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Change an asset's status to Retired or Lost, with a reason.</w:t>
            </w:r>
          </w:p>
        </w:tc>
        <w:tc>
          <w:tcPr>
            <w:tcW w:type="dxa" w:w="13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Should</w:t>
            </w:r>
          </w:p>
        </w:tc>
      </w:tr>
    </w:tbl>
    <w:p>
      <w:pPr>
        <w:pStyle w:val="Heading2"/>
        <w:spacing w:after="120" w:before="240"/>
      </w:pPr>
      <w:r>
        <w:rPr>
          <w:rFonts w:ascii="Calibri" w:cs="Calibri" w:eastAsia="Calibri" w:hAnsi="Calibri"/>
          <w:b/>
          <w:bCs/>
          <w:color w:val="2E5597"/>
          <w:sz w:val="25"/>
          <w:szCs w:val="25"/>
        </w:rPr>
        <w:t xml:space="preserve">7.3 Assignments (check-out / check-in)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7114"/>
        <w:gridCol w:w="1310"/>
      </w:tblGrid>
      <w:tr>
        <w:trPr>
          <w:tblHeader/>
        </w:trPr>
        <w:tc>
          <w:tcPr>
            <w:tcW w:type="dxa" w:w="936"/>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ID</w:t>
            </w:r>
          </w:p>
        </w:tc>
        <w:tc>
          <w:tcPr>
            <w:tcW w:type="dxa" w:w="711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Requirement</w:t>
            </w:r>
          </w:p>
        </w:tc>
        <w:tc>
          <w:tcPr>
            <w:tcW w:type="dxa" w:w="131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Priority</w:t>
            </w:r>
          </w:p>
        </w:tc>
      </w:tr>
      <w:tr>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FR-10</w:t>
            </w:r>
          </w:p>
        </w:tc>
        <w:tc>
          <w:tcPr>
            <w:tcW w:type="dxa" w:w="711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Check out an In Stock asset to an employee, recording date and condition; its status becomes Assigned.</w:t>
            </w:r>
          </w:p>
        </w:tc>
        <w:tc>
          <w:tcPr>
            <w:tcW w:type="dxa" w:w="13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r>
      <w:tr>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FR-11</w:t>
            </w:r>
          </w:p>
        </w:tc>
        <w:tc>
          <w:tcPr>
            <w:tcW w:type="dxa" w:w="711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Check in an Assigned asset, recording date and condition; its status becomes In Stock.</w:t>
            </w:r>
          </w:p>
        </w:tc>
        <w:tc>
          <w:tcPr>
            <w:tcW w:type="dxa" w:w="131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r>
      <w:tr>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FR-12</w:t>
            </w:r>
          </w:p>
        </w:tc>
        <w:tc>
          <w:tcPr>
            <w:tcW w:type="dxa" w:w="711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Show the list of current assignments, newest first, filterable by department and location.</w:t>
            </w:r>
          </w:p>
        </w:tc>
        <w:tc>
          <w:tcPr>
            <w:tcW w:type="dxa" w:w="13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r>
    </w:tbl>
    <w:p>
      <w:pPr>
        <w:pStyle w:val="Heading2"/>
        <w:spacing w:after="120" w:before="240"/>
      </w:pPr>
      <w:r>
        <w:rPr>
          <w:rFonts w:ascii="Calibri" w:cs="Calibri" w:eastAsia="Calibri" w:hAnsi="Calibri"/>
          <w:b/>
          <w:bCs/>
          <w:color w:val="2E5597"/>
          <w:sz w:val="25"/>
          <w:szCs w:val="25"/>
        </w:rPr>
        <w:t xml:space="preserve">7.4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7114"/>
        <w:gridCol w:w="1310"/>
      </w:tblGrid>
      <w:tr>
        <w:trPr>
          <w:tblHeader/>
        </w:trPr>
        <w:tc>
          <w:tcPr>
            <w:tcW w:type="dxa" w:w="936"/>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ID</w:t>
            </w:r>
          </w:p>
        </w:tc>
        <w:tc>
          <w:tcPr>
            <w:tcW w:type="dxa" w:w="711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Requirement</w:t>
            </w:r>
          </w:p>
        </w:tc>
        <w:tc>
          <w:tcPr>
            <w:tcW w:type="dxa" w:w="131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Priority</w:t>
            </w:r>
          </w:p>
        </w:tc>
      </w:tr>
      <w:tr>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FR-13</w:t>
            </w:r>
          </w:p>
        </w:tc>
        <w:tc>
          <w:tcPr>
            <w:tcW w:type="dxa" w:w="711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List employees with department, location, job title, employment status, and the number of assets and licences held.</w:t>
            </w:r>
          </w:p>
        </w:tc>
        <w:tc>
          <w:tcPr>
            <w:tcW w:type="dxa" w:w="13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r>
      <w:tr>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FR-14</w:t>
            </w:r>
          </w:p>
        </w:tc>
        <w:tc>
          <w:tcPr>
            <w:tcW w:type="dxa" w:w="711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Open an employee to see the devices and licence seats they hold.</w:t>
            </w:r>
          </w:p>
        </w:tc>
        <w:tc>
          <w:tcPr>
            <w:tcW w:type="dxa" w:w="131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r>
      <w:tr>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FR-15</w:t>
            </w:r>
          </w:p>
        </w:tc>
        <w:tc>
          <w:tcPr>
            <w:tcW w:type="dxa" w:w="711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Highlight leavers who still hold assets.</w:t>
            </w:r>
          </w:p>
        </w:tc>
        <w:tc>
          <w:tcPr>
            <w:tcW w:type="dxa" w:w="13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r>
    </w:tbl>
    <w:p>
      <w:pPr>
        <w:pStyle w:val="Heading2"/>
        <w:spacing w:after="120" w:before="240"/>
      </w:pPr>
      <w:r>
        <w:rPr>
          <w:rFonts w:ascii="Calibri" w:cs="Calibri" w:eastAsia="Calibri" w:hAnsi="Calibri"/>
          <w:b/>
          <w:bCs/>
          <w:color w:val="2E5597"/>
          <w:sz w:val="25"/>
          <w:szCs w:val="25"/>
        </w:rPr>
        <w:t xml:space="preserve">7.5 Software licences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7114"/>
        <w:gridCol w:w="1310"/>
      </w:tblGrid>
      <w:tr>
        <w:trPr>
          <w:tblHeader/>
        </w:trPr>
        <w:tc>
          <w:tcPr>
            <w:tcW w:type="dxa" w:w="936"/>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ID</w:t>
            </w:r>
          </w:p>
        </w:tc>
        <w:tc>
          <w:tcPr>
            <w:tcW w:type="dxa" w:w="711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Requirement</w:t>
            </w:r>
          </w:p>
        </w:tc>
        <w:tc>
          <w:tcPr>
            <w:tcW w:type="dxa" w:w="131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Priority</w:t>
            </w:r>
          </w:p>
        </w:tc>
      </w:tr>
      <w:tr>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FR-16</w:t>
            </w:r>
          </w:p>
        </w:tc>
        <w:tc>
          <w:tcPr>
            <w:tcW w:type="dxa" w:w="711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List software titles with vendor, licence type, seats purchased, seats assigned, utilisation % and annual cost per seat.</w:t>
            </w:r>
          </w:p>
        </w:tc>
        <w:tc>
          <w:tcPr>
            <w:tcW w:type="dxa" w:w="13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r>
      <w:tr>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FR-17</w:t>
            </w:r>
          </w:p>
        </w:tc>
        <w:tc>
          <w:tcPr>
            <w:tcW w:type="dxa" w:w="711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Open a title to see who holds each seat; assign a seat to an employee or release one.</w:t>
            </w:r>
          </w:p>
        </w:tc>
        <w:tc>
          <w:tcPr>
            <w:tcW w:type="dxa" w:w="131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r>
      <w:tr>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FR-18</w:t>
            </w:r>
          </w:p>
        </w:tc>
        <w:tc>
          <w:tcPr>
            <w:tcW w:type="dxa" w:w="711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Show renewal date and flag titles renewing in the next 90 days.</w:t>
            </w:r>
          </w:p>
        </w:tc>
        <w:tc>
          <w:tcPr>
            <w:tcW w:type="dxa" w:w="13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Should</w:t>
            </w:r>
          </w:p>
        </w:tc>
      </w:tr>
    </w:tbl>
    <w:p>
      <w:pPr>
        <w:pStyle w:val="Heading2"/>
        <w:spacing w:after="120" w:before="240"/>
      </w:pPr>
      <w:r>
        <w:rPr>
          <w:rFonts w:ascii="Calibri" w:cs="Calibri" w:eastAsia="Calibri" w:hAnsi="Calibri"/>
          <w:b/>
          <w:bCs/>
          <w:color w:val="2E5597"/>
          <w:sz w:val="25"/>
          <w:szCs w:val="25"/>
        </w:rPr>
        <w:t xml:space="preserve">7.6 Repairs and warranty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7114"/>
        <w:gridCol w:w="1310"/>
      </w:tblGrid>
      <w:tr>
        <w:trPr>
          <w:tblHeader/>
        </w:trPr>
        <w:tc>
          <w:tcPr>
            <w:tcW w:type="dxa" w:w="936"/>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ID</w:t>
            </w:r>
          </w:p>
        </w:tc>
        <w:tc>
          <w:tcPr>
            <w:tcW w:type="dxa" w:w="711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Requirement</w:t>
            </w:r>
          </w:p>
        </w:tc>
        <w:tc>
          <w:tcPr>
            <w:tcW w:type="dxa" w:w="131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Priority</w:t>
            </w:r>
          </w:p>
        </w:tc>
      </w:tr>
      <w:tr>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FR-19</w:t>
            </w:r>
          </w:p>
        </w:tc>
        <w:tc>
          <w:tcPr>
            <w:tcW w:type="dxa" w:w="711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Raise a repair for an asset: fault description, vendor, date sent; the asset status becomes In Repair.</w:t>
            </w:r>
          </w:p>
        </w:tc>
        <w:tc>
          <w:tcPr>
            <w:tcW w:type="dxa" w:w="13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Should</w:t>
            </w:r>
          </w:p>
        </w:tc>
      </w:tr>
      <w:tr>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FR-20</w:t>
            </w:r>
          </w:p>
        </w:tc>
        <w:tc>
          <w:tcPr>
            <w:tcW w:type="dxa" w:w="711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Close a repair with the return date and outcome; the asset returns to its previous status.</w:t>
            </w:r>
          </w:p>
        </w:tc>
        <w:tc>
          <w:tcPr>
            <w:tcW w:type="dxa" w:w="131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Should</w:t>
            </w:r>
          </w:p>
        </w:tc>
      </w:tr>
      <w:tr>
        <w:tc>
          <w:tcPr>
            <w:tcW w:type="dxa" w:w="93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FR-21</w:t>
            </w:r>
          </w:p>
        </w:tc>
        <w:tc>
          <w:tcPr>
            <w:tcW w:type="dxa" w:w="711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List open repairs with the number of days each has been open.</w:t>
            </w:r>
          </w:p>
        </w:tc>
        <w:tc>
          <w:tcPr>
            <w:tcW w:type="dxa" w:w="13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Should</w:t>
            </w:r>
          </w:p>
        </w:tc>
      </w:tr>
      <w:tr>
        <w:tc>
          <w:tcPr>
            <w:tcW w:type="dxa" w:w="93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FR-22</w:t>
            </w:r>
          </w:p>
        </w:tc>
        <w:tc>
          <w:tcPr>
            <w:tcW w:type="dxa" w:w="711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List assets whose warranty has ended or ends within 60 days, and assets older than the 4-year refresh cycle.</w:t>
            </w:r>
          </w:p>
        </w:tc>
        <w:tc>
          <w:tcPr>
            <w:tcW w:type="dxa" w:w="131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Must</w:t>
            </w:r>
          </w:p>
        </w:tc>
      </w:tr>
    </w:tbl>
    <w:p>
      <w:pPr>
        <w:pStyle w:val="Heading1"/>
        <w:spacing w:after="160" w:before="360"/>
      </w:pPr>
      <w:r>
        <w:rPr>
          <w:rFonts w:ascii="Calibri" w:cs="Calibri" w:eastAsia="Calibri" w:hAnsi="Calibri"/>
          <w:b/>
          <w:bCs/>
          <w:color w:val="1F3864"/>
          <w:sz w:val="30"/>
          <w:szCs w:val="30"/>
        </w:rPr>
        <w:t xml:space="preserve">8.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8237"/>
      </w:tblGrid>
      <w:tr>
        <w:trPr>
          <w:tblHeader/>
        </w:trPr>
        <w:tc>
          <w:tcPr>
            <w:tcW w:type="dxa" w:w="1123"/>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ID</w:t>
            </w:r>
          </w:p>
        </w:tc>
        <w:tc>
          <w:tcPr>
            <w:tcW w:type="dxa" w:w="8237"/>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Rule</w:t>
            </w:r>
          </w:p>
        </w:tc>
      </w:tr>
      <w:tr>
        <w:tc>
          <w:tcPr>
            <w:tcW w:type="dxa" w:w="1123"/>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BRL-01</w:t>
            </w:r>
          </w:p>
        </w:tc>
        <w:tc>
          <w:tcPr>
            <w:tcW w:type="dxa" w:w="8237"/>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Asset tags follow the format MFG-&lt;category code&gt;-&lt;5 digits&gt;, e.g. MFG-LT-10482 (LT laptop, MN monitor, PH phone, DS docking station, NW network).</w:t>
            </w:r>
          </w:p>
        </w:tc>
      </w:tr>
      <w:tr>
        <w:tc>
          <w:tcPr>
            <w:tcW w:type="dxa" w:w="1123"/>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BRL-02</w:t>
            </w:r>
          </w:p>
        </w:tc>
        <w:tc>
          <w:tcPr>
            <w:tcW w:type="dxa" w:w="8237"/>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Asset status is one of: In Stock, Assigned, In Repair, Retired, Lost. Only In Stock assets can be checked out.</w:t>
            </w:r>
          </w:p>
        </w:tc>
      </w:tr>
      <w:tr>
        <w:tc>
          <w:tcPr>
            <w:tcW w:type="dxa" w:w="1123"/>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BRL-03</w:t>
            </w:r>
          </w:p>
        </w:tc>
        <w:tc>
          <w:tcPr>
            <w:tcW w:type="dxa" w:w="8237"/>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An asset has at most one current holder. Check-out and check-in create an assignment history entry.</w:t>
            </w:r>
          </w:p>
        </w:tc>
      </w:tr>
      <w:tr>
        <w:tc>
          <w:tcPr>
            <w:tcW w:type="dxa" w:w="1123"/>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BRL-04</w:t>
            </w:r>
          </w:p>
        </w:tc>
        <w:tc>
          <w:tcPr>
            <w:tcW w:type="dxa" w:w="8237"/>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Laptops are refreshed after 4 years, phones after 3, monitors after 6.</w:t>
            </w:r>
          </w:p>
        </w:tc>
      </w:tr>
      <w:tr>
        <w:tc>
          <w:tcPr>
            <w:tcW w:type="dxa" w:w="1123"/>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BRL-05</w:t>
            </w:r>
          </w:p>
        </w:tc>
        <w:tc>
          <w:tcPr>
            <w:tcW w:type="dxa" w:w="8237"/>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 warranty is 'expiring' when its end date is within 60 days, and 'expired' after the end date.</w:t>
            </w:r>
          </w:p>
        </w:tc>
      </w:tr>
      <w:tr>
        <w:tc>
          <w:tcPr>
            <w:tcW w:type="dxa" w:w="1123"/>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BRL-06</w:t>
            </w:r>
          </w:p>
        </w:tc>
        <w:tc>
          <w:tcPr>
            <w:tcW w:type="dxa" w:w="8237"/>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Licence utilisation = seats assigned / seats purchased. Seats assigned may not exceed seats purchased.</w:t>
            </w:r>
          </w:p>
        </w:tc>
      </w:tr>
      <w:tr>
        <w:tc>
          <w:tcPr>
            <w:tcW w:type="dxa" w:w="1123"/>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BRL-07</w:t>
            </w:r>
          </w:p>
        </w:tc>
        <w:tc>
          <w:tcPr>
            <w:tcW w:type="dxa" w:w="8237"/>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An employee with status Leaver who still holds an asset or seat appears on the dashboard until everything is returned.</w:t>
            </w:r>
          </w:p>
        </w:tc>
      </w:tr>
    </w:tbl>
    <w:p>
      <w:pPr>
        <w:pStyle w:val="Heading1"/>
        <w:spacing w:after="160" w:before="360"/>
      </w:pPr>
      <w:r>
        <w:rPr>
          <w:rFonts w:ascii="Calibri" w:cs="Calibri" w:eastAsia="Calibri" w:hAnsi="Calibri"/>
          <w:b/>
          <w:bCs/>
          <w:color w:val="1F3864"/>
          <w:sz w:val="30"/>
          <w:szCs w:val="30"/>
        </w:rPr>
        <w:t xml:space="preserve">9. Data Requirements</w:t>
      </w:r>
    </w:p>
    <w:p>
      <w:pPr>
        <w:pStyle w:val="Heading2"/>
        <w:spacing w:after="120" w:before="240"/>
      </w:pPr>
      <w:r>
        <w:rPr>
          <w:rFonts w:ascii="Calibri" w:cs="Calibri" w:eastAsia="Calibri" w:hAnsi="Calibri"/>
          <w:b/>
          <w:bCs/>
          <w:color w:val="2E5597"/>
          <w:sz w:val="25"/>
          <w:szCs w:val="25"/>
        </w:rPr>
        <w:t xml:space="preserve">9.1 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Entity</w:t>
            </w:r>
          </w:p>
        </w:tc>
        <w:tc>
          <w:tcPr>
            <w:tcW w:type="dxa" w:w="7488"/>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Key attributes</w:t>
            </w:r>
          </w:p>
        </w:tc>
      </w:tr>
      <w:tr>
        <w:tc>
          <w:tcPr>
            <w:tcW w:type="dxa" w:w="187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Asset</w:t>
            </w:r>
          </w:p>
        </w:tc>
        <w:tc>
          <w:tcPr>
            <w:tcW w:type="dxa" w:w="748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tag, category, manufacturer, model, serial number, status, location, purchase date, purchase cost, warranty end date, current holder</w:t>
            </w:r>
          </w:p>
        </w:tc>
      </w:tr>
      <w:tr>
        <w:tc>
          <w:tcPr>
            <w:tcW w:type="dxa" w:w="187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Employee</w:t>
            </w:r>
          </w:p>
        </w:tc>
        <w:tc>
          <w:tcPr>
            <w:tcW w:type="dxa" w:w="748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employee number, full name, email, department, job title, location, employment status (Active / Leaver), start date</w:t>
            </w:r>
          </w:p>
        </w:tc>
      </w:tr>
      <w:tr>
        <w:tc>
          <w:tcPr>
            <w:tcW w:type="dxa" w:w="187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Location</w:t>
            </w:r>
          </w:p>
        </w:tc>
        <w:tc>
          <w:tcPr>
            <w:tcW w:type="dxa" w:w="748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office or warehouse name, city, country</w:t>
            </w:r>
          </w:p>
        </w:tc>
      </w:tr>
      <w:tr>
        <w:tc>
          <w:tcPr>
            <w:tcW w:type="dxa" w:w="187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Assignment</w:t>
            </w:r>
          </w:p>
        </w:tc>
        <w:tc>
          <w:tcPr>
            <w:tcW w:type="dxa" w:w="748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asset, employee, checked-out date, checked-in date, condition out, condition in, technician</w:t>
            </w:r>
          </w:p>
        </w:tc>
      </w:tr>
      <w:tr>
        <w:tc>
          <w:tcPr>
            <w:tcW w:type="dxa" w:w="187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Software title</w:t>
            </w:r>
          </w:p>
        </w:tc>
        <w:tc>
          <w:tcPr>
            <w:tcW w:type="dxa" w:w="748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name, vendor, licence type (per user / per device / subscription), seats purchased, cost per seat per year, renewal date</w:t>
            </w:r>
          </w:p>
        </w:tc>
      </w:tr>
      <w:tr>
        <w:tc>
          <w:tcPr>
            <w:tcW w:type="dxa" w:w="187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Licence seat</w:t>
            </w:r>
          </w:p>
        </w:tc>
        <w:tc>
          <w:tcPr>
            <w:tcW w:type="dxa" w:w="748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software title, employee, assigned date</w:t>
            </w:r>
          </w:p>
        </w:tc>
      </w:tr>
      <w:tr>
        <w:tc>
          <w:tcPr>
            <w:tcW w:type="dxa" w:w="187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Repair</w:t>
            </w:r>
          </w:p>
        </w:tc>
        <w:tc>
          <w:tcPr>
            <w:tcW w:type="dxa" w:w="748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asset, fault description, vendor, sent date, returned date, status (Open / With vendor / Closed), outcome, cost</w:t>
            </w:r>
          </w:p>
        </w:tc>
      </w:tr>
    </w:tbl>
    <w:p>
      <w:pPr>
        <w:spacing w:after="80"/>
      </w:pPr>
    </w:p>
    <w:p>
      <w:pPr>
        <w:pStyle w:val="Heading2"/>
        <w:spacing w:after="120" w:before="240"/>
      </w:pPr>
      <w:r>
        <w:rPr>
          <w:rFonts w:ascii="Calibri" w:cs="Calibri" w:eastAsia="Calibri" w:hAnsi="Calibri"/>
          <w:b/>
          <w:bCs/>
          <w:color w:val="2E5597"/>
          <w:sz w:val="25"/>
          <w:szCs w:val="25"/>
        </w:rPr>
        <w:t xml:space="preserve">9.2 Demonstration data for the MVP</w:t>
      </w:r>
    </w:p>
    <w:p>
      <w:pPr>
        <w:spacing w:after="120" w:line="276"/>
      </w:pPr>
      <w:r>
        <w:rPr>
          <w:rFonts w:ascii="Calibri" w:cs="Calibri" w:eastAsia="Calibri" w:hAnsi="Calibri"/>
          <w:sz w:val="21"/>
          <w:szCs w:val="21"/>
        </w:rPr>
        <w:t xml:space="preserve">The MVP must start with realistic demonstration data so that stakeholders can try every screen immediately. The data must look like Meridian's estate: real-sounding names, current models, uneven distributions, and history over the last 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310"/>
        <w:gridCol w:w="6178"/>
      </w:tblGrid>
      <w:tr>
        <w:trPr>
          <w:tblHeader/>
        </w:trPr>
        <w:tc>
          <w:tcPr>
            <w:tcW w:type="dxa" w:w="1872"/>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Data set</w:t>
            </w:r>
          </w:p>
        </w:tc>
        <w:tc>
          <w:tcPr>
            <w:tcW w:type="dxa" w:w="131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Volume</w:t>
            </w:r>
          </w:p>
        </w:tc>
        <w:tc>
          <w:tcPr>
            <w:tcW w:type="dxa" w:w="6178"/>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Characteristics</w:t>
            </w:r>
          </w:p>
        </w:tc>
      </w:tr>
      <w:tr>
        <w:tc>
          <w:tcPr>
            <w:tcW w:type="dxa" w:w="187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Locations</w:t>
            </w:r>
          </w:p>
        </w:tc>
        <w:tc>
          <w:tcPr>
            <w:tcW w:type="dxa" w:w="13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8</w:t>
            </w:r>
          </w:p>
        </w:tc>
        <w:tc>
          <w:tcPr>
            <w:tcW w:type="dxa" w:w="617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Offices in Rotterdam, Hamburg, Antwerp, Felixstowe, Gdańsk, Le Havre, plus two warehouses</w:t>
            </w:r>
          </w:p>
        </w:tc>
      </w:tr>
      <w:tr>
        <w:tc>
          <w:tcPr>
            <w:tcW w:type="dxa" w:w="187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Employees</w:t>
            </w:r>
          </w:p>
        </w:tc>
        <w:tc>
          <w:tcPr>
            <w:tcW w:type="dxa" w:w="131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at least 120</w:t>
            </w:r>
          </w:p>
        </w:tc>
        <w:tc>
          <w:tcPr>
            <w:tcW w:type="dxa" w:w="617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6 departments (Operations, Finance, Sales, IT, HR, Customer Service); about 8 leavers, of whom 4 still hold a device</w:t>
            </w:r>
          </w:p>
        </w:tc>
      </w:tr>
      <w:tr>
        <w:tc>
          <w:tcPr>
            <w:tcW w:type="dxa" w:w="187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Assets</w:t>
            </w:r>
          </w:p>
        </w:tc>
        <w:tc>
          <w:tcPr>
            <w:tcW w:type="dxa" w:w="13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at least 300</w:t>
            </w:r>
          </w:p>
        </w:tc>
        <w:tc>
          <w:tcPr>
            <w:tcW w:type="dxa" w:w="617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Laptops (Dell Latitude 5440/7440, Lenovo ThinkPad T14, MacBook Pro 14), monitors, phones (iPhone 15, Galaxy S24), docking stations, network gear; about 70% Assigned, 20% In Stock, 5% In Repair, the rest Retired or Lost; about 25 with warranty expired or expiring</w:t>
            </w:r>
          </w:p>
        </w:tc>
      </w:tr>
      <w:tr>
        <w:tc>
          <w:tcPr>
            <w:tcW w:type="dxa" w:w="187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Software titles</w:t>
            </w:r>
          </w:p>
        </w:tc>
        <w:tc>
          <w:tcPr>
            <w:tcW w:type="dxa" w:w="131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at least 30</w:t>
            </w:r>
          </w:p>
        </w:tc>
        <w:tc>
          <w:tcPr>
            <w:tcW w:type="dxa" w:w="617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Microsoft 365 E3, Adobe Acrobat Pro, Salesforce Sales Cloud, Slack, Zoom, Tableau Creator, AutoCAD LT and others; utilisation ranging from 55% to 100%</w:t>
            </w:r>
          </w:p>
        </w:tc>
      </w:tr>
      <w:tr>
        <w:tc>
          <w:tcPr>
            <w:tcW w:type="dxa" w:w="187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Licence seats</w:t>
            </w:r>
          </w:p>
        </w:tc>
        <w:tc>
          <w:tcPr>
            <w:tcW w:type="dxa" w:w="13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at least 400</w:t>
            </w:r>
          </w:p>
        </w:tc>
        <w:tc>
          <w:tcPr>
            <w:tcW w:type="dxa" w:w="617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Assigned to active employees; a few still on leavers</w:t>
            </w:r>
          </w:p>
        </w:tc>
      </w:tr>
      <w:tr>
        <w:tc>
          <w:tcPr>
            <w:tcW w:type="dxa" w:w="187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Assignments (history)</w:t>
            </w:r>
          </w:p>
        </w:tc>
        <w:tc>
          <w:tcPr>
            <w:tcW w:type="dxa" w:w="131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at least 450</w:t>
            </w:r>
          </w:p>
        </w:tc>
        <w:tc>
          <w:tcPr>
            <w:tcW w:type="dxa" w:w="617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Check-outs and check-ins over the last 18 months</w:t>
            </w:r>
          </w:p>
        </w:tc>
      </w:tr>
      <w:tr>
        <w:tc>
          <w:tcPr>
            <w:tcW w:type="dxa" w:w="187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Repairs</w:t>
            </w:r>
          </w:p>
        </w:tc>
        <w:tc>
          <w:tcPr>
            <w:tcW w:type="dxa" w:w="1310"/>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at least 40</w:t>
            </w:r>
          </w:p>
        </w:tc>
        <w:tc>
          <w:tcPr>
            <w:tcW w:type="dxa" w:w="6178"/>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About 10 open; vendors Dell ProSupport, Lenovo Depot, Apple Business, local repairer</w:t>
            </w:r>
          </w:p>
        </w:tc>
      </w:tr>
    </w:tbl>
    <w:p>
      <w:pPr>
        <w:pStyle w:val="Heading1"/>
        <w:spacing w:after="160" w:before="360"/>
      </w:pPr>
      <w:r>
        <w:rPr>
          <w:rFonts w:ascii="Calibri" w:cs="Calibri" w:eastAsia="Calibri" w:hAnsi="Calibri"/>
          <w:b/>
          <w:bCs/>
          <w:color w:val="1F3864"/>
          <w:sz w:val="30"/>
          <w:szCs w:val="30"/>
        </w:rP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8237"/>
      </w:tblGrid>
      <w:tr>
        <w:trPr>
          <w:tblHeader/>
        </w:trPr>
        <w:tc>
          <w:tcPr>
            <w:tcW w:type="dxa" w:w="1123"/>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ID</w:t>
            </w:r>
          </w:p>
        </w:tc>
        <w:tc>
          <w:tcPr>
            <w:tcW w:type="dxa" w:w="8237"/>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Requirement</w:t>
            </w:r>
          </w:p>
        </w:tc>
      </w:tr>
      <w:tr>
        <w:tc>
          <w:tcPr>
            <w:tcW w:type="dxa" w:w="1123"/>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NFR-01</w:t>
            </w:r>
          </w:p>
        </w:tc>
        <w:tc>
          <w:tcPr>
            <w:tcW w:type="dxa" w:w="8237"/>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Usability: a technician finds an asset by tag or holder and checks it in within three clicks; lists are usable with the keyboard.</w:t>
            </w:r>
          </w:p>
        </w:tc>
      </w:tr>
      <w:tr>
        <w:tc>
          <w:tcPr>
            <w:tcW w:type="dxa" w:w="1123"/>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NFR-02</w:t>
            </w:r>
          </w:p>
        </w:tc>
        <w:tc>
          <w:tcPr>
            <w:tcW w:type="dxa" w:w="8237"/>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Performance: lists of up to 2,000 rows open in under two seconds.</w:t>
            </w:r>
          </w:p>
        </w:tc>
      </w:tr>
      <w:tr>
        <w:tc>
          <w:tcPr>
            <w:tcW w:type="dxa" w:w="1123"/>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NFR-03</w:t>
            </w:r>
          </w:p>
        </w:tc>
        <w:tc>
          <w:tcPr>
            <w:tcW w:type="dxa" w:w="8237"/>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Look and feel: a clean, modern, consistent interface suitable for demonstration to the executive team.</w:t>
            </w:r>
          </w:p>
        </w:tc>
      </w:tr>
      <w:tr>
        <w:tc>
          <w:tcPr>
            <w:tcW w:type="dxa" w:w="1123"/>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NFR-04</w:t>
            </w:r>
          </w:p>
        </w:tc>
        <w:tc>
          <w:tcPr>
            <w:tcW w:type="dxa" w:w="8237"/>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Availability: the application keeps serving the register even if one feature module fails.</w:t>
            </w:r>
          </w:p>
        </w:tc>
      </w:tr>
      <w:tr>
        <w:tc>
          <w:tcPr>
            <w:tcW w:type="dxa" w:w="1123"/>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NFR-05</w:t>
            </w:r>
          </w:p>
        </w:tc>
        <w:tc>
          <w:tcPr>
            <w:tcW w:type="dxa" w:w="8237"/>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Browsers: current Chrome and Edge on Windows laptops.</w:t>
            </w:r>
          </w:p>
        </w:tc>
      </w:tr>
    </w:tbl>
    <w:p>
      <w:pPr>
        <w:pStyle w:val="Heading1"/>
        <w:spacing w:after="160" w:before="360"/>
      </w:pPr>
      <w:r>
        <w:rPr>
          <w:rFonts w:ascii="Calibri" w:cs="Calibri" w:eastAsia="Calibri" w:hAnsi="Calibri"/>
          <w:b/>
          <w:bCs/>
          <w:color w:val="1F3864"/>
          <w:sz w:val="30"/>
          <w:szCs w:val="30"/>
        </w:rPr>
        <w:t xml:space="preserve">11. Assumptions, Constraints and Dependencies</w:t>
      </w:r>
    </w:p>
    <w:p>
      <w:pPr>
        <w:pStyle w:val="ListParagraph"/>
        <w:numPr>
          <w:ilvl w:val="0"/>
          <w:numId w:val="2"/>
        </w:numPr>
        <w:spacing w:after="60"/>
      </w:pPr>
      <w:r>
        <w:rPr>
          <w:rFonts w:ascii="Calibri" w:cs="Calibri" w:eastAsia="Calibri" w:hAnsi="Calibri"/>
          <w:sz w:val="21"/>
          <w:szCs w:val="21"/>
        </w:rPr>
        <w:t xml:space="preserve">A-01: The MVP runs on the internal network for evaluation; no production data is loaded.</w:t>
      </w:r>
    </w:p>
    <w:p>
      <w:pPr>
        <w:pStyle w:val="ListParagraph"/>
        <w:numPr>
          <w:ilvl w:val="0"/>
          <w:numId w:val="2"/>
        </w:numPr>
        <w:spacing w:after="60"/>
      </w:pPr>
      <w:r>
        <w:rPr>
          <w:rFonts w:ascii="Calibri" w:cs="Calibri" w:eastAsia="Calibri" w:hAnsi="Calibri"/>
          <w:sz w:val="21"/>
          <w:szCs w:val="21"/>
        </w:rPr>
        <w:t xml:space="preserve">A-02: All costs are shown in USD; multi-currency is not required in the MVP.</w:t>
      </w:r>
    </w:p>
    <w:p>
      <w:pPr>
        <w:pStyle w:val="ListParagraph"/>
        <w:numPr>
          <w:ilvl w:val="0"/>
          <w:numId w:val="2"/>
        </w:numPr>
        <w:spacing w:after="60"/>
      </w:pPr>
      <w:r>
        <w:rPr>
          <w:rFonts w:ascii="Calibri" w:cs="Calibri" w:eastAsia="Calibri" w:hAnsi="Calibri"/>
          <w:sz w:val="21"/>
          <w:szCs w:val="21"/>
        </w:rPr>
        <w:t xml:space="preserve">C-01: No integrations in the MVP (see 4.2); all data is demonstration data or entered in the application.</w:t>
      </w:r>
    </w:p>
    <w:p>
      <w:pPr>
        <w:pStyle w:val="ListParagraph"/>
        <w:numPr>
          <w:ilvl w:val="0"/>
          <w:numId w:val="2"/>
        </w:numPr>
        <w:spacing w:after="60"/>
      </w:pPr>
      <w:r>
        <w:rPr>
          <w:rFonts w:ascii="Calibri" w:cs="Calibri" w:eastAsia="Calibri" w:hAnsi="Calibri"/>
          <w:sz w:val="21"/>
          <w:szCs w:val="21"/>
        </w:rPr>
        <w:t xml:space="preserve">D-01: The Asset Handling Policy ITAM-POL-003 defines the statuses and refresh cycles used in section 8.</w:t>
      </w:r>
    </w:p>
    <w:p>
      <w:pPr>
        <w:pStyle w:val="Heading1"/>
        <w:spacing w:after="160" w:before="360"/>
      </w:pPr>
      <w:r>
        <w:rPr>
          <w:rFonts w:ascii="Calibri" w:cs="Calibri" w:eastAsia="Calibri" w:hAnsi="Calibri"/>
          <w:b/>
          <w:bCs/>
          <w:color w:val="1F3864"/>
          <w:sz w:val="30"/>
          <w:szCs w:val="30"/>
        </w:rPr>
        <w:t xml:space="preserve">12.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4212"/>
        <w:gridCol w:w="4306"/>
      </w:tblGrid>
      <w:tr>
        <w:trPr>
          <w:tblHeader/>
        </w:trPr>
        <w:tc>
          <w:tcPr>
            <w:tcW w:type="dxa" w:w="842"/>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ID</w:t>
            </w:r>
          </w:p>
        </w:tc>
        <w:tc>
          <w:tcPr>
            <w:tcW w:type="dxa" w:w="4212"/>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Risk</w:t>
            </w:r>
          </w:p>
        </w:tc>
        <w:tc>
          <w:tcPr>
            <w:tcW w:type="dxa" w:w="4306"/>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Mitigation</w:t>
            </w:r>
          </w:p>
        </w:tc>
      </w:tr>
      <w:tr>
        <w:tc>
          <w:tcPr>
            <w:tcW w:type="dxa" w:w="84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R-01</w:t>
            </w:r>
          </w:p>
        </w:tc>
        <w:tc>
          <w:tcPr>
            <w:tcW w:type="dxa" w:w="421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Technicians keep using the spreadsheet in parallel</w:t>
            </w:r>
          </w:p>
        </w:tc>
        <w:tc>
          <w:tcPr>
            <w:tcW w:type="dxa" w:w="430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Spreadsheet made read-only at go-live; migration plan in Phase 2</w:t>
            </w:r>
          </w:p>
        </w:tc>
      </w:tr>
      <w:tr>
        <w:tc>
          <w:tcPr>
            <w:tcW w:type="dxa" w:w="84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R-02</w:t>
            </w:r>
          </w:p>
        </w:tc>
        <w:tc>
          <w:tcPr>
            <w:tcW w:type="dxa" w:w="421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Asset tags on devices do not match the register</w:t>
            </w:r>
          </w:p>
        </w:tc>
        <w:tc>
          <w:tcPr>
            <w:tcW w:type="dxa" w:w="430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Physical tag audit per site before data migration</w:t>
            </w:r>
          </w:p>
        </w:tc>
      </w:tr>
      <w:tr>
        <w:tc>
          <w:tcPr>
            <w:tcW w:type="dxa" w:w="84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R-03</w:t>
            </w:r>
          </w:p>
        </w:tc>
        <w:tc>
          <w:tcPr>
            <w:tcW w:type="dxa" w:w="4212"/>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Licence data from vendors is incomplete</w:t>
            </w:r>
          </w:p>
        </w:tc>
        <w:tc>
          <w:tcPr>
            <w:tcW w:type="dxa" w:w="430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Finance confirms seat counts per title before renewal cycle</w:t>
            </w:r>
          </w:p>
        </w:tc>
      </w:tr>
      <w:tr>
        <w:tc>
          <w:tcPr>
            <w:tcW w:type="dxa" w:w="84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R-04</w:t>
            </w:r>
          </w:p>
        </w:tc>
        <w:tc>
          <w:tcPr>
            <w:tcW w:type="dxa" w:w="421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Audit trail insufficient for Internal Audit (raised by M. Silva)</w:t>
            </w:r>
          </w:p>
        </w:tc>
        <w:tc>
          <w:tcPr>
            <w:tcW w:type="dxa" w:w="430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Assignment and repair history kept immutable; export in Phase 2</w:t>
            </w:r>
          </w:p>
        </w:tc>
      </w:tr>
    </w:tbl>
    <w:p>
      <w:pPr>
        <w:pStyle w:val="Heading1"/>
        <w:spacing w:after="160" w:before="360"/>
      </w:pPr>
      <w:r>
        <w:rPr>
          <w:rFonts w:ascii="Calibri" w:cs="Calibri" w:eastAsia="Calibri" w:hAnsi="Calibri"/>
          <w:b/>
          <w:bCs/>
          <w:color w:val="1F3864"/>
          <w:sz w:val="30"/>
          <w:szCs w:val="30"/>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Term</w:t>
            </w:r>
          </w:p>
        </w:tc>
        <w:tc>
          <w:tcPr>
            <w:tcW w:type="dxa" w:w="711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r>
              <w:rPr>
                <w:rFonts w:ascii="Calibri" w:cs="Calibri" w:eastAsia="Calibri" w:hAnsi="Calibri"/>
                <w:b/>
                <w:bCs/>
                <w:color w:val="FFFFFF"/>
                <w:sz w:val="18"/>
                <w:szCs w:val="18"/>
              </w:rPr>
              <w:t xml:space="preserve">Meaning</w:t>
            </w:r>
          </w:p>
        </w:tc>
      </w:tr>
      <w:tr>
        <w:tc>
          <w:tcPr>
            <w:tcW w:type="dxa" w:w="224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Asset tag</w:t>
            </w:r>
          </w:p>
        </w:tc>
        <w:tc>
          <w:tcPr>
            <w:tcW w:type="dxa" w:w="711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The unique identifier on the physical label of a device (BRL-01)</w:t>
            </w:r>
          </w:p>
        </w:tc>
      </w:tr>
      <w:tr>
        <w:tc>
          <w:tcPr>
            <w:tcW w:type="dxa" w:w="22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Check-out / check-in</w:t>
            </w:r>
          </w:p>
        </w:tc>
        <w:tc>
          <w:tcPr>
            <w:tcW w:type="dxa" w:w="711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Handing a device to an employee / receiving it back into stock</w:t>
            </w:r>
          </w:p>
        </w:tc>
      </w:tr>
      <w:tr>
        <w:tc>
          <w:tcPr>
            <w:tcW w:type="dxa" w:w="224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Seat</w:t>
            </w:r>
          </w:p>
        </w:tc>
        <w:tc>
          <w:tcPr>
            <w:tcW w:type="dxa" w:w="711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One licence of a software title that can be assigned to one employee</w:t>
            </w:r>
          </w:p>
        </w:tc>
      </w:tr>
      <w:tr>
        <w:tc>
          <w:tcPr>
            <w:tcW w:type="dxa" w:w="22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Utilisation</w:t>
            </w:r>
          </w:p>
        </w:tc>
        <w:tc>
          <w:tcPr>
            <w:tcW w:type="dxa" w:w="711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Seats assigned divided by seats purchased</w:t>
            </w:r>
          </w:p>
        </w:tc>
      </w:tr>
      <w:tr>
        <w:tc>
          <w:tcPr>
            <w:tcW w:type="dxa" w:w="2246"/>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Refresh cycle</w:t>
            </w:r>
          </w:p>
        </w:tc>
        <w:tc>
          <w:tcPr>
            <w:tcW w:type="dxa" w:w="7114"/>
            <w:tcBorders>
              <w:top w:val="single" w:color="B4C0D3" w:sz="4"/>
              <w:left w:val="single" w:color="B4C0D3" w:sz="4"/>
              <w:bottom w:val="single" w:color="B4C0D3" w:sz="4"/>
              <w:right w:val="single" w:color="B4C0D3" w:sz="4"/>
            </w:tcBorders>
            <w:tcMar>
              <w:top w:type="dxa" w:w="60"/>
              <w:left w:type="dxa" w:w="100"/>
              <w:bottom w:type="dxa" w:w="60"/>
              <w:right w:type="dxa" w:w="100"/>
            </w:tcMar>
          </w:tcPr>
          <w:p>
            <w:r>
              <w:rPr>
                <w:rFonts w:ascii="Calibri" w:cs="Calibri" w:eastAsia="Calibri" w:hAnsi="Calibri"/>
                <w:b w:val="false"/>
                <w:bCs w:val="false"/>
                <w:color w:val="1A1A1A"/>
                <w:sz w:val="18"/>
                <w:szCs w:val="18"/>
              </w:rPr>
              <w:t xml:space="preserve">The age at which a device is due for replacement (BRL-04)</w:t>
            </w:r>
          </w:p>
        </w:tc>
      </w:tr>
      <w:tr>
        <w:tc>
          <w:tcPr>
            <w:tcW w:type="dxa" w:w="22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Leaver</w:t>
            </w:r>
          </w:p>
        </w:tc>
        <w:tc>
          <w:tcPr>
            <w:tcW w:type="dxa" w:w="7114"/>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r>
              <w:rPr>
                <w:rFonts w:ascii="Calibri" w:cs="Calibri" w:eastAsia="Calibri" w:hAnsi="Calibri"/>
                <w:b w:val="false"/>
                <w:bCs w:val="false"/>
                <w:color w:val="1A1A1A"/>
                <w:sz w:val="18"/>
                <w:szCs w:val="18"/>
              </w:rPr>
              <w:t xml:space="preserve">An employee who has left the company</w:t>
            </w:r>
          </w:p>
        </w:tc>
      </w:tr>
    </w:tbl>
    <w:p>
      <w:pPr>
        <w:spacing w:after="80"/>
      </w:pPr>
    </w:p>
    <w:p>
      <w:pPr>
        <w:pStyle w:val="Heading1"/>
        <w:spacing w:after="160" w:before="360"/>
      </w:pPr>
      <w:r>
        <w:rPr>
          <w:rFonts w:ascii="Calibri" w:cs="Calibri" w:eastAsia="Calibri" w:hAnsi="Calibri"/>
          <w:b/>
          <w:bCs/>
          <w:color w:val="1F3864"/>
          <w:sz w:val="30"/>
          <w:szCs w:val="30"/>
        </w:rPr>
        <w:t xml:space="preserve">Appendix A. Key User Journeys</w:t>
      </w:r>
    </w:p>
    <w:p>
      <w:pPr>
        <w:spacing w:after="120" w:line="276"/>
      </w:pPr>
      <w:r>
        <w:rPr>
          <w:rFonts w:ascii="Calibri" w:cs="Calibri" w:eastAsia="Calibri" w:hAnsi="Calibri"/>
          <w:b/>
          <w:bCs/>
          <w:sz w:val="21"/>
          <w:szCs w:val="21"/>
        </w:rPr>
        <w:t xml:space="preserve">J-1 Monthly asset review. </w:t>
      </w:r>
      <w:r>
        <w:rPr>
          <w:rFonts w:ascii="Calibri" w:cs="Calibri" w:eastAsia="Calibri" w:hAnsi="Calibri"/>
          <w:sz w:val="21"/>
          <w:szCs w:val="21"/>
        </w:rPr>
        <w:t xml:space="preserve">The IT Asset Manager opens the dashboard, reviews utilisation and warranty exposure, opens the list of leavers still holding devices, and follows up.</w:t>
      </w:r>
    </w:p>
    <w:p>
      <w:pPr>
        <w:spacing w:after="120" w:line="276"/>
      </w:pPr>
      <w:r>
        <w:rPr>
          <w:rFonts w:ascii="Calibri" w:cs="Calibri" w:eastAsia="Calibri" w:hAnsi="Calibri"/>
          <w:b/>
          <w:bCs/>
          <w:sz w:val="21"/>
          <w:szCs w:val="21"/>
        </w:rPr>
        <w:t xml:space="preserve">J-2 New starter. </w:t>
      </w:r>
      <w:r>
        <w:rPr>
          <w:rFonts w:ascii="Calibri" w:cs="Calibri" w:eastAsia="Calibri" w:hAnsi="Calibri"/>
          <w:sz w:val="21"/>
          <w:szCs w:val="21"/>
        </w:rPr>
        <w:t xml:space="preserve">A technician finds an In Stock laptop, checks it out to the new employee with condition 'New', and assigns Microsoft 365 and Slack seats.</w:t>
      </w:r>
    </w:p>
    <w:p>
      <w:pPr>
        <w:spacing w:after="120" w:line="276"/>
      </w:pPr>
      <w:r>
        <w:rPr>
          <w:rFonts w:ascii="Calibri" w:cs="Calibri" w:eastAsia="Calibri" w:hAnsi="Calibri"/>
          <w:b/>
          <w:bCs/>
          <w:sz w:val="21"/>
          <w:szCs w:val="21"/>
        </w:rPr>
        <w:t xml:space="preserve">J-3 Leaver. </w:t>
      </w:r>
      <w:r>
        <w:rPr>
          <w:rFonts w:ascii="Calibri" w:cs="Calibri" w:eastAsia="Calibri" w:hAnsi="Calibri"/>
          <w:sz w:val="21"/>
          <w:szCs w:val="21"/>
        </w:rPr>
        <w:t xml:space="preserve">A technician opens the leaver's record, checks in the laptop and phone, and releases the licence seats.</w:t>
      </w:r>
    </w:p>
    <w:p>
      <w:pPr>
        <w:spacing w:after="120" w:line="276"/>
      </w:pPr>
      <w:r>
        <w:rPr>
          <w:rFonts w:ascii="Calibri" w:cs="Calibri" w:eastAsia="Calibri" w:hAnsi="Calibri"/>
          <w:b/>
          <w:bCs/>
          <w:sz w:val="21"/>
          <w:szCs w:val="21"/>
        </w:rPr>
        <w:t xml:space="preserve">J-4 Repair. </w:t>
      </w:r>
      <w:r>
        <w:rPr>
          <w:rFonts w:ascii="Calibri" w:cs="Calibri" w:eastAsia="Calibri" w:hAnsi="Calibri"/>
          <w:sz w:val="21"/>
          <w:szCs w:val="21"/>
        </w:rPr>
        <w:t xml:space="preserve">A technician raises a repair for a laptop with a failed keyboard, sends it to Dell ProSupport, and closes the repair when it returns.</w:t>
      </w:r>
    </w:p>
    <w:p>
      <w:pPr>
        <w:spacing w:after="120" w:line="276"/>
      </w:pPr>
      <w:r>
        <w:rPr>
          <w:rFonts w:ascii="Calibri" w:cs="Calibri" w:eastAsia="Calibri" w:hAnsi="Calibri"/>
          <w:b/>
          <w:bCs/>
          <w:sz w:val="21"/>
          <w:szCs w:val="21"/>
        </w:rPr>
        <w:t xml:space="preserve">J-5 Audit request. </w:t>
      </w:r>
      <w:r>
        <w:rPr>
          <w:rFonts w:ascii="Calibri" w:cs="Calibri" w:eastAsia="Calibri" w:hAnsi="Calibri"/>
          <w:sz w:val="21"/>
          <w:szCs w:val="21"/>
        </w:rPr>
        <w:t xml:space="preserve">An auditor filters the register by the Hamburg office and the Finance department and reviews each asset's history.</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FA9"/>
        <w:sz w:val="16"/>
        <w:szCs w:val="16"/>
      </w:rPr>
      <w:t xml:space="preserve">Meridian Freight Group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8FA9"/>
        <w:sz w:val="16"/>
        <w:szCs w:val="16"/>
      </w:rPr>
      <w:t xml:space="preserve">BRD-ITAM-2026-014  ·  AssetHub  ·  v1.3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BRD-ITAM-2026-014 AssetHub</dc:title>
  <dc:creator>Rahul Menon</dc:creator>
  <cp:lastModifiedBy>Un-named</cp:lastModifiedBy>
  <cp:revision>1</cp:revision>
  <dcterms:created xsi:type="dcterms:W3CDTF">2026-09-23T08:49:38.217Z</dcterms:created>
  <dcterms:modified xsi:type="dcterms:W3CDTF">2026-09-23T08:49:38.218Z</dcterms:modified>
</cp:coreProperties>
</file>

<file path=docProps/custom.xml><?xml version="1.0" encoding="utf-8"?>
<Properties xmlns="http://schemas.openxmlformats.org/officeDocument/2006/custom-properties" xmlns:vt="http://schemas.openxmlformats.org/officeDocument/2006/docPropsVTypes"/>
</file>