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4E5F"/>
          <w:sz w:val="64"/>
          <w:szCs w:val="64"/>
        </w:rPr>
        <w:t xml:space="preserve">SubmitBridge</w:t>
      </w:r>
    </w:p>
    <w:p>
      <w:pPr>
        <w:spacing w:after="100"/>
        <w:jc w:val="center"/>
      </w:pPr>
      <w:r>
        <w:rPr>
          <w:color w:val="666666"/>
          <w:sz w:val="32"/>
          <w:szCs w:val="32"/>
        </w:rPr>
        <w:t xml:space="preserve">Product Requirements Document</w:t>
      </w:r>
    </w:p>
    <w:p>
      <w:pPr>
        <w:spacing w:after="600"/>
        <w:jc w:val="center"/>
      </w:pPr>
      <w:r>
        <w:rPr>
          <w:i/>
          <w:iCs/>
          <w:color w:val="666666"/>
          <w:sz w:val="24"/>
          <w:szCs w:val="24"/>
        </w:rPr>
        <w:t xml:space="preserve">A trust layer for digital assignment submission</w:t>
      </w:r>
    </w:p>
    <w:p>
      <w:pPr>
        <w:pBdr>
          <w:top w:val="single" w:color="1F4E5F" w:sz="6"/>
        </w:pBdr>
        <w:spacing w:before="200"/>
        <w:jc w:val="center"/>
      </w:pPr>
    </w:p>
    <w:p>
      <w:pPr>
        <w:spacing w:before="400"/>
        <w:jc w:val="center"/>
      </w:pPr>
      <w:r>
        <w:rPr>
          <w:sz w:val="22"/>
          <w:szCs w:val="22"/>
        </w:rPr>
        <w:t xml:space="preserve">College Minor Project – BCA Final Year</w:t>
      </w:r>
    </w:p>
    <w:p>
      <w:pPr>
        <w:jc w:val="center"/>
      </w:pPr>
      <w:r>
        <w:rPr>
          <w:color w:val="666666"/>
          <w:sz w:val="20"/>
          <w:szCs w:val="20"/>
        </w:rPr>
        <w:t xml:space="preserve">Document Version 2.0 (Detailed)</w:t>
      </w:r>
    </w:p>
    <w:p>
      <w:r>
        <w:br w:type="page"/>
      </w:r>
    </w:p>
    <w:p>
      <w:pPr>
        <w:pStyle w:val="Heading1"/>
        <w:spacing w:after="160" w:before="360"/>
      </w:pPr>
      <w:r>
        <w:t xml:space="preserve">1. Problem Statement</w:t>
      </w:r>
    </w:p>
    <w:p>
      <w:pPr>
        <w:spacing w:after="160"/>
      </w:pPr>
      <w:r>
        <w:t xml:space="preserve">College faculty routinely require handwritten submissions for assignments even in computer science subjects, despite the coursework itself being computer-based. This creates unnecessary friction for students and does not reflect how the subject is actually practiced.</w:t>
      </w:r>
    </w:p>
    <w:p>
      <w:pPr>
        <w:spacing w:after="160"/>
      </w:pPr>
      <w:r>
        <w:t xml:space="preserve">The underlying reason teachers resist digital submissions is trust, not technology: a digital file is trivially easy to copy-paste from an AI tool, and teachers currently have no reliable way to gauge how much of a submission reflects a student's own work. Handwriting is treated as a weak proxy for authenticity.</w:t>
      </w:r>
    </w:p>
    <w:p>
      <w:pPr>
        <w:spacing w:after="160"/>
      </w:pPr>
      <w:r>
        <w:rPr>
          <w:b/>
          <w:bCs/>
        </w:rPr>
        <w:t xml:space="preserve">Core pitch: </w:t>
      </w:r>
      <w:r>
        <w:t xml:space="preserve">“digital submission can still be trusted.” SubmitBridge does not try to fully automate grading or policing — it gives teachers visibility (an AI-generated-content flag and an AI-assisted grading estimate) while keeping the teacher as the final decision-maker at every step.</w:t>
      </w:r>
    </w:p>
    <w:p>
      <w:pPr>
        <w:pStyle w:val="Heading1"/>
        <w:spacing w:after="160" w:before="360"/>
      </w:pPr>
      <w:r>
        <w:t xml:space="preserve">2. Objective</w:t>
      </w:r>
    </w:p>
    <w:p>
      <w:pPr>
        <w:pStyle w:val="ListParagraph"/>
        <w:numPr>
          <w:ilvl w:val="0"/>
          <w:numId w:val="2"/>
        </w:numPr>
        <w:spacing w:after="80"/>
      </w:pPr>
      <w:r>
        <w:t xml:space="preserve">Replace handwritten submission with a simple digital workflow (shareable link + QR code) that a teacher can set up in minutes.</w:t>
      </w:r>
    </w:p>
    <w:p>
      <w:pPr>
        <w:pStyle w:val="ListParagraph"/>
        <w:numPr>
          <w:ilvl w:val="0"/>
          <w:numId w:val="2"/>
        </w:numPr>
        <w:spacing w:after="80"/>
      </w:pPr>
      <w:r>
        <w:t xml:space="preserve">Make the shared link a full, absolute web address (http/https), not a local or relative path — so a student can open it from any device, any network, at any time, without being on the same Wi-Fi or machine as the teacher.</w:t>
      </w:r>
    </w:p>
    <w:p>
      <w:pPr>
        <w:pStyle w:val="ListParagraph"/>
        <w:numPr>
          <w:ilvl w:val="0"/>
          <w:numId w:val="2"/>
        </w:numPr>
        <w:spacing w:after="80"/>
      </w:pPr>
      <w:r>
        <w:t xml:space="preserve">Reduce a teacher's manual grading effort by offering an AI-generated mark estimate and summary per submission — as a suggestion, never a final grade.</w:t>
      </w:r>
    </w:p>
    <w:p>
      <w:pPr>
        <w:pStyle w:val="ListParagraph"/>
        <w:numPr>
          <w:ilvl w:val="0"/>
          <w:numId w:val="2"/>
        </w:numPr>
        <w:spacing w:after="80"/>
      </w:pPr>
      <w:r>
        <w:t xml:space="preserve">Give teachers a visible AI-content-likelihood flag per submission to support (not replace) their own judgment on authenticity.</w:t>
      </w:r>
    </w:p>
    <w:p>
      <w:pPr>
        <w:pStyle w:val="ListParagraph"/>
        <w:numPr>
          <w:ilvl w:val="0"/>
          <w:numId w:val="2"/>
        </w:numPr>
        <w:spacing w:after="80"/>
      </w:pPr>
      <w:r>
        <w:t xml:space="preserve">Keep the system explainable and simple enough to walk a professor through, file by file, during a viva.</w:t>
      </w:r>
    </w:p>
    <w:p>
      <w:pPr>
        <w:pStyle w:val="Heading1"/>
        <w:spacing w:after="160" w:before="360"/>
      </w:pPr>
      <w:r>
        <w:t xml:space="preserve">3. User Personas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300"/>
      </w:tblGrid>
      <w:tr>
        <w:trPr>
          <w:tblHeader/>
        </w:trPr>
        <w:tc>
          <w:tcPr>
            <w:tcW w:type="dxa" w:w="1600"/>
            <w:shd w:fill="1F4E5F" w:val="clear"/>
            <w:tcMar>
              <w:top w:type="dxa" w:w="80"/>
              <w:left w:type="dxa" w:w="120"/>
              <w:bottom w:type="dxa" w:w="80"/>
              <w:right w:type="dxa" w:w="120"/>
            </w:tcMar>
          </w:tcPr>
          <w:p>
            <w:r>
              <w:rPr>
                <w:b/>
                <w:bCs/>
                <w:color w:val="FFFFFF"/>
              </w:rPr>
              <w:t xml:space="preserve"/>
            </w:r>
          </w:p>
        </w:tc>
        <w:tc>
          <w:tcPr>
            <w:tcW w:type="dxa" w:w="3700"/>
            <w:shd w:fill="1F4E5F" w:val="clear"/>
            <w:tcMar>
              <w:top w:type="dxa" w:w="80"/>
              <w:left w:type="dxa" w:w="120"/>
              <w:bottom w:type="dxa" w:w="80"/>
              <w:right w:type="dxa" w:w="120"/>
            </w:tcMar>
          </w:tcPr>
          <w:p>
            <w:r>
              <w:rPr>
                <w:b/>
                <w:bCs/>
                <w:color w:val="FFFFFF"/>
              </w:rPr>
              <w:t xml:space="preserve">Teacher</w:t>
            </w:r>
          </w:p>
        </w:tc>
        <w:tc>
          <w:tcPr>
            <w:tcW w:type="dxa" w:w="3300"/>
            <w:shd w:fill="1F4E5F" w:val="clear"/>
            <w:tcMar>
              <w:top w:type="dxa" w:w="80"/>
              <w:left w:type="dxa" w:w="120"/>
              <w:bottom w:type="dxa" w:w="80"/>
              <w:right w:type="dxa" w:w="120"/>
            </w:tcMar>
          </w:tcPr>
          <w:p>
            <w:r>
              <w:rPr>
                <w:b/>
                <w:bCs/>
                <w:color w:val="FFFFFF"/>
              </w:rPr>
              <w:t xml:space="preserve">Student</w:t>
            </w:r>
          </w:p>
        </w:tc>
      </w:tr>
      <w:tr>
        <w:tc>
          <w:tcPr>
            <w:tcW w:type="dxa" w:w="1600"/>
            <w:tcMar>
              <w:top w:type="dxa" w:w="80"/>
              <w:left w:type="dxa" w:w="120"/>
              <w:bottom w:type="dxa" w:w="80"/>
              <w:right w:type="dxa" w:w="120"/>
            </w:tcMar>
          </w:tcPr>
          <w:p>
            <w:r>
              <w:rPr>
                <w:b/>
                <w:bCs/>
              </w:rPr>
              <w:t xml:space="preserve">Goal</w:t>
            </w:r>
          </w:p>
        </w:tc>
        <w:tc>
          <w:tcPr>
            <w:tcW w:type="dxa" w:w="3700"/>
            <w:tcMar>
              <w:top w:type="dxa" w:w="80"/>
              <w:left w:type="dxa" w:w="120"/>
              <w:bottom w:type="dxa" w:w="80"/>
              <w:right w:type="dxa" w:w="120"/>
            </w:tcMar>
          </w:tcPr>
          <w:p>
            <w:r>
              <w:rPr>
                <w:b w:val="false"/>
                <w:bCs w:val="false"/>
              </w:rPr>
              <w:t xml:space="preserve">Accept digital submissions with confidence, without extra reading burden</w:t>
            </w:r>
          </w:p>
        </w:tc>
        <w:tc>
          <w:tcPr>
            <w:tcW w:type="dxa" w:w="3300"/>
            <w:tcMar>
              <w:top w:type="dxa" w:w="80"/>
              <w:left w:type="dxa" w:w="120"/>
              <w:bottom w:type="dxa" w:w="80"/>
              <w:right w:type="dxa" w:w="120"/>
            </w:tcMar>
          </w:tcPr>
          <w:p>
            <w:r>
              <w:rPr>
                <w:b w:val="false"/>
                <w:bCs w:val="false"/>
              </w:rPr>
              <w:t xml:space="preserve">Submit assignments digitally instead of handwriting them</w:t>
            </w:r>
          </w:p>
        </w:tc>
      </w:tr>
      <w:tr>
        <w:tc>
          <w:tcPr>
            <w:tcW w:type="dxa" w:w="1600"/>
            <w:shd w:fill="EAF1F3" w:val="clear"/>
            <w:tcMar>
              <w:top w:type="dxa" w:w="80"/>
              <w:left w:type="dxa" w:w="120"/>
              <w:bottom w:type="dxa" w:w="80"/>
              <w:right w:type="dxa" w:w="120"/>
            </w:tcMar>
          </w:tcPr>
          <w:p>
            <w:r>
              <w:rPr>
                <w:b/>
                <w:bCs/>
              </w:rPr>
              <w:t xml:space="preserve">Key need</w:t>
            </w:r>
          </w:p>
        </w:tc>
        <w:tc>
          <w:tcPr>
            <w:tcW w:type="dxa" w:w="3700"/>
            <w:shd w:fill="EAF1F3" w:val="clear"/>
            <w:tcMar>
              <w:top w:type="dxa" w:w="80"/>
              <w:left w:type="dxa" w:w="120"/>
              <w:bottom w:type="dxa" w:w="80"/>
              <w:right w:type="dxa" w:w="120"/>
            </w:tcMar>
          </w:tcPr>
          <w:p>
            <w:r>
              <w:rPr>
                <w:b w:val="false"/>
                <w:bCs w:val="false"/>
              </w:rPr>
              <w:t xml:space="preserve">Assurance that a PDF isn't just copy-pasted AI output; final say on grading</w:t>
            </w:r>
          </w:p>
        </w:tc>
        <w:tc>
          <w:tcPr>
            <w:tcW w:type="dxa" w:w="3300"/>
            <w:shd w:fill="EAF1F3" w:val="clear"/>
            <w:tcMar>
              <w:top w:type="dxa" w:w="80"/>
              <w:left w:type="dxa" w:w="120"/>
              <w:bottom w:type="dxa" w:w="80"/>
              <w:right w:type="dxa" w:w="120"/>
            </w:tcMar>
          </w:tcPr>
          <w:p>
            <w:r>
              <w:rPr>
                <w:b w:val="false"/>
                <w:bCs w:val="false"/>
              </w:rPr>
              <w:t xml:space="preserve">A fast, low-friction way to submit via a link or QR code, from any device</w:t>
            </w:r>
          </w:p>
        </w:tc>
      </w:tr>
      <w:tr>
        <w:tc>
          <w:tcPr>
            <w:tcW w:type="dxa" w:w="1600"/>
            <w:tcMar>
              <w:top w:type="dxa" w:w="80"/>
              <w:left w:type="dxa" w:w="120"/>
              <w:bottom w:type="dxa" w:w="80"/>
              <w:right w:type="dxa" w:w="120"/>
            </w:tcMar>
          </w:tcPr>
          <w:p>
            <w:r>
              <w:rPr>
                <w:b/>
                <w:bCs/>
              </w:rPr>
              <w:t xml:space="preserve">Pain today</w:t>
            </w:r>
          </w:p>
        </w:tc>
        <w:tc>
          <w:tcPr>
            <w:tcW w:type="dxa" w:w="3700"/>
            <w:tcMar>
              <w:top w:type="dxa" w:w="80"/>
              <w:left w:type="dxa" w:w="120"/>
              <w:bottom w:type="dxa" w:w="80"/>
              <w:right w:type="dxa" w:w="120"/>
            </w:tcMar>
          </w:tcPr>
          <w:p>
            <w:r>
              <w:rPr>
                <w:b w:val="false"/>
                <w:bCs w:val="false"/>
              </w:rPr>
              <w:t xml:space="preserve">No trust signal for digital work → defaults to requiring handwriting</w:t>
            </w:r>
          </w:p>
        </w:tc>
        <w:tc>
          <w:tcPr>
            <w:tcW w:type="dxa" w:w="3300"/>
            <w:tcMar>
              <w:top w:type="dxa" w:w="80"/>
              <w:left w:type="dxa" w:w="120"/>
              <w:bottom w:type="dxa" w:w="80"/>
              <w:right w:type="dxa" w:w="120"/>
            </w:tcMar>
          </w:tcPr>
          <w:p>
            <w:r>
              <w:rPr>
                <w:b w:val="false"/>
                <w:bCs w:val="false"/>
              </w:rPr>
              <w:t xml:space="preserve">Forced to handwrite CS assignments on a computer-based course</w:t>
            </w:r>
          </w:p>
        </w:tc>
      </w:tr>
      <w:tr>
        <w:tc>
          <w:tcPr>
            <w:tcW w:type="dxa" w:w="1600"/>
            <w:shd w:fill="EAF1F3" w:val="clear"/>
            <w:tcMar>
              <w:top w:type="dxa" w:w="80"/>
              <w:left w:type="dxa" w:w="120"/>
              <w:bottom w:type="dxa" w:w="80"/>
              <w:right w:type="dxa" w:w="120"/>
            </w:tcMar>
          </w:tcPr>
          <w:p>
            <w:r>
              <w:rPr>
                <w:b/>
                <w:bCs/>
              </w:rPr>
              <w:t xml:space="preserve">Interaction</w:t>
            </w:r>
          </w:p>
        </w:tc>
        <w:tc>
          <w:tcPr>
            <w:tcW w:type="dxa" w:w="3700"/>
            <w:shd w:fill="EAF1F3" w:val="clear"/>
            <w:tcMar>
              <w:top w:type="dxa" w:w="80"/>
              <w:left w:type="dxa" w:w="120"/>
              <w:bottom w:type="dxa" w:w="80"/>
              <w:right w:type="dxa" w:w="120"/>
            </w:tcMar>
          </w:tcPr>
          <w:p>
            <w:r>
              <w:rPr>
                <w:b w:val="false"/>
                <w:bCs w:val="false"/>
              </w:rPr>
              <w:t xml:space="preserve">Creates assignments with full context, shares link/QR, reviews submissions + AI flags</w:t>
            </w:r>
          </w:p>
        </w:tc>
        <w:tc>
          <w:tcPr>
            <w:tcW w:type="dxa" w:w="3300"/>
            <w:shd w:fill="EAF1F3" w:val="clear"/>
            <w:tcMar>
              <w:top w:type="dxa" w:w="80"/>
              <w:left w:type="dxa" w:w="120"/>
              <w:bottom w:type="dxa" w:w="80"/>
              <w:right w:type="dxa" w:w="120"/>
            </w:tcMar>
          </w:tcPr>
          <w:p>
            <w:r>
              <w:rPr>
                <w:b w:val="false"/>
                <w:bCs w:val="false"/>
              </w:rPr>
              <w:t xml:space="preserve">Opens link/QR from anywhere, fills details, uploads file</w:t>
            </w:r>
          </w:p>
        </w:tc>
      </w:tr>
    </w:tbl>
    <w:p>
      <w:pPr>
        <w:spacing w:after="200"/>
      </w:pPr>
    </w:p>
    <w:p>
      <w:pPr>
        <w:pStyle w:val="Heading1"/>
        <w:spacing w:after="160" w:before="360"/>
      </w:pPr>
      <w:r>
        <w:t xml:space="preserve">4. Scope &amp; Constraints</w:t>
      </w:r>
    </w:p>
    <w:p>
      <w:pPr>
        <w:spacing w:after="160"/>
      </w:pPr>
      <w:r>
        <w:t xml:space="preserve">This is a college minor project built for a viva demonstration, not a production SaaS product. All design and implementation decisions below are made to keep the codebase simple, explainable, and free of unnecessary engineering complexity.</w:t>
      </w:r>
    </w:p>
    <w:p>
      <w:pPr>
        <w:pStyle w:val="Heading2"/>
        <w:spacing w:after="120" w:before="260"/>
      </w:pPr>
      <w:r>
        <w:t xml:space="preserve">4.1 Tech Stack</w:t>
      </w:r>
    </w:p>
    <w:p>
      <w:pPr>
        <w:pStyle w:val="ListParagraph"/>
        <w:numPr>
          <w:ilvl w:val="0"/>
          <w:numId w:val="2"/>
        </w:numPr>
        <w:spacing w:after="80"/>
      </w:pPr>
      <w:r>
        <w:t xml:space="preserve">Frontend: React.js — functional components and hooks only (no Redux, no Context API)</w:t>
      </w:r>
    </w:p>
    <w:p>
      <w:pPr>
        <w:pStyle w:val="ListParagraph"/>
        <w:numPr>
          <w:ilvl w:val="0"/>
          <w:numId w:val="2"/>
        </w:numPr>
        <w:spacing w:after="80"/>
      </w:pPr>
      <w:r>
        <w:t xml:space="preserve">Backend: Node.js + Express.js</w:t>
      </w:r>
    </w:p>
    <w:p>
      <w:pPr>
        <w:pStyle w:val="ListParagraph"/>
        <w:numPr>
          <w:ilvl w:val="0"/>
          <w:numId w:val="2"/>
        </w:numPr>
        <w:spacing w:after="80"/>
      </w:pPr>
      <w:r>
        <w:t xml:space="preserve">Database: Supabase (PostgreSQL) via @supabase/supabase-js</w:t>
      </w:r>
    </w:p>
    <w:p>
      <w:pPr>
        <w:pStyle w:val="ListParagraph"/>
        <w:numPr>
          <w:ilvl w:val="0"/>
          <w:numId w:val="2"/>
        </w:numPr>
        <w:spacing w:after="80"/>
      </w:pPr>
      <w:r>
        <w:t xml:space="preserve">File Storage: Supabase Storage (PDF/DOCX uploads)</w:t>
      </w:r>
    </w:p>
    <w:p>
      <w:pPr>
        <w:pStyle w:val="ListParagraph"/>
        <w:numPr>
          <w:ilvl w:val="0"/>
          <w:numId w:val="2"/>
        </w:numPr>
        <w:spacing w:after="80"/>
      </w:pPr>
      <w:r>
        <w:t xml:space="preserve">Auth: JWT-based login (or Supabase Auth if simpler)</w:t>
      </w:r>
    </w:p>
    <w:p>
      <w:pPr>
        <w:pStyle w:val="ListParagraph"/>
        <w:numPr>
          <w:ilvl w:val="0"/>
          <w:numId w:val="2"/>
        </w:numPr>
        <w:spacing w:after="80"/>
      </w:pPr>
      <w:r>
        <w:t xml:space="preserve">AI Grading (Phase 2): gpt-5-mini via Azure OpenAI Service (Azure for Students credits)</w:t>
      </w:r>
    </w:p>
    <w:p>
      <w:pPr>
        <w:pStyle w:val="ListParagraph"/>
        <w:numPr>
          <w:ilvl w:val="0"/>
          <w:numId w:val="2"/>
        </w:numPr>
        <w:spacing w:after="80"/>
      </w:pPr>
      <w:r>
        <w:t xml:space="preserve">AI Detection (Phase 3): Sapling AI Detector API</w:t>
      </w:r>
    </w:p>
    <w:p>
      <w:pPr>
        <w:spacing w:after="100" w:before="200"/>
      </w:pPr>
      <w:r>
        <w:rPr>
          <w:b/>
          <w:bCs/>
          <w:sz w:val="24"/>
          <w:szCs w:val="24"/>
        </w:rPr>
        <w:t xml:space="preserve">Azure OpenAI Configuration (Phase 2)</w:t>
      </w:r>
    </w:p>
    <w:p>
      <w:pPr>
        <w:spacing w:after="160"/>
      </w:pPr>
      <w:r>
        <w:t xml:space="preserve">The originally planned gpt-4o-mini deployment was not available on the Azure for Students subscription, so the project uses gpt-5-mini instead. Same integration pattern (Azure OpenAI SDK, chat-completions call, structured JSON response) — only the endpoint/deployment values change:</w:t>
      </w:r>
    </w:p>
    <w:p>
      <w:pPr>
        <w:pBdr>
          <w:top w:val="single" w:color="CCCCCC" w:sz="4"/>
          <w:bottom w:val="single" w:color="CCCCCC" w:sz="4"/>
          <w:left w:val="single" w:color="CCCCCC" w:sz="4"/>
          <w:right w:val="single" w:color="CCCCCC" w:sz="4"/>
        </w:pBdr>
        <w:shd w:fill="F5F5F5" w:val="clear"/>
        <w:spacing w:after="60" w:before="100"/>
      </w:pPr>
      <w:r>
        <w:rPr>
          <w:rFonts w:ascii="Consolas" w:cs="Consolas" w:eastAsia="Consolas" w:hAnsi="Consolas"/>
          <w:sz w:val="20"/>
          <w:szCs w:val="20"/>
        </w:rPr>
        <w:t xml:space="preserve">endpoint = "https://submitbridge.openai.azure.com/"</w:t>
      </w:r>
    </w:p>
    <w:p>
      <w:pPr>
        <w:pBdr>
          <w:bottom w:val="single" w:color="CCCCCC" w:sz="4"/>
          <w:left w:val="single" w:color="CCCCCC" w:sz="4"/>
          <w:right w:val="single" w:color="CCCCCC" w:sz="4"/>
        </w:pBdr>
        <w:shd w:fill="F5F5F5" w:val="clear"/>
        <w:spacing w:after="60"/>
      </w:pPr>
      <w:r>
        <w:rPr>
          <w:rFonts w:ascii="Consolas" w:cs="Consolas" w:eastAsia="Consolas" w:hAnsi="Consolas"/>
          <w:sz w:val="20"/>
          <w:szCs w:val="20"/>
        </w:rPr>
        <w:t xml:space="preserve">model_name = "gpt-5-mini"</w:t>
      </w:r>
    </w:p>
    <w:p>
      <w:pPr>
        <w:pBdr>
          <w:bottom w:val="single" w:color="CCCCCC" w:sz="4"/>
          <w:left w:val="single" w:color="CCCCCC" w:sz="4"/>
          <w:right w:val="single" w:color="CCCCCC" w:sz="4"/>
        </w:pBdr>
        <w:shd w:fill="F5F5F5" w:val="clear"/>
        <w:spacing w:after="200"/>
      </w:pPr>
      <w:r>
        <w:rPr>
          <w:rFonts w:ascii="Consolas" w:cs="Consolas" w:eastAsia="Consolas" w:hAnsi="Consolas"/>
          <w:sz w:val="20"/>
          <w:szCs w:val="20"/>
        </w:rPr>
        <w:t xml:space="preserve">deployment = "gpt-5-mini"</w:t>
      </w:r>
    </w:p>
    <w:p>
      <w:pPr>
        <w:spacing w:after="160"/>
      </w:pPr>
      <w:r>
        <w:t xml:space="preserve">These three values go in .env (AZURE_OPENAI_ENDPOINT, AZURE_OPENAI_MODEL, AZURE_OPENAI_DEPLOYMENT) alongside the API key — never hardcoded in source, per the hard constraints below.</w:t>
      </w:r>
    </w:p>
    <w:p>
      <w:pPr>
        <w:pStyle w:val="Heading2"/>
        <w:spacing w:after="120" w:before="260"/>
      </w:pPr>
      <w:r>
        <w:t xml:space="preserve">4.2 Hard Constraints</w:t>
      </w:r>
    </w:p>
    <w:p>
      <w:pPr>
        <w:pStyle w:val="ListParagraph"/>
        <w:numPr>
          <w:ilvl w:val="0"/>
          <w:numId w:val="2"/>
        </w:numPr>
        <w:spacing w:after="80"/>
      </w:pPr>
      <w:r>
        <w:t xml:space="preserve">Code must be simple and beginner-friendly enough to explain line by line to a professor.</w:t>
      </w:r>
    </w:p>
    <w:p>
      <w:pPr>
        <w:pStyle w:val="ListParagraph"/>
        <w:numPr>
          <w:ilvl w:val="0"/>
          <w:numId w:val="2"/>
        </w:numPr>
        <w:spacing w:after="80"/>
      </w:pPr>
      <w:r>
        <w:t xml:space="preserve">No over-engineering: no queues, no complex state machines, no design patterns, no advanced retry/backoff logic.</w:t>
      </w:r>
    </w:p>
    <w:p>
      <w:pPr>
        <w:pStyle w:val="ListParagraph"/>
        <w:numPr>
          <w:ilvl w:val="0"/>
          <w:numId w:val="2"/>
        </w:numPr>
        <w:spacing w:after="80"/>
      </w:pPr>
      <w:r>
        <w:t xml:space="preserve">Minimal file count — avoid splitting logic into many tiny files unnecessarily.</w:t>
      </w:r>
    </w:p>
    <w:p>
      <w:pPr>
        <w:pStyle w:val="ListParagraph"/>
        <w:numPr>
          <w:ilvl w:val="0"/>
          <w:numId w:val="2"/>
        </w:numPr>
        <w:spacing w:after="80"/>
      </w:pPr>
      <w:r>
        <w:t xml:space="preserve">Plain CSS or inline styles only — no Tailwind or heavy UI libraries.</w:t>
      </w:r>
    </w:p>
    <w:p>
      <w:pPr>
        <w:pStyle w:val="ListParagraph"/>
        <w:numPr>
          <w:ilvl w:val="0"/>
          <w:numId w:val="2"/>
        </w:numPr>
        <w:spacing w:after="80"/>
      </w:pPr>
      <w:r>
        <w:t xml:space="preserve">All secrets in .env (never hardcoded); .env.example provided with placeholders; .env gitignored.</w:t>
      </w:r>
    </w:p>
    <w:p>
      <w:pPr>
        <w:pStyle w:val="ListParagraph"/>
        <w:numPr>
          <w:ilvl w:val="0"/>
          <w:numId w:val="2"/>
        </w:numPr>
        <w:spacing w:after="80"/>
      </w:pPr>
      <w:r>
        <w:t xml:space="preserve">Any repeating logic (e.g. API key rotation) implemented as a simple first-year-level for-loop — nothing clever or hard to explain.</w:t>
      </w:r>
    </w:p>
    <w:p>
      <w:pPr>
        <w:pStyle w:val="ListParagraph"/>
        <w:numPr>
          <w:ilvl w:val="0"/>
          <w:numId w:val="2"/>
        </w:numPr>
        <w:spacing w:after="80"/>
      </w:pPr>
      <w:r>
        <w:t xml:space="preserve">Submission links and QR codes must always resolve to a full, public, absolute URL (http/https) — never localhost or a private-network address — so any student can use them from anywhere.</w:t>
      </w:r>
    </w:p>
    <w:p>
      <w:pPr>
        <w:pStyle w:val="Heading1"/>
        <w:spacing w:after="160" w:before="360"/>
      </w:pPr>
      <w:r>
        <w:t xml:space="preserve">5. System Architecture</w:t>
      </w:r>
    </w:p>
    <w:p>
      <w:pPr>
        <w:spacing w:after="160"/>
      </w:pPr>
      <w:r>
        <w:t xml:space="preserve">A straightforward three-tier architecture, deliberately kept flat so each layer maps to a small, explainable set of files.</w:t>
      </w:r>
    </w:p>
    <w:p>
      <w:pPr>
        <w:spacing w:after="40" w:before="120"/>
        <w:jc w:val="center"/>
      </w:pPr>
      <w:r>
        <w:drawing>
          <wp:inline distT="0" distB="0" distL="0" distR="0">
            <wp:extent cx="54578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57825" cy="2676525"/>
                    </a:xfrm>
                    <a:prstGeom prst="rect">
                      <a:avLst/>
                    </a:prstGeom>
                  </pic:spPr>
                </pic:pic>
              </a:graphicData>
            </a:graphic>
          </wp:inline>
        </w:drawing>
      </w:r>
    </w:p>
    <w:p>
      <w:pPr>
        <w:spacing w:after="300" w:before="80"/>
        <w:jc w:val="center"/>
      </w:pPr>
      <w:r>
        <w:rPr>
          <w:i/>
          <w:iCs/>
          <w:color w:val="666666"/>
          <w:sz w:val="18"/>
          <w:szCs w:val="18"/>
        </w:rPr>
        <w:t xml:space="preserve">Figure 1 — Overall system architecture</w:t>
      </w:r>
    </w:p>
    <w:p>
      <w:pPr>
        <w:spacing w:after="100" w:before="200"/>
      </w:pPr>
      <w:r>
        <w:rPr>
          <w:b/>
          <w:bCs/>
          <w:sz w:val="24"/>
          <w:szCs w:val="24"/>
        </w:rPr>
        <w:t xml:space="preserve">Client (React)</w:t>
      </w:r>
    </w:p>
    <w:p>
      <w:pPr>
        <w:spacing w:after="160"/>
      </w:pPr>
      <w:r>
        <w:t xml:space="preserve">Functional components + hooks only. Pages: Teacher Login, Teacher Dashboard, Create Assignment, Assignment Detail, Student Submission. Plain CSS or inline styles.</w:t>
      </w:r>
    </w:p>
    <w:p>
      <w:pPr>
        <w:spacing w:after="100" w:before="200"/>
      </w:pPr>
      <w:r>
        <w:rPr>
          <w:b/>
          <w:bCs/>
          <w:sz w:val="24"/>
          <w:szCs w:val="24"/>
        </w:rPr>
        <w:t xml:space="preserve">Server (Node.js + Express)</w:t>
      </w:r>
    </w:p>
    <w:p>
      <w:pPr>
        <w:spacing w:after="160"/>
      </w:pPr>
      <w:r>
        <w:t xml:space="preserve">Route handlers for auth, assignments, and submissions. On submission: uploads file to Supabase Storage, extracts text (pdf-parse / mammoth), runs the Phase 2 grading call and the Phase 3 detection call, and writes results back to the Submission row.</w:t>
      </w:r>
    </w:p>
    <w:p>
      <w:pPr>
        <w:spacing w:after="100" w:before="200"/>
      </w:pPr>
      <w:r>
        <w:rPr>
          <w:b/>
          <w:bCs/>
          <w:sz w:val="24"/>
          <w:szCs w:val="24"/>
        </w:rPr>
        <w:t xml:space="preserve">Data &amp; External Services</w:t>
      </w:r>
    </w:p>
    <w:p>
      <w:pPr>
        <w:pStyle w:val="ListParagraph"/>
        <w:numPr>
          <w:ilvl w:val="0"/>
          <w:numId w:val="2"/>
        </w:numPr>
        <w:spacing w:after="80"/>
      </w:pPr>
      <w:r>
        <w:t xml:space="preserve">Supabase (PostgreSQL) — Teacher, Assignment, Submission tables.</w:t>
      </w:r>
    </w:p>
    <w:p>
      <w:pPr>
        <w:pStyle w:val="ListParagraph"/>
        <w:numPr>
          <w:ilvl w:val="0"/>
          <w:numId w:val="2"/>
        </w:numPr>
        <w:spacing w:after="80"/>
      </w:pPr>
      <w:r>
        <w:t xml:space="preserve">Supabase Storage — uploaded PDF/DOCX files.</w:t>
      </w:r>
    </w:p>
    <w:p>
      <w:pPr>
        <w:pStyle w:val="ListParagraph"/>
        <w:numPr>
          <w:ilvl w:val="0"/>
          <w:numId w:val="2"/>
        </w:numPr>
        <w:spacing w:after="80"/>
      </w:pPr>
      <w:r>
        <w:t xml:space="preserve">Azure OpenAI (gpt-5-mini) — grading estimate + summary (Phase 2).</w:t>
      </w:r>
    </w:p>
    <w:p>
      <w:pPr>
        <w:pStyle w:val="ListParagraph"/>
        <w:numPr>
          <w:ilvl w:val="0"/>
          <w:numId w:val="2"/>
        </w:numPr>
        <w:spacing w:after="80"/>
      </w:pPr>
      <w:r>
        <w:t xml:space="preserve">Sapling AI Detector API — AI-likelihood score (Phase 3), called with simple round-robin key rotation across 3 free-tier keys.</w:t>
      </w:r>
    </w:p>
    <w:p>
      <w:pPr>
        <w:spacing w:after="160"/>
      </w:pPr>
      <w:r>
        <w:t xml:space="preserve">This flow is intentionally linear — no background job queue, no message broker, no async worker pool. Each submission request extracts text, calls the two external APIs in sequence (or skips them per the rules below), and saves the result, all within the same request/response cycle.</w:t>
      </w:r>
    </w:p>
    <w:p>
      <w:pPr>
        <w:pStyle w:val="Heading1"/>
        <w:spacing w:after="160" w:before="360"/>
      </w:pPr>
      <w:r>
        <w:t xml:space="preserve">6. Phase-wise Feature Breakdown</w:t>
      </w:r>
    </w:p>
    <w:p>
      <w:pPr>
        <w:pStyle w:val="Heading2"/>
        <w:spacing w:after="120" w:before="260"/>
      </w:pPr>
      <w:r>
        <w:t xml:space="preserve">Phase 1 — Core Submission Flow (no AI yet)</w:t>
      </w:r>
    </w:p>
    <w:p>
      <w:pPr>
        <w:spacing w:after="160"/>
      </w:pPr>
      <w:r>
        <w:t xml:space="preserve">Establishes the basic digital submission loop: teacher creates an assignment with full context, shares a permanent public link/QR, and students submit files against it from anywhere.</w:t>
      </w:r>
    </w:p>
    <w:p>
      <w:pPr>
        <w:spacing w:after="100" w:before="200"/>
      </w:pPr>
      <w:r>
        <w:rPr>
          <w:b/>
          <w:bCs/>
          <w:sz w:val="24"/>
          <w:szCs w:val="24"/>
        </w:rPr>
        <w:t xml:space="preserve">1. Teacher Login</w:t>
      </w:r>
    </w:p>
    <w:p>
      <w:pPr>
        <w:pStyle w:val="ListParagraph"/>
        <w:numPr>
          <w:ilvl w:val="0"/>
          <w:numId w:val="2"/>
        </w:numPr>
        <w:spacing w:after="80"/>
      </w:pPr>
      <w:r>
        <w:t xml:space="preserve">Email + password authentication using JWT.</w:t>
      </w:r>
    </w:p>
    <w:p>
      <w:pPr>
        <w:pStyle w:val="ListParagraph"/>
        <w:numPr>
          <w:ilvl w:val="0"/>
          <w:numId w:val="2"/>
        </w:numPr>
        <w:spacing w:after="80"/>
      </w:pPr>
      <w:r>
        <w:t xml:space="preserve">Single Teacher table/model — no role hierarchy needed.</w:t>
      </w:r>
    </w:p>
    <w:p>
      <w:pPr>
        <w:spacing w:after="100" w:before="200"/>
      </w:pPr>
      <w:r>
        <w:rPr>
          <w:b/>
          <w:bCs/>
          <w:sz w:val="24"/>
          <w:szCs w:val="24"/>
        </w:rPr>
        <w:t xml:space="preserve">2. Teacher Dashboard</w:t>
      </w:r>
    </w:p>
    <w:p>
      <w:pPr>
        <w:pStyle w:val="ListParagraph"/>
        <w:numPr>
          <w:ilvl w:val="0"/>
          <w:numId w:val="2"/>
        </w:numPr>
        <w:spacing w:after="80"/>
      </w:pPr>
      <w:r>
        <w:t xml:space="preserve">Lists assignments created by the logged-in teacher: subject, created date, submission count.</w:t>
      </w:r>
    </w:p>
    <w:p>
      <w:pPr>
        <w:pStyle w:val="ListParagraph"/>
        <w:numPr>
          <w:ilvl w:val="0"/>
          <w:numId w:val="2"/>
        </w:numPr>
        <w:spacing w:after="80"/>
      </w:pPr>
      <w:r>
        <w:t xml:space="preserve">“Create New Assignment” button.</w:t>
      </w:r>
    </w:p>
    <w:p>
      <w:pPr>
        <w:spacing w:after="100" w:before="200"/>
      </w:pPr>
      <w:r>
        <w:rPr>
          <w:b/>
          <w:bCs/>
          <w:sz w:val="24"/>
          <w:szCs w:val="24"/>
        </w:rPr>
        <w:t xml:space="preserve">3. Create Assignment Page — expanded field set</w:t>
      </w:r>
    </w:p>
    <w:p>
      <w:pPr>
        <w:spacing w:after="160"/>
      </w:pPr>
      <w:r>
        <w:t xml:space="preserve">The original scope only listed Subject name, Questions, and Max marks. In practice a teacher needs more context up front so the generated submission page is self-explanatory to students without any extra back-and-forth. The full field list: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00"/>
      </w:tblGrid>
      <w:tr>
        <w:trPr>
          <w:tblHeader/>
        </w:trPr>
        <w:tc>
          <w:tcPr>
            <w:tcW w:type="dxa" w:w="2200"/>
            <w:shd w:fill="1F4E5F" w:val="clear"/>
            <w:tcMar>
              <w:top w:type="dxa" w:w="80"/>
              <w:left w:type="dxa" w:w="120"/>
              <w:bottom w:type="dxa" w:w="80"/>
              <w:right w:type="dxa" w:w="120"/>
            </w:tcMar>
          </w:tcPr>
          <w:p>
            <w:r>
              <w:rPr>
                <w:b/>
                <w:bCs/>
                <w:color w:val="FFFFFF"/>
              </w:rPr>
              <w:t xml:space="preserve">Field</w:t>
            </w:r>
          </w:p>
        </w:tc>
        <w:tc>
          <w:tcPr>
            <w:tcW w:type="dxa" w:w="1400"/>
            <w:shd w:fill="1F4E5F" w:val="clear"/>
            <w:tcMar>
              <w:top w:type="dxa" w:w="80"/>
              <w:left w:type="dxa" w:w="120"/>
              <w:bottom w:type="dxa" w:w="80"/>
              <w:right w:type="dxa" w:w="120"/>
            </w:tcMar>
          </w:tcPr>
          <w:p>
            <w:r>
              <w:rPr>
                <w:b/>
                <w:bCs/>
                <w:color w:val="FFFFFF"/>
              </w:rPr>
              <w:t xml:space="preserve">Input type</w:t>
            </w:r>
          </w:p>
        </w:tc>
        <w:tc>
          <w:tcPr>
            <w:tcW w:type="dxa" w:w="5000"/>
            <w:shd w:fill="1F4E5F" w:val="clear"/>
            <w:tcMar>
              <w:top w:type="dxa" w:w="80"/>
              <w:left w:type="dxa" w:w="120"/>
              <w:bottom w:type="dxa" w:w="80"/>
              <w:right w:type="dxa" w:w="120"/>
            </w:tcMar>
          </w:tcPr>
          <w:p>
            <w:r>
              <w:rPr>
                <w:b/>
                <w:bCs/>
                <w:color w:val="FFFFFF"/>
              </w:rPr>
              <w:t xml:space="preserve">Why it's needed</w:t>
            </w:r>
          </w:p>
        </w:tc>
      </w:tr>
      <w:tr>
        <w:tc>
          <w:tcPr>
            <w:tcW w:type="dxa" w:w="2200"/>
            <w:tcMar>
              <w:top w:type="dxa" w:w="80"/>
              <w:left w:type="dxa" w:w="120"/>
              <w:bottom w:type="dxa" w:w="80"/>
              <w:right w:type="dxa" w:w="120"/>
            </w:tcMar>
          </w:tcPr>
          <w:p>
            <w:r>
              <w:rPr>
                <w:b/>
                <w:bCs/>
              </w:rPr>
              <w:t xml:space="preserve">College / Institute name</w:t>
            </w:r>
          </w:p>
        </w:tc>
        <w:tc>
          <w:tcPr>
            <w:tcW w:type="dxa" w:w="1400"/>
            <w:tcMar>
              <w:top w:type="dxa" w:w="80"/>
              <w:left w:type="dxa" w:w="120"/>
              <w:bottom w:type="dxa" w:w="80"/>
              <w:right w:type="dxa" w:w="120"/>
            </w:tcMar>
          </w:tcPr>
          <w:p>
            <w:r>
              <w:rPr>
                <w:b w:val="false"/>
                <w:bCs w:val="false"/>
              </w:rPr>
              <w:t xml:space="preserve">Text</w:t>
            </w:r>
          </w:p>
        </w:tc>
        <w:tc>
          <w:tcPr>
            <w:tcW w:type="dxa" w:w="5000"/>
            <w:tcMar>
              <w:top w:type="dxa" w:w="80"/>
              <w:left w:type="dxa" w:w="120"/>
              <w:bottom w:type="dxa" w:w="80"/>
              <w:right w:type="dxa" w:w="120"/>
            </w:tcMar>
          </w:tcPr>
          <w:p>
            <w:r>
              <w:rPr>
                <w:b w:val="false"/>
                <w:bCs w:val="false"/>
              </w:rPr>
              <w:t xml:space="preserve">Printed on the submission page so students confirm they're on the right assignment; useful if the teacher teaches at more than one institute</w:t>
            </w:r>
          </w:p>
        </w:tc>
      </w:tr>
      <w:tr>
        <w:tc>
          <w:tcPr>
            <w:tcW w:type="dxa" w:w="2200"/>
            <w:shd w:fill="EAF1F3" w:val="clear"/>
            <w:tcMar>
              <w:top w:type="dxa" w:w="80"/>
              <w:left w:type="dxa" w:w="120"/>
              <w:bottom w:type="dxa" w:w="80"/>
              <w:right w:type="dxa" w:w="120"/>
            </w:tcMar>
          </w:tcPr>
          <w:p>
            <w:r>
              <w:rPr>
                <w:b/>
                <w:bCs/>
              </w:rPr>
              <w:t xml:space="preserve">Department (optional)</w:t>
            </w:r>
          </w:p>
        </w:tc>
        <w:tc>
          <w:tcPr>
            <w:tcW w:type="dxa" w:w="1400"/>
            <w:shd w:fill="EAF1F3" w:val="clear"/>
            <w:tcMar>
              <w:top w:type="dxa" w:w="80"/>
              <w:left w:type="dxa" w:w="120"/>
              <w:bottom w:type="dxa" w:w="80"/>
              <w:right w:type="dxa" w:w="120"/>
            </w:tcMar>
          </w:tcPr>
          <w:p>
            <w:r>
              <w:rPr>
                <w:b w:val="false"/>
                <w:bCs w:val="false"/>
              </w:rPr>
              <w:t xml:space="preserve">Text</w:t>
            </w:r>
          </w:p>
        </w:tc>
        <w:tc>
          <w:tcPr>
            <w:tcW w:type="dxa" w:w="5000"/>
            <w:shd w:fill="EAF1F3" w:val="clear"/>
            <w:tcMar>
              <w:top w:type="dxa" w:w="80"/>
              <w:left w:type="dxa" w:w="120"/>
              <w:bottom w:type="dxa" w:w="80"/>
              <w:right w:type="dxa" w:w="120"/>
            </w:tcMar>
          </w:tcPr>
          <w:p>
            <w:r>
              <w:rPr>
                <w:b w:val="false"/>
                <w:bCs w:val="false"/>
              </w:rPr>
              <w:t xml:space="preserve">e.g. “BCA”, “BSc IT” — helpful when a college runs multiple programs</w:t>
            </w:r>
          </w:p>
        </w:tc>
      </w:tr>
      <w:tr>
        <w:tc>
          <w:tcPr>
            <w:tcW w:type="dxa" w:w="2200"/>
            <w:tcMar>
              <w:top w:type="dxa" w:w="80"/>
              <w:left w:type="dxa" w:w="120"/>
              <w:bottom w:type="dxa" w:w="80"/>
              <w:right w:type="dxa" w:w="120"/>
            </w:tcMar>
          </w:tcPr>
          <w:p>
            <w:r>
              <w:rPr>
                <w:b/>
                <w:bCs/>
              </w:rPr>
              <w:t xml:space="preserve">Teacher name</w:t>
            </w:r>
          </w:p>
        </w:tc>
        <w:tc>
          <w:tcPr>
            <w:tcW w:type="dxa" w:w="1400"/>
            <w:tcMar>
              <w:top w:type="dxa" w:w="80"/>
              <w:left w:type="dxa" w:w="120"/>
              <w:bottom w:type="dxa" w:w="80"/>
              <w:right w:type="dxa" w:w="120"/>
            </w:tcMar>
          </w:tcPr>
          <w:p>
            <w:r>
              <w:rPr>
                <w:b w:val="false"/>
                <w:bCs w:val="false"/>
              </w:rPr>
              <w:t xml:space="preserve">Text</w:t>
            </w:r>
          </w:p>
        </w:tc>
        <w:tc>
          <w:tcPr>
            <w:tcW w:type="dxa" w:w="5000"/>
            <w:tcMar>
              <w:top w:type="dxa" w:w="80"/>
              <w:left w:type="dxa" w:w="120"/>
              <w:bottom w:type="dxa" w:w="80"/>
              <w:right w:type="dxa" w:w="120"/>
            </w:tcMar>
          </w:tcPr>
          <w:p>
            <w:r>
              <w:rPr>
                <w:b w:val="false"/>
                <w:bCs w:val="false"/>
              </w:rPr>
              <w:t xml:space="preserve">Auto-filled from the logged-in teacher's profile, shown on the submission page</w:t>
            </w:r>
          </w:p>
        </w:tc>
      </w:tr>
      <w:tr>
        <w:tc>
          <w:tcPr>
            <w:tcW w:type="dxa" w:w="2200"/>
            <w:shd w:fill="EAF1F3" w:val="clear"/>
            <w:tcMar>
              <w:top w:type="dxa" w:w="80"/>
              <w:left w:type="dxa" w:w="120"/>
              <w:bottom w:type="dxa" w:w="80"/>
              <w:right w:type="dxa" w:w="120"/>
            </w:tcMar>
          </w:tcPr>
          <w:p>
            <w:r>
              <w:rPr>
                <w:b/>
                <w:bCs/>
              </w:rPr>
              <w:t xml:space="preserve">Subject name</w:t>
            </w:r>
          </w:p>
        </w:tc>
        <w:tc>
          <w:tcPr>
            <w:tcW w:type="dxa" w:w="1400"/>
            <w:shd w:fill="EAF1F3" w:val="clear"/>
            <w:tcMar>
              <w:top w:type="dxa" w:w="80"/>
              <w:left w:type="dxa" w:w="120"/>
              <w:bottom w:type="dxa" w:w="80"/>
              <w:right w:type="dxa" w:w="120"/>
            </w:tcMar>
          </w:tcPr>
          <w:p>
            <w:r>
              <w:rPr>
                <w:b w:val="false"/>
                <w:bCs w:val="false"/>
              </w:rPr>
              <w:t xml:space="preserve">Text</w:t>
            </w:r>
          </w:p>
        </w:tc>
        <w:tc>
          <w:tcPr>
            <w:tcW w:type="dxa" w:w="5000"/>
            <w:shd w:fill="EAF1F3" w:val="clear"/>
            <w:tcMar>
              <w:top w:type="dxa" w:w="80"/>
              <w:left w:type="dxa" w:w="120"/>
              <w:bottom w:type="dxa" w:w="80"/>
              <w:right w:type="dxa" w:w="120"/>
            </w:tcMar>
          </w:tcPr>
          <w:p>
            <w:r>
              <w:rPr>
                <w:b w:val="false"/>
                <w:bCs w:val="false"/>
              </w:rPr>
              <w:t xml:space="preserve">e.g. “Operating Systems”</w:t>
            </w:r>
          </w:p>
        </w:tc>
      </w:tr>
      <w:tr>
        <w:tc>
          <w:tcPr>
            <w:tcW w:type="dxa" w:w="2200"/>
            <w:tcMar>
              <w:top w:type="dxa" w:w="80"/>
              <w:left w:type="dxa" w:w="120"/>
              <w:bottom w:type="dxa" w:w="80"/>
              <w:right w:type="dxa" w:w="120"/>
            </w:tcMar>
          </w:tcPr>
          <w:p>
            <w:r>
              <w:rPr>
                <w:b/>
                <w:bCs/>
              </w:rPr>
              <w:t xml:space="preserve">Subject code (optional)</w:t>
            </w:r>
          </w:p>
        </w:tc>
        <w:tc>
          <w:tcPr>
            <w:tcW w:type="dxa" w:w="1400"/>
            <w:tcMar>
              <w:top w:type="dxa" w:w="80"/>
              <w:left w:type="dxa" w:w="120"/>
              <w:bottom w:type="dxa" w:w="80"/>
              <w:right w:type="dxa" w:w="120"/>
            </w:tcMar>
          </w:tcPr>
          <w:p>
            <w:r>
              <w:rPr>
                <w:b w:val="false"/>
                <w:bCs w:val="false"/>
              </w:rPr>
              <w:t xml:space="preserve">Text</w:t>
            </w:r>
          </w:p>
        </w:tc>
        <w:tc>
          <w:tcPr>
            <w:tcW w:type="dxa" w:w="5000"/>
            <w:tcMar>
              <w:top w:type="dxa" w:w="80"/>
              <w:left w:type="dxa" w:w="120"/>
              <w:bottom w:type="dxa" w:w="80"/>
              <w:right w:type="dxa" w:w="120"/>
            </w:tcMar>
          </w:tcPr>
          <w:p>
            <w:r>
              <w:rPr>
                <w:b w:val="false"/>
                <w:bCs w:val="false"/>
              </w:rPr>
              <w:t xml:space="preserve">College-assigned code, if the institute uses one</w:t>
            </w:r>
          </w:p>
        </w:tc>
      </w:tr>
      <w:tr>
        <w:tc>
          <w:tcPr>
            <w:tcW w:type="dxa" w:w="2200"/>
            <w:shd w:fill="EAF1F3" w:val="clear"/>
            <w:tcMar>
              <w:top w:type="dxa" w:w="80"/>
              <w:left w:type="dxa" w:w="120"/>
              <w:bottom w:type="dxa" w:w="80"/>
              <w:right w:type="dxa" w:w="120"/>
            </w:tcMar>
          </w:tcPr>
          <w:p>
            <w:r>
              <w:rPr>
                <w:b/>
                <w:bCs/>
              </w:rPr>
              <w:t xml:space="preserve">Assignment title</w:t>
            </w:r>
          </w:p>
        </w:tc>
        <w:tc>
          <w:tcPr>
            <w:tcW w:type="dxa" w:w="1400"/>
            <w:shd w:fill="EAF1F3" w:val="clear"/>
            <w:tcMar>
              <w:top w:type="dxa" w:w="80"/>
              <w:left w:type="dxa" w:w="120"/>
              <w:bottom w:type="dxa" w:w="80"/>
              <w:right w:type="dxa" w:w="120"/>
            </w:tcMar>
          </w:tcPr>
          <w:p>
            <w:r>
              <w:rPr>
                <w:b w:val="false"/>
                <w:bCs w:val="false"/>
              </w:rPr>
              <w:t xml:space="preserve">Text</w:t>
            </w:r>
          </w:p>
        </w:tc>
        <w:tc>
          <w:tcPr>
            <w:tcW w:type="dxa" w:w="5000"/>
            <w:shd w:fill="EAF1F3" w:val="clear"/>
            <w:tcMar>
              <w:top w:type="dxa" w:w="80"/>
              <w:left w:type="dxa" w:w="120"/>
              <w:bottom w:type="dxa" w:w="80"/>
              <w:right w:type="dxa" w:w="120"/>
            </w:tcMar>
          </w:tcPr>
          <w:p>
            <w:r>
              <w:rPr>
                <w:b w:val="false"/>
                <w:bCs w:val="false"/>
              </w:rPr>
              <w:t xml:space="preserve">Short title distinct from the subject, e.g. “Assignment 3 — Process Scheduling”</w:t>
            </w:r>
          </w:p>
        </w:tc>
      </w:tr>
      <w:tr>
        <w:tc>
          <w:tcPr>
            <w:tcW w:type="dxa" w:w="2200"/>
            <w:tcMar>
              <w:top w:type="dxa" w:w="80"/>
              <w:left w:type="dxa" w:w="120"/>
              <w:bottom w:type="dxa" w:w="80"/>
              <w:right w:type="dxa" w:w="120"/>
            </w:tcMar>
          </w:tcPr>
          <w:p>
            <w:r>
              <w:rPr>
                <w:b/>
                <w:bCs/>
              </w:rPr>
              <w:t xml:space="preserve">Instructions</w:t>
            </w:r>
          </w:p>
        </w:tc>
        <w:tc>
          <w:tcPr>
            <w:tcW w:type="dxa" w:w="1400"/>
            <w:tcMar>
              <w:top w:type="dxa" w:w="80"/>
              <w:left w:type="dxa" w:w="120"/>
              <w:bottom w:type="dxa" w:w="80"/>
              <w:right w:type="dxa" w:w="120"/>
            </w:tcMar>
          </w:tcPr>
          <w:p>
            <w:r>
              <w:rPr>
                <w:b w:val="false"/>
                <w:bCs w:val="false"/>
              </w:rPr>
              <w:t xml:space="preserve">Textarea</w:t>
            </w:r>
          </w:p>
        </w:tc>
        <w:tc>
          <w:tcPr>
            <w:tcW w:type="dxa" w:w="5000"/>
            <w:tcMar>
              <w:top w:type="dxa" w:w="80"/>
              <w:left w:type="dxa" w:w="120"/>
              <w:bottom w:type="dxa" w:w="80"/>
              <w:right w:type="dxa" w:w="120"/>
            </w:tcMar>
          </w:tcPr>
          <w:p>
            <w:r>
              <w:rPr>
                <w:b w:val="false"/>
                <w:bCs w:val="false"/>
              </w:rPr>
              <w:t xml:space="preserve">General submission instructions — formatting rules, page limits, what to include on the cover section, academic-integrity note, etc.</w:t>
            </w:r>
          </w:p>
        </w:tc>
      </w:tr>
      <w:tr>
        <w:tc>
          <w:tcPr>
            <w:tcW w:type="dxa" w:w="2200"/>
            <w:shd w:fill="EAF1F3" w:val="clear"/>
            <w:tcMar>
              <w:top w:type="dxa" w:w="80"/>
              <w:left w:type="dxa" w:w="120"/>
              <w:bottom w:type="dxa" w:w="80"/>
              <w:right w:type="dxa" w:w="120"/>
            </w:tcMar>
          </w:tcPr>
          <w:p>
            <w:r>
              <w:rPr>
                <w:b/>
                <w:bCs/>
              </w:rPr>
              <w:t xml:space="preserve">Questions</w:t>
            </w:r>
          </w:p>
        </w:tc>
        <w:tc>
          <w:tcPr>
            <w:tcW w:type="dxa" w:w="1400"/>
            <w:shd w:fill="EAF1F3" w:val="clear"/>
            <w:tcMar>
              <w:top w:type="dxa" w:w="80"/>
              <w:left w:type="dxa" w:w="120"/>
              <w:bottom w:type="dxa" w:w="80"/>
              <w:right w:type="dxa" w:w="120"/>
            </w:tcMar>
          </w:tcPr>
          <w:p>
            <w:r>
              <w:rPr>
                <w:b w:val="false"/>
                <w:bCs w:val="false"/>
              </w:rPr>
              <w:t xml:space="preserve">Textarea</w:t>
            </w:r>
          </w:p>
        </w:tc>
        <w:tc>
          <w:tcPr>
            <w:tcW w:type="dxa" w:w="5000"/>
            <w:shd w:fill="EAF1F3" w:val="clear"/>
            <w:tcMar>
              <w:top w:type="dxa" w:w="80"/>
              <w:left w:type="dxa" w:w="120"/>
              <w:bottom w:type="dxa" w:w="80"/>
              <w:right w:type="dxa" w:w="120"/>
            </w:tcMar>
          </w:tcPr>
          <w:p>
            <w:r>
              <w:rPr>
                <w:b w:val="false"/>
                <w:bCs w:val="false"/>
              </w:rPr>
              <w:t xml:space="preserve">The actual assignment questions students must answer</w:t>
            </w:r>
          </w:p>
        </w:tc>
      </w:tr>
      <w:tr>
        <w:tc>
          <w:tcPr>
            <w:tcW w:type="dxa" w:w="2200"/>
            <w:tcMar>
              <w:top w:type="dxa" w:w="80"/>
              <w:left w:type="dxa" w:w="120"/>
              <w:bottom w:type="dxa" w:w="80"/>
              <w:right w:type="dxa" w:w="120"/>
            </w:tcMar>
          </w:tcPr>
          <w:p>
            <w:r>
              <w:rPr>
                <w:b/>
                <w:bCs/>
              </w:rPr>
              <w:t xml:space="preserve">Max marks</w:t>
            </w:r>
          </w:p>
        </w:tc>
        <w:tc>
          <w:tcPr>
            <w:tcW w:type="dxa" w:w="1400"/>
            <w:tcMar>
              <w:top w:type="dxa" w:w="80"/>
              <w:left w:type="dxa" w:w="120"/>
              <w:bottom w:type="dxa" w:w="80"/>
              <w:right w:type="dxa" w:w="120"/>
            </w:tcMar>
          </w:tcPr>
          <w:p>
            <w:r>
              <w:rPr>
                <w:b w:val="false"/>
                <w:bCs w:val="false"/>
              </w:rPr>
              <w:t xml:space="preserve">Number</w:t>
            </w:r>
          </w:p>
        </w:tc>
        <w:tc>
          <w:tcPr>
            <w:tcW w:type="dxa" w:w="5000"/>
            <w:tcMar>
              <w:top w:type="dxa" w:w="80"/>
              <w:left w:type="dxa" w:w="120"/>
              <w:bottom w:type="dxa" w:w="80"/>
              <w:right w:type="dxa" w:w="120"/>
            </w:tcMar>
          </w:tcPr>
          <w:p>
            <w:r>
              <w:rPr>
                <w:b w:val="false"/>
                <w:bCs w:val="false"/>
              </w:rPr>
              <w:t xml:space="preserve">Used later for the Phase 2 AI grading estimate</w:t>
            </w:r>
          </w:p>
        </w:tc>
      </w:tr>
      <w:tr>
        <w:tc>
          <w:tcPr>
            <w:tcW w:type="dxa" w:w="2200"/>
            <w:shd w:fill="EAF1F3" w:val="clear"/>
            <w:tcMar>
              <w:top w:type="dxa" w:w="80"/>
              <w:left w:type="dxa" w:w="120"/>
              <w:bottom w:type="dxa" w:w="80"/>
              <w:right w:type="dxa" w:w="120"/>
            </w:tcMar>
          </w:tcPr>
          <w:p>
            <w:r>
              <w:rPr>
                <w:b/>
                <w:bCs/>
              </w:rPr>
              <w:t xml:space="preserve">Due date &amp; time</w:t>
            </w:r>
          </w:p>
        </w:tc>
        <w:tc>
          <w:tcPr>
            <w:tcW w:type="dxa" w:w="1400"/>
            <w:shd w:fill="EAF1F3" w:val="clear"/>
            <w:tcMar>
              <w:top w:type="dxa" w:w="80"/>
              <w:left w:type="dxa" w:w="120"/>
              <w:bottom w:type="dxa" w:w="80"/>
              <w:right w:type="dxa" w:w="120"/>
            </w:tcMar>
          </w:tcPr>
          <w:p>
            <w:r>
              <w:rPr>
                <w:b w:val="false"/>
                <w:bCs w:val="false"/>
              </w:rPr>
              <w:t xml:space="preserve">Date/time picker</w:t>
            </w:r>
          </w:p>
        </w:tc>
        <w:tc>
          <w:tcPr>
            <w:tcW w:type="dxa" w:w="5000"/>
            <w:shd w:fill="EAF1F3" w:val="clear"/>
            <w:tcMar>
              <w:top w:type="dxa" w:w="80"/>
              <w:left w:type="dxa" w:w="120"/>
              <w:bottom w:type="dxa" w:w="80"/>
              <w:right w:type="dxa" w:w="120"/>
            </w:tcMar>
          </w:tcPr>
          <w:p>
            <w:r>
              <w:rPr>
                <w:b w:val="false"/>
                <w:bCs w:val="false"/>
              </w:rPr>
              <w:t xml:space="preserve">Shown to students on the submission page; used to decide whether a resubmission is still allowed</w:t>
            </w:r>
          </w:p>
        </w:tc>
      </w:tr>
      <w:tr>
        <w:tc>
          <w:tcPr>
            <w:tcW w:type="dxa" w:w="2200"/>
            <w:tcMar>
              <w:top w:type="dxa" w:w="80"/>
              <w:left w:type="dxa" w:w="120"/>
              <w:bottom w:type="dxa" w:w="80"/>
              <w:right w:type="dxa" w:w="120"/>
            </w:tcMar>
          </w:tcPr>
          <w:p>
            <w:r>
              <w:rPr>
                <w:b/>
                <w:bCs/>
              </w:rPr>
              <w:t xml:space="preserve">Allowed file types</w:t>
            </w:r>
          </w:p>
        </w:tc>
        <w:tc>
          <w:tcPr>
            <w:tcW w:type="dxa" w:w="1400"/>
            <w:tcMar>
              <w:top w:type="dxa" w:w="80"/>
              <w:left w:type="dxa" w:w="120"/>
              <w:bottom w:type="dxa" w:w="80"/>
              <w:right w:type="dxa" w:w="120"/>
            </w:tcMar>
          </w:tcPr>
          <w:p>
            <w:r>
              <w:rPr>
                <w:b w:val="false"/>
                <w:bCs w:val="false"/>
              </w:rPr>
              <w:t xml:space="preserve">Checkbox (PDF / DOCX)</w:t>
            </w:r>
          </w:p>
        </w:tc>
        <w:tc>
          <w:tcPr>
            <w:tcW w:type="dxa" w:w="5000"/>
            <w:tcMar>
              <w:top w:type="dxa" w:w="80"/>
              <w:left w:type="dxa" w:w="120"/>
              <w:bottom w:type="dxa" w:w="80"/>
              <w:right w:type="dxa" w:w="120"/>
            </w:tcMar>
          </w:tcPr>
          <w:p>
            <w:r>
              <w:rPr>
                <w:b w:val="false"/>
                <w:bCs w:val="false"/>
              </w:rPr>
              <w:t xml:space="preserve">Phase 1 launches with PDF only; DOCX is added once the extraction pipeline (Phase 2) supports it</w:t>
            </w:r>
          </w:p>
        </w:tc>
      </w:tr>
      <w:tr>
        <w:tc>
          <w:tcPr>
            <w:tcW w:type="dxa" w:w="2200"/>
            <w:shd w:fill="EAF1F3" w:val="clear"/>
            <w:tcMar>
              <w:top w:type="dxa" w:w="80"/>
              <w:left w:type="dxa" w:w="120"/>
              <w:bottom w:type="dxa" w:w="80"/>
              <w:right w:type="dxa" w:w="120"/>
            </w:tcMar>
          </w:tcPr>
          <w:p>
            <w:r>
              <w:rPr>
                <w:b/>
                <w:bCs/>
              </w:rPr>
              <w:t xml:space="preserve">Late submission allowed?</w:t>
            </w:r>
          </w:p>
        </w:tc>
        <w:tc>
          <w:tcPr>
            <w:tcW w:type="dxa" w:w="1400"/>
            <w:shd w:fill="EAF1F3" w:val="clear"/>
            <w:tcMar>
              <w:top w:type="dxa" w:w="80"/>
              <w:left w:type="dxa" w:w="120"/>
              <w:bottom w:type="dxa" w:w="80"/>
              <w:right w:type="dxa" w:w="120"/>
            </w:tcMar>
          </w:tcPr>
          <w:p>
            <w:r>
              <w:rPr>
                <w:b w:val="false"/>
                <w:bCs w:val="false"/>
              </w:rPr>
              <w:t xml:space="preserve">Toggle (Yes/No)</w:t>
            </w:r>
          </w:p>
        </w:tc>
        <w:tc>
          <w:tcPr>
            <w:tcW w:type="dxa" w:w="5000"/>
            <w:shd w:fill="EAF1F3" w:val="clear"/>
            <w:tcMar>
              <w:top w:type="dxa" w:w="80"/>
              <w:left w:type="dxa" w:w="120"/>
              <w:bottom w:type="dxa" w:w="80"/>
              <w:right w:type="dxa" w:w="120"/>
            </w:tcMar>
          </w:tcPr>
          <w:p>
            <w:r>
              <w:rPr>
                <w:b w:val="false"/>
                <w:bCs w:val="false"/>
              </w:rPr>
              <w:t xml:space="preserve">Simple flag — if off, the submission form hides after the due date</w:t>
            </w:r>
          </w:p>
        </w:tc>
      </w:tr>
    </w:tbl>
    <w:p>
      <w:pPr>
        <w:spacing w:after="200"/>
      </w:pPr>
    </w:p>
    <w:p>
      <w:pPr>
        <w:spacing w:after="160"/>
      </w:pPr>
      <w:r>
        <w:rPr>
          <w:b/>
          <w:bCs/>
        </w:rPr>
        <w:t xml:space="preserve">On submit: </w:t>
      </w:r>
      <w:r>
        <w:t xml:space="preserve">the form data is saved to the Assignment table, and the backend generates (a) a unique assignment ID, (b) a full absolute shareable link built from the deployed domain — e.g. https://submitbridge.vercel.app/submit/:assignmentId, never a relative path or localhost address — and (c) a QR code image encoding that same absolute link, using the “qrcode” npm package. Both the link and QR are shown to the teacher immediately after creation, and remain valid indefinitely (or until the due date, if late submissions are disabled) so students can use them from any device or network at any time.</w:t>
      </w:r>
    </w:p>
    <w:p>
      <w:pPr>
        <w:spacing w:after="100" w:before="200"/>
      </w:pPr>
      <w:r>
        <w:rPr>
          <w:b/>
          <w:bCs/>
          <w:sz w:val="24"/>
          <w:szCs w:val="24"/>
        </w:rPr>
        <w:t xml:space="preserve">4. Assignment Detail Page (teacher view)</w:t>
      </w:r>
    </w:p>
    <w:p>
      <w:pPr>
        <w:pStyle w:val="ListParagraph"/>
        <w:numPr>
          <w:ilvl w:val="0"/>
          <w:numId w:val="2"/>
        </w:numPr>
        <w:spacing w:after="80"/>
      </w:pPr>
      <w:r>
        <w:t xml:space="preserve">Re-displays the link/QR.</w:t>
      </w:r>
    </w:p>
    <w:p>
      <w:pPr>
        <w:pStyle w:val="ListParagraph"/>
        <w:numPr>
          <w:ilvl w:val="0"/>
          <w:numId w:val="2"/>
        </w:numPr>
        <w:spacing w:after="80"/>
      </w:pPr>
      <w:r>
        <w:t xml:space="preserve">Table of submissions: Student Name, Roll Number, Submission Timestamp, link to view the uploaded file, plus AI grading/detection columns once Phases 2 and 3 are live.</w:t>
      </w:r>
    </w:p>
    <w:p>
      <w:pPr>
        <w:spacing w:after="100" w:before="200"/>
      </w:pPr>
      <w:r>
        <w:rPr>
          <w:b/>
          <w:bCs/>
          <w:sz w:val="24"/>
          <w:szCs w:val="24"/>
        </w:rPr>
        <w:t xml:space="preserve">5. Student Submission Page (via link/QR)</w:t>
      </w:r>
    </w:p>
    <w:p>
      <w:pPr>
        <w:pStyle w:val="ListParagraph"/>
        <w:numPr>
          <w:ilvl w:val="0"/>
          <w:numId w:val="2"/>
        </w:numPr>
        <w:spacing w:after="80"/>
      </w:pPr>
      <w:r>
        <w:t xml:space="preserve">Read-only display of: college/institute name, department, teacher name, subject name and code, assignment title, instructions, questions, max marks, and due date.</w:t>
      </w:r>
    </w:p>
    <w:p>
      <w:pPr>
        <w:pStyle w:val="ListParagraph"/>
        <w:numPr>
          <w:ilvl w:val="0"/>
          <w:numId w:val="2"/>
        </w:numPr>
        <w:spacing w:after="80"/>
      </w:pPr>
      <w:r>
        <w:t xml:space="preserve">Form fields: Student Name, Roll Number, file upload (PDF, later DOCX).</w:t>
      </w:r>
    </w:p>
    <w:p>
      <w:pPr>
        <w:pStyle w:val="ListParagraph"/>
        <w:numPr>
          <w:ilvl w:val="0"/>
          <w:numId w:val="2"/>
        </w:numPr>
        <w:spacing w:after="80"/>
      </w:pPr>
      <w:r>
        <w:t xml:space="preserve">On submit: file uploaded to Supabase Storage, submission record saved, success message shown.</w:t>
      </w:r>
    </w:p>
    <w:p>
      <w:pPr>
        <w:spacing w:after="160"/>
      </w:pPr>
      <w:r>
        <w:rPr>
          <w:b/>
          <w:bCs/>
        </w:rPr>
        <w:t xml:space="preserve">Resubmission rule: </w:t>
      </w:r>
      <w:r>
        <w:t xml:space="preserve">if the same student (matched by roll number) submits again for the same assignment, the previous submission is overwritten — the old file is replaced and the existing DB record is updated, rather than creating a duplicate entry.</w:t>
      </w:r>
    </w:p>
    <w:p>
      <w:pPr>
        <w:spacing w:after="40" w:before="120"/>
        <w:jc w:val="center"/>
      </w:pPr>
      <w:r>
        <w:drawing>
          <wp:inline distT="0" distB="0" distL="0" distR="0">
            <wp:extent cx="3305175" cy="806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05175" cy="8067675"/>
                    </a:xfrm>
                    <a:prstGeom prst="rect">
                      <a:avLst/>
                    </a:prstGeom>
                  </pic:spPr>
                </pic:pic>
              </a:graphicData>
            </a:graphic>
          </wp:inline>
        </w:drawing>
      </w:r>
    </w:p>
    <w:p>
      <w:pPr>
        <w:spacing w:after="300" w:before="80"/>
        <w:jc w:val="center"/>
      </w:pPr>
      <w:r>
        <w:rPr>
          <w:i/>
          <w:iCs/>
          <w:color w:val="666666"/>
          <w:sz w:val="18"/>
          <w:szCs w:val="18"/>
        </w:rPr>
        <w:t xml:space="preserve">Figure 2 — Phase 1 submission flow, including the resubmission (overwrite) decision</w:t>
      </w:r>
    </w:p>
    <w:p>
      <w:pPr>
        <w:pStyle w:val="Heading2"/>
        <w:spacing w:after="120" w:before="260"/>
      </w:pPr>
      <w:r>
        <w:t xml:space="preserve">Phase 2 — AI-Assisted Grading</w:t>
      </w:r>
    </w:p>
    <w:p>
      <w:pPr>
        <w:spacing w:after="160"/>
      </w:pPr>
      <w:r>
        <w:t xml:space="preserve">Goal: AI reads each submission independently and produces an estimated mark and short summary so the teacher doesn't need to read every submission in full — but the AI never has final authority; the teacher always makes the final call.</w:t>
      </w:r>
    </w:p>
    <w:p>
      <w:pPr>
        <w:spacing w:after="160"/>
      </w:pPr>
      <w:r>
        <w:rPr>
          <w:b/>
          <w:bCs/>
        </w:rPr>
        <w:t xml:space="preserve">Model: </w:t>
      </w:r>
      <w:r>
        <w:t xml:space="preserve">gpt-5-mini via Azure OpenAI Service (Azure for Students credits). The originally planned gpt-4o-mini deployment was not available on the student subscription, so gpt-5-mini is used instead — the integration code is identical, only the endpoint and deployment name differ (see §4.1).</w:t>
      </w:r>
    </w:p>
    <w:p>
      <w:pPr>
        <w:spacing w:after="100" w:before="200"/>
      </w:pPr>
      <w:r>
        <w:rPr>
          <w:b/>
          <w:bCs/>
          <w:sz w:val="24"/>
          <w:szCs w:val="24"/>
        </w:rPr>
        <w:t xml:space="preserve">Flow</w:t>
      </w:r>
    </w:p>
    <w:p>
      <w:pPr>
        <w:pStyle w:val="ListParagraph"/>
        <w:numPr>
          <w:ilvl w:val="0"/>
          <w:numId w:val="2"/>
        </w:numPr>
        <w:spacing w:after="80"/>
      </w:pPr>
      <w:r>
        <w:t xml:space="preserve">Teacher supplies assignment questions, instructions, and max marks up front, as part of the Phase 1 Create Assignment form.</w:t>
      </w:r>
    </w:p>
    <w:p>
      <w:pPr>
        <w:pStyle w:val="ListParagraph"/>
        <w:numPr>
          <w:ilvl w:val="0"/>
          <w:numId w:val="2"/>
        </w:numPr>
        <w:spacing w:after="80"/>
      </w:pPr>
      <w:r>
        <w:t xml:space="preserve">On submission, extract text from the file: PDF via pdf-parse, DOCX via mammoth (extractRawText).</w:t>
      </w:r>
    </w:p>
    <w:p>
      <w:pPr>
        <w:pStyle w:val="ListParagraph"/>
        <w:numPr>
          <w:ilvl w:val="0"/>
          <w:numId w:val="2"/>
        </w:numPr>
        <w:spacing w:after="80"/>
      </w:pPr>
      <w:r>
        <w:t xml:space="preserve">Clean/preprocess the extracted text to save API quota: strip repetitive headers/metadata (“Name:”, “Roll No:”, “Page:”, date lines), normalize whitespace, truncate to ~4000 characters, and skip AI processing entirely if the cleaned text is under ~100 characters.</w:t>
      </w:r>
    </w:p>
    <w:p>
      <w:pPr>
        <w:pStyle w:val="ListParagraph"/>
        <w:numPr>
          <w:ilvl w:val="0"/>
          <w:numId w:val="2"/>
        </w:numPr>
        <w:spacing w:after="80"/>
      </w:pPr>
      <w:r>
        <w:t xml:space="preserve">Send the cleaned text plus assignment questions/max marks to gpt-5-mini with a prompt that explicitly instructs it to grade only this submission in isolation, with no comparison to other students, to keep grading unbiased per student.</w:t>
      </w:r>
    </w:p>
    <w:p>
      <w:pPr>
        <w:pStyle w:val="ListParagraph"/>
        <w:numPr>
          <w:ilvl w:val="0"/>
          <w:numId w:val="2"/>
        </w:numPr>
        <w:spacing w:after="80"/>
      </w:pPr>
      <w:r>
        <w:t xml:space="preserve">Request a structured JSON response: estimated mark (out of max marks), a short summary of what the student wrote, and brief reasoning for the mark.</w:t>
      </w:r>
    </w:p>
    <w:p>
      <w:pPr>
        <w:pStyle w:val="ListParagraph"/>
        <w:numPr>
          <w:ilvl w:val="0"/>
          <w:numId w:val="2"/>
        </w:numPr>
        <w:spacing w:after="80"/>
      </w:pPr>
      <w:r>
        <w:t xml:space="preserve">Store the AI's mark, summary, and reasoning against the submission record.</w:t>
      </w:r>
    </w:p>
    <w:p>
      <w:pPr>
        <w:pStyle w:val="ListParagraph"/>
        <w:numPr>
          <w:ilvl w:val="0"/>
          <w:numId w:val="2"/>
        </w:numPr>
        <w:spacing w:after="80"/>
      </w:pPr>
      <w:r>
        <w:t xml:space="preserve">On the dashboard, show the AI estimate per submission with an ACCEPT or EDIT/override control — the teacher's decision is always final; AI marks are never auto-published as final grades.</w:t>
      </w:r>
    </w:p>
    <w:p>
      <w:pPr>
        <w:spacing w:after="40" w:before="120"/>
        <w:jc w:val="center"/>
      </w:pPr>
      <w:r>
        <w:drawing>
          <wp:inline distT="0" distB="0" distL="0" distR="0">
            <wp:extent cx="3305175" cy="755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05175" cy="7553325"/>
                    </a:xfrm>
                    <a:prstGeom prst="rect">
                      <a:avLst/>
                    </a:prstGeom>
                  </pic:spPr>
                </pic:pic>
              </a:graphicData>
            </a:graphic>
          </wp:inline>
        </w:drawing>
      </w:r>
    </w:p>
    <w:p>
      <w:pPr>
        <w:spacing w:after="300" w:before="80"/>
        <w:jc w:val="center"/>
      </w:pPr>
      <w:r>
        <w:rPr>
          <w:i/>
          <w:iCs/>
          <w:color w:val="666666"/>
          <w:sz w:val="18"/>
          <w:szCs w:val="18"/>
        </w:rPr>
        <w:t xml:space="preserve">Figure 3 — Phase 2 AI-assisted grading flow</w:t>
      </w:r>
    </w:p>
    <w:p>
      <w:pPr>
        <w:spacing w:after="100" w:before="200"/>
      </w:pPr>
      <w:r>
        <w:rPr>
          <w:b/>
          <w:bCs/>
        </w:rPr>
        <w:t xml:space="preserve">Additional fields — Phase 2</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5F" w:val="clear"/>
            <w:tcMar>
              <w:top w:type="dxa" w:w="80"/>
              <w:left w:type="dxa" w:w="120"/>
              <w:bottom w:type="dxa" w:w="80"/>
              <w:right w:type="dxa" w:w="120"/>
            </w:tcMar>
          </w:tcPr>
          <w:p>
            <w:r>
              <w:rPr>
                <w:b/>
                <w:bCs/>
                <w:color w:val="FFFFFF"/>
              </w:rPr>
              <w:t xml:space="preserve">Field</w:t>
            </w:r>
          </w:p>
        </w:tc>
        <w:tc>
          <w:tcPr>
            <w:tcW w:type="dxa" w:w="1800"/>
            <w:shd w:fill="1F4E5F" w:val="clear"/>
            <w:tcMar>
              <w:top w:type="dxa" w:w="80"/>
              <w:left w:type="dxa" w:w="120"/>
              <w:bottom w:type="dxa" w:w="80"/>
              <w:right w:type="dxa" w:w="120"/>
            </w:tcMar>
          </w:tcPr>
          <w:p>
            <w:r>
              <w:rPr>
                <w:b/>
                <w:bCs/>
                <w:color w:val="FFFFFF"/>
              </w:rPr>
              <w:t xml:space="preserve">Type</w:t>
            </w:r>
          </w:p>
        </w:tc>
        <w:tc>
          <w:tcPr>
            <w:tcW w:type="dxa" w:w="4200"/>
            <w:shd w:fill="1F4E5F" w:val="clear"/>
            <w:tcMar>
              <w:top w:type="dxa" w:w="80"/>
              <w:left w:type="dxa" w:w="120"/>
              <w:bottom w:type="dxa" w:w="80"/>
              <w:right w:type="dxa" w:w="120"/>
            </w:tcMar>
          </w:tcPr>
          <w:p>
            <w:r>
              <w:rPr>
                <w:b/>
                <w:bCs/>
                <w:color w:val="FFFFFF"/>
              </w:rPr>
              <w:t xml:space="preserve">Notes</w:t>
            </w:r>
          </w:p>
        </w:tc>
      </w:tr>
      <w:tr>
        <w:tc>
          <w:tcPr>
            <w:tcW w:type="dxa" w:w="2600"/>
            <w:tcMar>
              <w:top w:type="dxa" w:w="80"/>
              <w:left w:type="dxa" w:w="120"/>
              <w:bottom w:type="dxa" w:w="80"/>
              <w:right w:type="dxa" w:w="120"/>
            </w:tcMar>
          </w:tcPr>
          <w:p>
            <w:r>
              <w:rPr>
                <w:b w:val="false"/>
                <w:bCs w:val="false"/>
              </w:rPr>
              <w:t xml:space="preserve">aiEstimatedMarks</w:t>
            </w:r>
          </w:p>
        </w:tc>
        <w:tc>
          <w:tcPr>
            <w:tcW w:type="dxa" w:w="1800"/>
            <w:tcMar>
              <w:top w:type="dxa" w:w="80"/>
              <w:left w:type="dxa" w:w="120"/>
              <w:bottom w:type="dxa" w:w="80"/>
              <w:right w:type="dxa" w:w="120"/>
            </w:tcMar>
          </w:tcPr>
          <w:p>
            <w:r>
              <w:rPr>
                <w:b w:val="false"/>
                <w:bCs w:val="false"/>
              </w:rPr>
              <w:t xml:space="preserve">number</w:t>
            </w:r>
          </w:p>
        </w:tc>
        <w:tc>
          <w:tcPr>
            <w:tcW w:type="dxa" w:w="4200"/>
            <w:tcMar>
              <w:top w:type="dxa" w:w="80"/>
              <w:left w:type="dxa" w:w="120"/>
              <w:bottom w:type="dxa" w:w="80"/>
              <w:right w:type="dxa" w:w="120"/>
            </w:tcMar>
          </w:tcPr>
          <w:p>
            <w:r>
              <w:rPr>
                <w:b w:val="false"/>
                <w:bCs w:val="false"/>
              </w:rPr>
              <w:t xml:space="preserve">AI's suggested mark, out of maxMarks</w:t>
            </w:r>
          </w:p>
        </w:tc>
      </w:tr>
      <w:tr>
        <w:tc>
          <w:tcPr>
            <w:tcW w:type="dxa" w:w="2600"/>
            <w:shd w:fill="EAF1F3" w:val="clear"/>
            <w:tcMar>
              <w:top w:type="dxa" w:w="80"/>
              <w:left w:type="dxa" w:w="120"/>
              <w:bottom w:type="dxa" w:w="80"/>
              <w:right w:type="dxa" w:w="120"/>
            </w:tcMar>
          </w:tcPr>
          <w:p>
            <w:r>
              <w:rPr>
                <w:b w:val="false"/>
                <w:bCs w:val="false"/>
              </w:rPr>
              <w:t xml:space="preserve">aiSummary</w:t>
            </w:r>
          </w:p>
        </w:tc>
        <w:tc>
          <w:tcPr>
            <w:tcW w:type="dxa" w:w="1800"/>
            <w:shd w:fill="EAF1F3" w:val="clear"/>
            <w:tcMar>
              <w:top w:type="dxa" w:w="80"/>
              <w:left w:type="dxa" w:w="120"/>
              <w:bottom w:type="dxa" w:w="80"/>
              <w:right w:type="dxa" w:w="120"/>
            </w:tcMar>
          </w:tcPr>
          <w:p>
            <w:r>
              <w:rPr>
                <w:b w:val="false"/>
                <w:bCs w:val="false"/>
              </w:rPr>
              <w:t xml:space="preserve">text</w:t>
            </w:r>
          </w:p>
        </w:tc>
        <w:tc>
          <w:tcPr>
            <w:tcW w:type="dxa" w:w="4200"/>
            <w:shd w:fill="EAF1F3" w:val="clear"/>
            <w:tcMar>
              <w:top w:type="dxa" w:w="80"/>
              <w:left w:type="dxa" w:w="120"/>
              <w:bottom w:type="dxa" w:w="80"/>
              <w:right w:type="dxa" w:w="120"/>
            </w:tcMar>
          </w:tcPr>
          <w:p>
            <w:r>
              <w:rPr>
                <w:b w:val="false"/>
                <w:bCs w:val="false"/>
              </w:rPr>
              <w:t xml:space="preserve">Short AI-generated summary of the submission</w:t>
            </w:r>
          </w:p>
        </w:tc>
      </w:tr>
      <w:tr>
        <w:tc>
          <w:tcPr>
            <w:tcW w:type="dxa" w:w="2600"/>
            <w:tcMar>
              <w:top w:type="dxa" w:w="80"/>
              <w:left w:type="dxa" w:w="120"/>
              <w:bottom w:type="dxa" w:w="80"/>
              <w:right w:type="dxa" w:w="120"/>
            </w:tcMar>
          </w:tcPr>
          <w:p>
            <w:r>
              <w:rPr>
                <w:b w:val="false"/>
                <w:bCs w:val="false"/>
              </w:rPr>
              <w:t xml:space="preserve">aiReasoning</w:t>
            </w:r>
          </w:p>
        </w:tc>
        <w:tc>
          <w:tcPr>
            <w:tcW w:type="dxa" w:w="1800"/>
            <w:tcMar>
              <w:top w:type="dxa" w:w="80"/>
              <w:left w:type="dxa" w:w="120"/>
              <w:bottom w:type="dxa" w:w="80"/>
              <w:right w:type="dxa" w:w="120"/>
            </w:tcMar>
          </w:tcPr>
          <w:p>
            <w:r>
              <w:rPr>
                <w:b w:val="false"/>
                <w:bCs w:val="false"/>
              </w:rPr>
              <w:t xml:space="preserve">text</w:t>
            </w:r>
          </w:p>
        </w:tc>
        <w:tc>
          <w:tcPr>
            <w:tcW w:type="dxa" w:w="4200"/>
            <w:tcMar>
              <w:top w:type="dxa" w:w="80"/>
              <w:left w:type="dxa" w:w="120"/>
              <w:bottom w:type="dxa" w:w="80"/>
              <w:right w:type="dxa" w:w="120"/>
            </w:tcMar>
          </w:tcPr>
          <w:p>
            <w:r>
              <w:rPr>
                <w:b w:val="false"/>
                <w:bCs w:val="false"/>
              </w:rPr>
              <w:t xml:space="preserve">Brief AI justification for the estimated mark</w:t>
            </w:r>
          </w:p>
        </w:tc>
      </w:tr>
      <w:tr>
        <w:tc>
          <w:tcPr>
            <w:tcW w:type="dxa" w:w="2600"/>
            <w:shd w:fill="EAF1F3" w:val="clear"/>
            <w:tcMar>
              <w:top w:type="dxa" w:w="80"/>
              <w:left w:type="dxa" w:w="120"/>
              <w:bottom w:type="dxa" w:w="80"/>
              <w:right w:type="dxa" w:w="120"/>
            </w:tcMar>
          </w:tcPr>
          <w:p>
            <w:r>
              <w:rPr>
                <w:b w:val="false"/>
                <w:bCs w:val="false"/>
              </w:rPr>
              <w:t xml:space="preserve">teacherFinalMarks</w:t>
            </w:r>
          </w:p>
        </w:tc>
        <w:tc>
          <w:tcPr>
            <w:tcW w:type="dxa" w:w="1800"/>
            <w:shd w:fill="EAF1F3" w:val="clear"/>
            <w:tcMar>
              <w:top w:type="dxa" w:w="80"/>
              <w:left w:type="dxa" w:w="120"/>
              <w:bottom w:type="dxa" w:w="80"/>
              <w:right w:type="dxa" w:w="120"/>
            </w:tcMar>
          </w:tcPr>
          <w:p>
            <w:r>
              <w:rPr>
                <w:b w:val="false"/>
                <w:bCs w:val="false"/>
              </w:rPr>
              <w:t xml:space="preserve">number</w:t>
            </w:r>
          </w:p>
        </w:tc>
        <w:tc>
          <w:tcPr>
            <w:tcW w:type="dxa" w:w="4200"/>
            <w:shd w:fill="EAF1F3" w:val="clear"/>
            <w:tcMar>
              <w:top w:type="dxa" w:w="80"/>
              <w:left w:type="dxa" w:w="120"/>
              <w:bottom w:type="dxa" w:w="80"/>
              <w:right w:type="dxa" w:w="120"/>
            </w:tcMar>
          </w:tcPr>
          <w:p>
            <w:r>
              <w:rPr>
                <w:b w:val="false"/>
                <w:bCs w:val="false"/>
              </w:rPr>
              <w:t xml:space="preserve">Set once the teacher accepts or overrides</w:t>
            </w:r>
          </w:p>
        </w:tc>
      </w:tr>
      <w:tr>
        <w:tc>
          <w:tcPr>
            <w:tcW w:type="dxa" w:w="2600"/>
            <w:tcMar>
              <w:top w:type="dxa" w:w="80"/>
              <w:left w:type="dxa" w:w="120"/>
              <w:bottom w:type="dxa" w:w="80"/>
              <w:right w:type="dxa" w:w="120"/>
            </w:tcMar>
          </w:tcPr>
          <w:p>
            <w:r>
              <w:rPr>
                <w:b w:val="false"/>
                <w:bCs w:val="false"/>
              </w:rPr>
              <w:t xml:space="preserve">gradingStatus</w:t>
            </w:r>
          </w:p>
        </w:tc>
        <w:tc>
          <w:tcPr>
            <w:tcW w:type="dxa" w:w="1800"/>
            <w:tcMar>
              <w:top w:type="dxa" w:w="80"/>
              <w:left w:type="dxa" w:w="120"/>
              <w:bottom w:type="dxa" w:w="80"/>
              <w:right w:type="dxa" w:w="120"/>
            </w:tcMar>
          </w:tcPr>
          <w:p>
            <w:r>
              <w:rPr>
                <w:b w:val="false"/>
                <w:bCs w:val="false"/>
              </w:rPr>
              <w:t xml:space="preserve">text</w:t>
            </w:r>
          </w:p>
        </w:tc>
        <w:tc>
          <w:tcPr>
            <w:tcW w:type="dxa" w:w="4200"/>
            <w:tcMar>
              <w:top w:type="dxa" w:w="80"/>
              <w:left w:type="dxa" w:w="120"/>
              <w:bottom w:type="dxa" w:w="80"/>
              <w:right w:type="dxa" w:w="120"/>
            </w:tcMar>
          </w:tcPr>
          <w:p>
            <w:r>
              <w:rPr>
                <w:b w:val="false"/>
                <w:bCs w:val="false"/>
              </w:rPr>
              <w:t xml:space="preserve">e.g. "AI_ESTIMATED", "TEACHER_APPROVED"</w:t>
            </w:r>
          </w:p>
        </w:tc>
      </w:tr>
    </w:tbl>
    <w:p>
      <w:pPr>
        <w:pStyle w:val="Heading2"/>
        <w:spacing w:after="120" w:before="260"/>
      </w:pPr>
      <w:r>
        <w:t xml:space="preserve">Phase 3 — AI-Generated-Content Detection</w:t>
      </w:r>
    </w:p>
    <w:p>
      <w:pPr>
        <w:spacing w:after="160"/>
      </w:pPr>
      <w:r>
        <w:t xml:space="preserve">Goal: flag the probability that a submission was AI-generated, without automatically rejecting it. AI detectors are not reliable enough to be a final decision-maker on their own — a 2026 benchmark found even a strong detector like Sapling has a false-positive rate of close to 19% on genuinely human-written text, so hard-blocking on this signal would unfairly punish real students.</w:t>
      </w:r>
    </w:p>
    <w:p>
      <w:pPr>
        <w:spacing w:after="100" w:before="200"/>
      </w:pPr>
      <w:r>
        <w:rPr>
          <w:b/>
          <w:bCs/>
          <w:sz w:val="24"/>
          <w:szCs w:val="24"/>
        </w:rPr>
        <w:t xml:space="preserve">Flow</w:t>
      </w:r>
    </w:p>
    <w:p>
      <w:pPr>
        <w:pStyle w:val="ListParagraph"/>
        <w:numPr>
          <w:ilvl w:val="0"/>
          <w:numId w:val="2"/>
        </w:numPr>
        <w:spacing w:after="80"/>
      </w:pPr>
      <w:r>
        <w:t xml:space="preserve">Reuses the Phase 2 text extraction and cleaning pipeline — no separate pipeline is built.</w:t>
      </w:r>
    </w:p>
    <w:p>
      <w:pPr>
        <w:pStyle w:val="ListParagraph"/>
        <w:numPr>
          <w:ilvl w:val="0"/>
          <w:numId w:val="2"/>
        </w:numPr>
        <w:spacing w:after="80"/>
      </w:pPr>
      <w:r>
        <w:t xml:space="preserve">Sends the cleaned text to the Sapling AI Detector API (POST https://api.sapling.ai/api/v1/aidetect with { key, text }); the response's score field (0–1) is multiplied by 100 for a percentage AI-likelihood score.</w:t>
      </w:r>
    </w:p>
    <w:p>
      <w:pPr>
        <w:spacing w:after="100" w:before="200"/>
      </w:pPr>
      <w:r>
        <w:rPr>
          <w:b/>
          <w:bCs/>
          <w:sz w:val="24"/>
          <w:szCs w:val="24"/>
        </w:rPr>
        <w:t xml:space="preserve">API key handling (kept intentionally simple)</w:t>
      </w:r>
    </w:p>
    <w:p>
      <w:pPr>
        <w:pStyle w:val="ListParagraph"/>
        <w:numPr>
          <w:ilvl w:val="0"/>
          <w:numId w:val="2"/>
        </w:numPr>
        <w:spacing w:after="80"/>
      </w:pPr>
      <w:r>
        <w:t xml:space="preserve">Three free-tier API keys stored as SAPLING_API_KEYS=key1,key2,key3 in .env.</w:t>
      </w:r>
    </w:p>
    <w:p>
      <w:pPr>
        <w:pStyle w:val="ListParagraph"/>
        <w:numPr>
          <w:ilvl w:val="0"/>
          <w:numId w:val="2"/>
        </w:numPr>
        <w:spacing w:after="80"/>
      </w:pPr>
      <w:r>
        <w:t xml:space="preserve">Simple round-robin loop: request 1 uses key1, request 2 uses key2, request 3 uses key3, request 4 wraps back to key1, and so on — spreading load evenly instead of exhausting one key.</w:t>
      </w:r>
    </w:p>
    <w:p>
      <w:pPr>
        <w:pStyle w:val="ListParagraph"/>
        <w:numPr>
          <w:ilvl w:val="0"/>
          <w:numId w:val="2"/>
        </w:numPr>
        <w:spacing w:after="80"/>
      </w:pPr>
      <w:r>
        <w:t xml:space="preserve">If the current key in rotation fails (e.g. quota exceeded), a small fallback loop tries the next key within the same request — not a retry queue or backoff system.</w:t>
      </w:r>
    </w:p>
    <w:p>
      <w:pPr>
        <w:pStyle w:val="ListParagraph"/>
        <w:numPr>
          <w:ilvl w:val="0"/>
          <w:numId w:val="2"/>
        </w:numPr>
        <w:spacing w:after="80"/>
      </w:pPr>
      <w:r>
        <w:t xml:space="preserve">If all keys fail, the submission is still accepted normally; the system stores aiScore = null and aiStatus = "FAILED" or "QUOTA_EXHAUSTED" rather than rejecting anything.</w:t>
      </w:r>
    </w:p>
    <w:p>
      <w:pPr>
        <w:spacing w:after="100" w:before="200"/>
      </w:pPr>
      <w:r>
        <w:rPr>
          <w:b/>
          <w:bCs/>
          <w:sz w:val="24"/>
          <w:szCs w:val="24"/>
        </w:rPr>
        <w:t xml:space="preserve">Display</w:t>
      </w:r>
    </w:p>
    <w:p>
      <w:pPr>
        <w:pStyle w:val="ListParagraph"/>
        <w:numPr>
          <w:ilvl w:val="0"/>
          <w:numId w:val="2"/>
        </w:numPr>
        <w:spacing w:after="80"/>
      </w:pPr>
      <w:r>
        <w:t xml:space="preserve">Teacher's dashboard shows the AI likelihood percentage next to each submission (e.g. “AI likelihood: 42%”) as a flag, not a rejection.</w:t>
      </w:r>
    </w:p>
    <w:p>
      <w:pPr>
        <w:pStyle w:val="ListParagraph"/>
        <w:numPr>
          <w:ilvl w:val="0"/>
          <w:numId w:val="2"/>
        </w:numPr>
        <w:spacing w:after="80"/>
      </w:pPr>
      <w:r>
        <w:t xml:space="preserve">If a submission is flagged above a threshold, the student sees this on their confirmation view and can choose to resubmit a revised version before the assignment's final due date; the final accept/reject decision still rests with the teacher.</w:t>
      </w:r>
    </w:p>
    <w:p>
      <w:pPr>
        <w:spacing w:after="40" w:before="120"/>
        <w:jc w:val="center"/>
      </w:pPr>
      <w:r>
        <w:drawing>
          <wp:inline distT="0" distB="0" distL="0" distR="0">
            <wp:extent cx="3305175" cy="568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05175" cy="5686425"/>
                    </a:xfrm>
                    <a:prstGeom prst="rect">
                      <a:avLst/>
                    </a:prstGeom>
                  </pic:spPr>
                </pic:pic>
              </a:graphicData>
            </a:graphic>
          </wp:inline>
        </w:drawing>
      </w:r>
    </w:p>
    <w:p>
      <w:pPr>
        <w:spacing w:after="300" w:before="80"/>
        <w:jc w:val="center"/>
      </w:pPr>
      <w:r>
        <w:rPr>
          <w:i/>
          <w:iCs/>
          <w:color w:val="666666"/>
          <w:sz w:val="18"/>
          <w:szCs w:val="18"/>
        </w:rPr>
        <w:t xml:space="preserve">Figure 4 — Phase 3 AI-content detection flow, including key rotation and fallback</w:t>
      </w:r>
    </w:p>
    <w:p>
      <w:pPr>
        <w:spacing w:after="100" w:before="200"/>
      </w:pPr>
      <w:r>
        <w:rPr>
          <w:b/>
          <w:bCs/>
        </w:rPr>
        <w:t xml:space="preserve">Additional fields — Phase 3</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5F" w:val="clear"/>
            <w:tcMar>
              <w:top w:type="dxa" w:w="80"/>
              <w:left w:type="dxa" w:w="120"/>
              <w:bottom w:type="dxa" w:w="80"/>
              <w:right w:type="dxa" w:w="120"/>
            </w:tcMar>
          </w:tcPr>
          <w:p>
            <w:r>
              <w:rPr>
                <w:b/>
                <w:bCs/>
                <w:color w:val="FFFFFF"/>
              </w:rPr>
              <w:t xml:space="preserve">Field</w:t>
            </w:r>
          </w:p>
        </w:tc>
        <w:tc>
          <w:tcPr>
            <w:tcW w:type="dxa" w:w="1800"/>
            <w:shd w:fill="1F4E5F" w:val="clear"/>
            <w:tcMar>
              <w:top w:type="dxa" w:w="80"/>
              <w:left w:type="dxa" w:w="120"/>
              <w:bottom w:type="dxa" w:w="80"/>
              <w:right w:type="dxa" w:w="120"/>
            </w:tcMar>
          </w:tcPr>
          <w:p>
            <w:r>
              <w:rPr>
                <w:b/>
                <w:bCs/>
                <w:color w:val="FFFFFF"/>
              </w:rPr>
              <w:t xml:space="preserve">Type</w:t>
            </w:r>
          </w:p>
        </w:tc>
        <w:tc>
          <w:tcPr>
            <w:tcW w:type="dxa" w:w="4200"/>
            <w:shd w:fill="1F4E5F" w:val="clear"/>
            <w:tcMar>
              <w:top w:type="dxa" w:w="80"/>
              <w:left w:type="dxa" w:w="120"/>
              <w:bottom w:type="dxa" w:w="80"/>
              <w:right w:type="dxa" w:w="120"/>
            </w:tcMar>
          </w:tcPr>
          <w:p>
            <w:r>
              <w:rPr>
                <w:b/>
                <w:bCs/>
                <w:color w:val="FFFFFF"/>
              </w:rPr>
              <w:t xml:space="preserve">Notes</w:t>
            </w:r>
          </w:p>
        </w:tc>
      </w:tr>
      <w:tr>
        <w:tc>
          <w:tcPr>
            <w:tcW w:type="dxa" w:w="2600"/>
            <w:tcMar>
              <w:top w:type="dxa" w:w="80"/>
              <w:left w:type="dxa" w:w="120"/>
              <w:bottom w:type="dxa" w:w="80"/>
              <w:right w:type="dxa" w:w="120"/>
            </w:tcMar>
          </w:tcPr>
          <w:p>
            <w:r>
              <w:rPr>
                <w:b w:val="false"/>
                <w:bCs w:val="false"/>
              </w:rPr>
              <w:t xml:space="preserve">aiDetectionScore</w:t>
            </w:r>
          </w:p>
        </w:tc>
        <w:tc>
          <w:tcPr>
            <w:tcW w:type="dxa" w:w="1800"/>
            <w:tcMar>
              <w:top w:type="dxa" w:w="80"/>
              <w:left w:type="dxa" w:w="120"/>
              <w:bottom w:type="dxa" w:w="80"/>
              <w:right w:type="dxa" w:w="120"/>
            </w:tcMar>
          </w:tcPr>
          <w:p>
            <w:r>
              <w:rPr>
                <w:b w:val="false"/>
                <w:bCs w:val="false"/>
              </w:rPr>
              <w:t xml:space="preserve">number (0–100)</w:t>
            </w:r>
          </w:p>
        </w:tc>
        <w:tc>
          <w:tcPr>
            <w:tcW w:type="dxa" w:w="4200"/>
            <w:tcMar>
              <w:top w:type="dxa" w:w="80"/>
              <w:left w:type="dxa" w:w="120"/>
              <w:bottom w:type="dxa" w:w="80"/>
              <w:right w:type="dxa" w:w="120"/>
            </w:tcMar>
          </w:tcPr>
          <w:p>
            <w:r>
              <w:rPr>
                <w:b w:val="false"/>
                <w:bCs w:val="false"/>
              </w:rPr>
              <w:t xml:space="preserve">Percentage AI-likelihood, or null on failure</w:t>
            </w:r>
          </w:p>
        </w:tc>
      </w:tr>
      <w:tr>
        <w:tc>
          <w:tcPr>
            <w:tcW w:type="dxa" w:w="2600"/>
            <w:shd w:fill="EAF1F3" w:val="clear"/>
            <w:tcMar>
              <w:top w:type="dxa" w:w="80"/>
              <w:left w:type="dxa" w:w="120"/>
              <w:bottom w:type="dxa" w:w="80"/>
              <w:right w:type="dxa" w:w="120"/>
            </w:tcMar>
          </w:tcPr>
          <w:p>
            <w:r>
              <w:rPr>
                <w:b w:val="false"/>
                <w:bCs w:val="false"/>
              </w:rPr>
              <w:t xml:space="preserve">aiDetectionStatus</w:t>
            </w:r>
          </w:p>
        </w:tc>
        <w:tc>
          <w:tcPr>
            <w:tcW w:type="dxa" w:w="1800"/>
            <w:shd w:fill="EAF1F3" w:val="clear"/>
            <w:tcMar>
              <w:top w:type="dxa" w:w="80"/>
              <w:left w:type="dxa" w:w="120"/>
              <w:bottom w:type="dxa" w:w="80"/>
              <w:right w:type="dxa" w:w="120"/>
            </w:tcMar>
          </w:tcPr>
          <w:p>
            <w:r>
              <w:rPr>
                <w:b w:val="false"/>
                <w:bCs w:val="false"/>
              </w:rPr>
              <w:t xml:space="preserve">text</w:t>
            </w:r>
          </w:p>
        </w:tc>
        <w:tc>
          <w:tcPr>
            <w:tcW w:type="dxa" w:w="4200"/>
            <w:shd w:fill="EAF1F3" w:val="clear"/>
            <w:tcMar>
              <w:top w:type="dxa" w:w="80"/>
              <w:left w:type="dxa" w:w="120"/>
              <w:bottom w:type="dxa" w:w="80"/>
              <w:right w:type="dxa" w:w="120"/>
            </w:tcMar>
          </w:tcPr>
          <w:p>
            <w:r>
              <w:rPr>
                <w:b w:val="false"/>
                <w:bCs w:val="false"/>
              </w:rPr>
              <w:t xml:space="preserve">"COMPLETED" / "SKIPPED" / "FAILED"</w:t>
            </w:r>
          </w:p>
        </w:tc>
      </w:tr>
    </w:tbl>
    <w:p>
      <w:pPr>
        <w:pStyle w:val="Heading1"/>
        <w:spacing w:after="160" w:before="360"/>
      </w:pPr>
      <w:r>
        <w:t xml:space="preserve">7. Data Models (Consolidated)</w:t>
      </w:r>
    </w:p>
    <w:p>
      <w:pPr>
        <w:spacing w:after="160"/>
      </w:pPr>
      <w:r>
        <w:t xml:space="preserve">Consolidated view of all fields across all three phases. Phase 1 fields form the base; Phase 2 and Phase 3 fields are added to the Submission table as those phases are built.</w:t>
      </w:r>
    </w:p>
    <w:p>
      <w:pPr>
        <w:spacing w:after="100" w:before="200"/>
      </w:pPr>
      <w:r>
        <w:rPr>
          <w:b/>
          <w:bCs/>
        </w:rPr>
        <w:t xml:space="preserve">Teacher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5F" w:val="clear"/>
            <w:tcMar>
              <w:top w:type="dxa" w:w="80"/>
              <w:left w:type="dxa" w:w="120"/>
              <w:bottom w:type="dxa" w:w="80"/>
              <w:right w:type="dxa" w:w="120"/>
            </w:tcMar>
          </w:tcPr>
          <w:p>
            <w:r>
              <w:rPr>
                <w:b/>
                <w:bCs/>
                <w:color w:val="FFFFFF"/>
              </w:rPr>
              <w:t xml:space="preserve">Field</w:t>
            </w:r>
          </w:p>
        </w:tc>
        <w:tc>
          <w:tcPr>
            <w:tcW w:type="dxa" w:w="1800"/>
            <w:shd w:fill="1F4E5F" w:val="clear"/>
            <w:tcMar>
              <w:top w:type="dxa" w:w="80"/>
              <w:left w:type="dxa" w:w="120"/>
              <w:bottom w:type="dxa" w:w="80"/>
              <w:right w:type="dxa" w:w="120"/>
            </w:tcMar>
          </w:tcPr>
          <w:p>
            <w:r>
              <w:rPr>
                <w:b/>
                <w:bCs/>
                <w:color w:val="FFFFFF"/>
              </w:rPr>
              <w:t xml:space="preserve">Type</w:t>
            </w:r>
          </w:p>
        </w:tc>
        <w:tc>
          <w:tcPr>
            <w:tcW w:type="dxa" w:w="4200"/>
            <w:shd w:fill="1F4E5F" w:val="clear"/>
            <w:tcMar>
              <w:top w:type="dxa" w:w="80"/>
              <w:left w:type="dxa" w:w="120"/>
              <w:bottom w:type="dxa" w:w="80"/>
              <w:right w:type="dxa" w:w="120"/>
            </w:tcMar>
          </w:tcPr>
          <w:p>
            <w:r>
              <w:rPr>
                <w:b/>
                <w:bCs/>
                <w:color w:val="FFFFFF"/>
              </w:rPr>
              <w:t xml:space="preserve">Notes</w:t>
            </w:r>
          </w:p>
        </w:tc>
      </w:tr>
      <w:tr>
        <w:tc>
          <w:tcPr>
            <w:tcW w:type="dxa" w:w="2600"/>
            <w:tcMar>
              <w:top w:type="dxa" w:w="80"/>
              <w:left w:type="dxa" w:w="120"/>
              <w:bottom w:type="dxa" w:w="80"/>
              <w:right w:type="dxa" w:w="120"/>
            </w:tcMar>
          </w:tcPr>
          <w:p>
            <w:r>
              <w:rPr>
                <w:b w:val="false"/>
                <w:bCs w:val="false"/>
              </w:rPr>
              <w:t xml:space="preserve">name</w:t>
            </w:r>
          </w:p>
        </w:tc>
        <w:tc>
          <w:tcPr>
            <w:tcW w:type="dxa" w:w="1800"/>
            <w:tcMar>
              <w:top w:type="dxa" w:w="80"/>
              <w:left w:type="dxa" w:w="120"/>
              <w:bottom w:type="dxa" w:w="80"/>
              <w:right w:type="dxa" w:w="120"/>
            </w:tcMar>
          </w:tcPr>
          <w:p>
            <w:r>
              <w:rPr>
                <w:b w:val="false"/>
                <w:bCs w:val="false"/>
              </w:rPr>
              <w:t xml:space="preserve">text</w:t>
            </w:r>
          </w:p>
        </w:tc>
        <w:tc>
          <w:tcPr>
            <w:tcW w:type="dxa" w:w="4200"/>
            <w:tcMar>
              <w:top w:type="dxa" w:w="80"/>
              <w:left w:type="dxa" w:w="120"/>
              <w:bottom w:type="dxa" w:w="80"/>
              <w:right w:type="dxa" w:w="120"/>
            </w:tcMar>
          </w:tcPr>
          <w:p>
            <w:r>
              <w:rPr>
                <w:b w:val="false"/>
                <w:bCs w:val="false"/>
              </w:rPr>
              <w:t xml:space="preserve">Teacher's display name</w:t>
            </w:r>
          </w:p>
        </w:tc>
      </w:tr>
      <w:tr>
        <w:tc>
          <w:tcPr>
            <w:tcW w:type="dxa" w:w="2600"/>
            <w:shd w:fill="EAF1F3" w:val="clear"/>
            <w:tcMar>
              <w:top w:type="dxa" w:w="80"/>
              <w:left w:type="dxa" w:w="120"/>
              <w:bottom w:type="dxa" w:w="80"/>
              <w:right w:type="dxa" w:w="120"/>
            </w:tcMar>
          </w:tcPr>
          <w:p>
            <w:r>
              <w:rPr>
                <w:b w:val="false"/>
                <w:bCs w:val="false"/>
              </w:rPr>
              <w:t xml:space="preserve">email</w:t>
            </w:r>
          </w:p>
        </w:tc>
        <w:tc>
          <w:tcPr>
            <w:tcW w:type="dxa" w:w="1800"/>
            <w:shd w:fill="EAF1F3" w:val="clear"/>
            <w:tcMar>
              <w:top w:type="dxa" w:w="80"/>
              <w:left w:type="dxa" w:w="120"/>
              <w:bottom w:type="dxa" w:w="80"/>
              <w:right w:type="dxa" w:w="120"/>
            </w:tcMar>
          </w:tcPr>
          <w:p>
            <w:r>
              <w:rPr>
                <w:b w:val="false"/>
                <w:bCs w:val="false"/>
              </w:rPr>
              <w:t xml:space="preserve">text</w:t>
            </w:r>
          </w:p>
        </w:tc>
        <w:tc>
          <w:tcPr>
            <w:tcW w:type="dxa" w:w="4200"/>
            <w:shd w:fill="EAF1F3" w:val="clear"/>
            <w:tcMar>
              <w:top w:type="dxa" w:w="80"/>
              <w:left w:type="dxa" w:w="120"/>
              <w:bottom w:type="dxa" w:w="80"/>
              <w:right w:type="dxa" w:w="120"/>
            </w:tcMar>
          </w:tcPr>
          <w:p>
            <w:r>
              <w:rPr>
                <w:b w:val="false"/>
                <w:bCs w:val="false"/>
              </w:rPr>
              <w:t xml:space="preserve">Login identifier, unique</w:t>
            </w:r>
          </w:p>
        </w:tc>
      </w:tr>
      <w:tr>
        <w:tc>
          <w:tcPr>
            <w:tcW w:type="dxa" w:w="2600"/>
            <w:tcMar>
              <w:top w:type="dxa" w:w="80"/>
              <w:left w:type="dxa" w:w="120"/>
              <w:bottom w:type="dxa" w:w="80"/>
              <w:right w:type="dxa" w:w="120"/>
            </w:tcMar>
          </w:tcPr>
          <w:p>
            <w:r>
              <w:rPr>
                <w:b w:val="false"/>
                <w:bCs w:val="false"/>
              </w:rPr>
              <w:t xml:space="preserve">password</w:t>
            </w:r>
          </w:p>
        </w:tc>
        <w:tc>
          <w:tcPr>
            <w:tcW w:type="dxa" w:w="1800"/>
            <w:tcMar>
              <w:top w:type="dxa" w:w="80"/>
              <w:left w:type="dxa" w:w="120"/>
              <w:bottom w:type="dxa" w:w="80"/>
              <w:right w:type="dxa" w:w="120"/>
            </w:tcMar>
          </w:tcPr>
          <w:p>
            <w:r>
              <w:rPr>
                <w:b w:val="false"/>
                <w:bCs w:val="false"/>
              </w:rPr>
              <w:t xml:space="preserve">text (hashed)</w:t>
            </w:r>
          </w:p>
        </w:tc>
        <w:tc>
          <w:tcPr>
            <w:tcW w:type="dxa" w:w="4200"/>
            <w:tcMar>
              <w:top w:type="dxa" w:w="80"/>
              <w:left w:type="dxa" w:w="120"/>
              <w:bottom w:type="dxa" w:w="80"/>
              <w:right w:type="dxa" w:w="120"/>
            </w:tcMar>
          </w:tcPr>
          <w:p>
            <w:r>
              <w:rPr>
                <w:b w:val="false"/>
                <w:bCs w:val="false"/>
              </w:rPr>
              <w:t xml:space="preserve">Never stored in plain text</w:t>
            </w:r>
          </w:p>
        </w:tc>
      </w:tr>
      <w:tr>
        <w:tc>
          <w:tcPr>
            <w:tcW w:type="dxa" w:w="2600"/>
            <w:shd w:fill="EAF1F3" w:val="clear"/>
            <w:tcMar>
              <w:top w:type="dxa" w:w="80"/>
              <w:left w:type="dxa" w:w="120"/>
              <w:bottom w:type="dxa" w:w="80"/>
              <w:right w:type="dxa" w:w="120"/>
            </w:tcMar>
          </w:tcPr>
          <w:p>
            <w:r>
              <w:rPr>
                <w:b w:val="false"/>
                <w:bCs w:val="false"/>
              </w:rPr>
              <w:t xml:space="preserve">collegeName</w:t>
            </w:r>
          </w:p>
        </w:tc>
        <w:tc>
          <w:tcPr>
            <w:tcW w:type="dxa" w:w="1800"/>
            <w:shd w:fill="EAF1F3" w:val="clear"/>
            <w:tcMar>
              <w:top w:type="dxa" w:w="80"/>
              <w:left w:type="dxa" w:w="120"/>
              <w:bottom w:type="dxa" w:w="80"/>
              <w:right w:type="dxa" w:w="120"/>
            </w:tcMar>
          </w:tcPr>
          <w:p>
            <w:r>
              <w:rPr>
                <w:b w:val="false"/>
                <w:bCs w:val="false"/>
              </w:rPr>
              <w:t xml:space="preserve">text</w:t>
            </w:r>
          </w:p>
        </w:tc>
        <w:tc>
          <w:tcPr>
            <w:tcW w:type="dxa" w:w="4200"/>
            <w:shd w:fill="EAF1F3" w:val="clear"/>
            <w:tcMar>
              <w:top w:type="dxa" w:w="80"/>
              <w:left w:type="dxa" w:w="120"/>
              <w:bottom w:type="dxa" w:w="80"/>
              <w:right w:type="dxa" w:w="120"/>
            </w:tcMar>
          </w:tcPr>
          <w:p>
            <w:r>
              <w:rPr>
                <w:b w:val="false"/>
                <w:bCs w:val="false"/>
              </w:rPr>
              <w:t xml:space="preserve">Default college/institute name, pre-filled into new assignments</w:t>
            </w:r>
          </w:p>
        </w:tc>
      </w:tr>
    </w:tbl>
    <w:p>
      <w:pPr>
        <w:spacing w:after="100" w:before="200"/>
      </w:pPr>
      <w:r>
        <w:rPr>
          <w:b/>
          <w:bCs/>
        </w:rPr>
        <w:t xml:space="preserve">Assignment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5F" w:val="clear"/>
            <w:tcMar>
              <w:top w:type="dxa" w:w="80"/>
              <w:left w:type="dxa" w:w="120"/>
              <w:bottom w:type="dxa" w:w="80"/>
              <w:right w:type="dxa" w:w="120"/>
            </w:tcMar>
          </w:tcPr>
          <w:p>
            <w:r>
              <w:rPr>
                <w:b/>
                <w:bCs/>
                <w:color w:val="FFFFFF"/>
              </w:rPr>
              <w:t xml:space="preserve">Field</w:t>
            </w:r>
          </w:p>
        </w:tc>
        <w:tc>
          <w:tcPr>
            <w:tcW w:type="dxa" w:w="1800"/>
            <w:shd w:fill="1F4E5F" w:val="clear"/>
            <w:tcMar>
              <w:top w:type="dxa" w:w="80"/>
              <w:left w:type="dxa" w:w="120"/>
              <w:bottom w:type="dxa" w:w="80"/>
              <w:right w:type="dxa" w:w="120"/>
            </w:tcMar>
          </w:tcPr>
          <w:p>
            <w:r>
              <w:rPr>
                <w:b/>
                <w:bCs/>
                <w:color w:val="FFFFFF"/>
              </w:rPr>
              <w:t xml:space="preserve">Type</w:t>
            </w:r>
          </w:p>
        </w:tc>
        <w:tc>
          <w:tcPr>
            <w:tcW w:type="dxa" w:w="4200"/>
            <w:shd w:fill="1F4E5F" w:val="clear"/>
            <w:tcMar>
              <w:top w:type="dxa" w:w="80"/>
              <w:left w:type="dxa" w:w="120"/>
              <w:bottom w:type="dxa" w:w="80"/>
              <w:right w:type="dxa" w:w="120"/>
            </w:tcMar>
          </w:tcPr>
          <w:p>
            <w:r>
              <w:rPr>
                <w:b/>
                <w:bCs/>
                <w:color w:val="FFFFFF"/>
              </w:rPr>
              <w:t xml:space="preserve">Notes</w:t>
            </w:r>
          </w:p>
        </w:tc>
      </w:tr>
      <w:tr>
        <w:tc>
          <w:tcPr>
            <w:tcW w:type="dxa" w:w="2600"/>
            <w:tcMar>
              <w:top w:type="dxa" w:w="80"/>
              <w:left w:type="dxa" w:w="120"/>
              <w:bottom w:type="dxa" w:w="80"/>
              <w:right w:type="dxa" w:w="120"/>
            </w:tcMar>
          </w:tcPr>
          <w:p>
            <w:r>
              <w:rPr>
                <w:b w:val="false"/>
                <w:bCs w:val="false"/>
              </w:rPr>
              <w:t xml:space="preserve">collegeName</w:t>
            </w:r>
          </w:p>
        </w:tc>
        <w:tc>
          <w:tcPr>
            <w:tcW w:type="dxa" w:w="1800"/>
            <w:tcMar>
              <w:top w:type="dxa" w:w="80"/>
              <w:left w:type="dxa" w:w="120"/>
              <w:bottom w:type="dxa" w:w="80"/>
              <w:right w:type="dxa" w:w="120"/>
            </w:tcMar>
          </w:tcPr>
          <w:p>
            <w:r>
              <w:rPr>
                <w:b w:val="false"/>
                <w:bCs w:val="false"/>
              </w:rPr>
              <w:t xml:space="preserve">text</w:t>
            </w:r>
          </w:p>
        </w:tc>
        <w:tc>
          <w:tcPr>
            <w:tcW w:type="dxa" w:w="4200"/>
            <w:tcMar>
              <w:top w:type="dxa" w:w="80"/>
              <w:left w:type="dxa" w:w="120"/>
              <w:bottom w:type="dxa" w:w="80"/>
              <w:right w:type="dxa" w:w="120"/>
            </w:tcMar>
          </w:tcPr>
          <w:p>
            <w:r>
              <w:rPr>
                <w:b w:val="false"/>
                <w:bCs w:val="false"/>
              </w:rPr>
              <w:t xml:space="preserve">Institute name shown on the submission page</w:t>
            </w:r>
          </w:p>
        </w:tc>
      </w:tr>
      <w:tr>
        <w:tc>
          <w:tcPr>
            <w:tcW w:type="dxa" w:w="2600"/>
            <w:shd w:fill="EAF1F3" w:val="clear"/>
            <w:tcMar>
              <w:top w:type="dxa" w:w="80"/>
              <w:left w:type="dxa" w:w="120"/>
              <w:bottom w:type="dxa" w:w="80"/>
              <w:right w:type="dxa" w:w="120"/>
            </w:tcMar>
          </w:tcPr>
          <w:p>
            <w:r>
              <w:rPr>
                <w:b w:val="false"/>
                <w:bCs w:val="false"/>
              </w:rPr>
              <w:t xml:space="preserve">department</w:t>
            </w:r>
          </w:p>
        </w:tc>
        <w:tc>
          <w:tcPr>
            <w:tcW w:type="dxa" w:w="1800"/>
            <w:shd w:fill="EAF1F3" w:val="clear"/>
            <w:tcMar>
              <w:top w:type="dxa" w:w="80"/>
              <w:left w:type="dxa" w:w="120"/>
              <w:bottom w:type="dxa" w:w="80"/>
              <w:right w:type="dxa" w:w="120"/>
            </w:tcMar>
          </w:tcPr>
          <w:p>
            <w:r>
              <w:rPr>
                <w:b w:val="false"/>
                <w:bCs w:val="false"/>
              </w:rPr>
              <w:t xml:space="preserve">text (optional)</w:t>
            </w:r>
          </w:p>
        </w:tc>
        <w:tc>
          <w:tcPr>
            <w:tcW w:type="dxa" w:w="4200"/>
            <w:shd w:fill="EAF1F3" w:val="clear"/>
            <w:tcMar>
              <w:top w:type="dxa" w:w="80"/>
              <w:left w:type="dxa" w:w="120"/>
              <w:bottom w:type="dxa" w:w="80"/>
              <w:right w:type="dxa" w:w="120"/>
            </w:tcMar>
          </w:tcPr>
          <w:p>
            <w:r>
              <w:rPr>
                <w:b w:val="false"/>
                <w:bCs w:val="false"/>
              </w:rPr>
              <w:t xml:space="preserve">e.g. “BCA”, “BSc IT”</w:t>
            </w:r>
          </w:p>
        </w:tc>
      </w:tr>
      <w:tr>
        <w:tc>
          <w:tcPr>
            <w:tcW w:type="dxa" w:w="2600"/>
            <w:tcMar>
              <w:top w:type="dxa" w:w="80"/>
              <w:left w:type="dxa" w:w="120"/>
              <w:bottom w:type="dxa" w:w="80"/>
              <w:right w:type="dxa" w:w="120"/>
            </w:tcMar>
          </w:tcPr>
          <w:p>
            <w:r>
              <w:rPr>
                <w:b w:val="false"/>
                <w:bCs w:val="false"/>
              </w:rPr>
              <w:t xml:space="preserve">subject</w:t>
            </w:r>
          </w:p>
        </w:tc>
        <w:tc>
          <w:tcPr>
            <w:tcW w:type="dxa" w:w="1800"/>
            <w:tcMar>
              <w:top w:type="dxa" w:w="80"/>
              <w:left w:type="dxa" w:w="120"/>
              <w:bottom w:type="dxa" w:w="80"/>
              <w:right w:type="dxa" w:w="120"/>
            </w:tcMar>
          </w:tcPr>
          <w:p>
            <w:r>
              <w:rPr>
                <w:b w:val="false"/>
                <w:bCs w:val="false"/>
              </w:rPr>
              <w:t xml:space="preserve">text</w:t>
            </w:r>
          </w:p>
        </w:tc>
        <w:tc>
          <w:tcPr>
            <w:tcW w:type="dxa" w:w="4200"/>
            <w:tcMar>
              <w:top w:type="dxa" w:w="80"/>
              <w:left w:type="dxa" w:w="120"/>
              <w:bottom w:type="dxa" w:w="80"/>
              <w:right w:type="dxa" w:w="120"/>
            </w:tcMar>
          </w:tcPr>
          <w:p>
            <w:r>
              <w:rPr>
                <w:b w:val="false"/>
                <w:bCs w:val="false"/>
              </w:rPr>
              <w:t xml:space="preserve">Subject name</w:t>
            </w:r>
          </w:p>
        </w:tc>
      </w:tr>
      <w:tr>
        <w:tc>
          <w:tcPr>
            <w:tcW w:type="dxa" w:w="2600"/>
            <w:shd w:fill="EAF1F3" w:val="clear"/>
            <w:tcMar>
              <w:top w:type="dxa" w:w="80"/>
              <w:left w:type="dxa" w:w="120"/>
              <w:bottom w:type="dxa" w:w="80"/>
              <w:right w:type="dxa" w:w="120"/>
            </w:tcMar>
          </w:tcPr>
          <w:p>
            <w:r>
              <w:rPr>
                <w:b w:val="false"/>
                <w:bCs w:val="false"/>
              </w:rPr>
              <w:t xml:space="preserve">subjectCode</w:t>
            </w:r>
          </w:p>
        </w:tc>
        <w:tc>
          <w:tcPr>
            <w:tcW w:type="dxa" w:w="1800"/>
            <w:shd w:fill="EAF1F3" w:val="clear"/>
            <w:tcMar>
              <w:top w:type="dxa" w:w="80"/>
              <w:left w:type="dxa" w:w="120"/>
              <w:bottom w:type="dxa" w:w="80"/>
              <w:right w:type="dxa" w:w="120"/>
            </w:tcMar>
          </w:tcPr>
          <w:p>
            <w:r>
              <w:rPr>
                <w:b w:val="false"/>
                <w:bCs w:val="false"/>
              </w:rPr>
              <w:t xml:space="preserve">text (optional)</w:t>
            </w:r>
          </w:p>
        </w:tc>
        <w:tc>
          <w:tcPr>
            <w:tcW w:type="dxa" w:w="4200"/>
            <w:shd w:fill="EAF1F3" w:val="clear"/>
            <w:tcMar>
              <w:top w:type="dxa" w:w="80"/>
              <w:left w:type="dxa" w:w="120"/>
              <w:bottom w:type="dxa" w:w="80"/>
              <w:right w:type="dxa" w:w="120"/>
            </w:tcMar>
          </w:tcPr>
          <w:p>
            <w:r>
              <w:rPr>
                <w:b w:val="false"/>
                <w:bCs w:val="false"/>
              </w:rPr>
              <w:t xml:space="preserve">College-assigned subject code</w:t>
            </w:r>
          </w:p>
        </w:tc>
      </w:tr>
      <w:tr>
        <w:tc>
          <w:tcPr>
            <w:tcW w:type="dxa" w:w="2600"/>
            <w:tcMar>
              <w:top w:type="dxa" w:w="80"/>
              <w:left w:type="dxa" w:w="120"/>
              <w:bottom w:type="dxa" w:w="80"/>
              <w:right w:type="dxa" w:w="120"/>
            </w:tcMar>
          </w:tcPr>
          <w:p>
            <w:r>
              <w:rPr>
                <w:b w:val="false"/>
                <w:bCs w:val="false"/>
              </w:rPr>
              <w:t xml:space="preserve">title</w:t>
            </w:r>
          </w:p>
        </w:tc>
        <w:tc>
          <w:tcPr>
            <w:tcW w:type="dxa" w:w="1800"/>
            <w:tcMar>
              <w:top w:type="dxa" w:w="80"/>
              <w:left w:type="dxa" w:w="120"/>
              <w:bottom w:type="dxa" w:w="80"/>
              <w:right w:type="dxa" w:w="120"/>
            </w:tcMar>
          </w:tcPr>
          <w:p>
            <w:r>
              <w:rPr>
                <w:b w:val="false"/>
                <w:bCs w:val="false"/>
              </w:rPr>
              <w:t xml:space="preserve">text</w:t>
            </w:r>
          </w:p>
        </w:tc>
        <w:tc>
          <w:tcPr>
            <w:tcW w:type="dxa" w:w="4200"/>
            <w:tcMar>
              <w:top w:type="dxa" w:w="80"/>
              <w:left w:type="dxa" w:w="120"/>
              <w:bottom w:type="dxa" w:w="80"/>
              <w:right w:type="dxa" w:w="120"/>
            </w:tcMar>
          </w:tcPr>
          <w:p>
            <w:r>
              <w:rPr>
                <w:b w:val="false"/>
                <w:bCs w:val="false"/>
              </w:rPr>
              <w:t xml:space="preserve">Assignment title, distinct from subject</w:t>
            </w:r>
          </w:p>
        </w:tc>
      </w:tr>
      <w:tr>
        <w:tc>
          <w:tcPr>
            <w:tcW w:type="dxa" w:w="2600"/>
            <w:shd w:fill="EAF1F3" w:val="clear"/>
            <w:tcMar>
              <w:top w:type="dxa" w:w="80"/>
              <w:left w:type="dxa" w:w="120"/>
              <w:bottom w:type="dxa" w:w="80"/>
              <w:right w:type="dxa" w:w="120"/>
            </w:tcMar>
          </w:tcPr>
          <w:p>
            <w:r>
              <w:rPr>
                <w:b w:val="false"/>
                <w:bCs w:val="false"/>
              </w:rPr>
              <w:t xml:space="preserve">instructions</w:t>
            </w:r>
          </w:p>
        </w:tc>
        <w:tc>
          <w:tcPr>
            <w:tcW w:type="dxa" w:w="1800"/>
            <w:shd w:fill="EAF1F3" w:val="clear"/>
            <w:tcMar>
              <w:top w:type="dxa" w:w="80"/>
              <w:left w:type="dxa" w:w="120"/>
              <w:bottom w:type="dxa" w:w="80"/>
              <w:right w:type="dxa" w:w="120"/>
            </w:tcMar>
          </w:tcPr>
          <w:p>
            <w:r>
              <w:rPr>
                <w:b w:val="false"/>
                <w:bCs w:val="false"/>
              </w:rPr>
              <w:t xml:space="preserve">text</w:t>
            </w:r>
          </w:p>
        </w:tc>
        <w:tc>
          <w:tcPr>
            <w:tcW w:type="dxa" w:w="4200"/>
            <w:shd w:fill="EAF1F3" w:val="clear"/>
            <w:tcMar>
              <w:top w:type="dxa" w:w="80"/>
              <w:left w:type="dxa" w:w="120"/>
              <w:bottom w:type="dxa" w:w="80"/>
              <w:right w:type="dxa" w:w="120"/>
            </w:tcMar>
          </w:tcPr>
          <w:p>
            <w:r>
              <w:rPr>
                <w:b w:val="false"/>
                <w:bCs w:val="false"/>
              </w:rPr>
              <w:t xml:space="preserve">Submission/formatting instructions</w:t>
            </w:r>
          </w:p>
        </w:tc>
      </w:tr>
      <w:tr>
        <w:tc>
          <w:tcPr>
            <w:tcW w:type="dxa" w:w="2600"/>
            <w:tcMar>
              <w:top w:type="dxa" w:w="80"/>
              <w:left w:type="dxa" w:w="120"/>
              <w:bottom w:type="dxa" w:w="80"/>
              <w:right w:type="dxa" w:w="120"/>
            </w:tcMar>
          </w:tcPr>
          <w:p>
            <w:r>
              <w:rPr>
                <w:b w:val="false"/>
                <w:bCs w:val="false"/>
              </w:rPr>
              <w:t xml:space="preserve">questions</w:t>
            </w:r>
          </w:p>
        </w:tc>
        <w:tc>
          <w:tcPr>
            <w:tcW w:type="dxa" w:w="1800"/>
            <w:tcMar>
              <w:top w:type="dxa" w:w="80"/>
              <w:left w:type="dxa" w:w="120"/>
              <w:bottom w:type="dxa" w:w="80"/>
              <w:right w:type="dxa" w:w="120"/>
            </w:tcMar>
          </w:tcPr>
          <w:p>
            <w:r>
              <w:rPr>
                <w:b w:val="false"/>
                <w:bCs w:val="false"/>
              </w:rPr>
              <w:t xml:space="preserve">text</w:t>
            </w:r>
          </w:p>
        </w:tc>
        <w:tc>
          <w:tcPr>
            <w:tcW w:type="dxa" w:w="4200"/>
            <w:tcMar>
              <w:top w:type="dxa" w:w="80"/>
              <w:left w:type="dxa" w:w="120"/>
              <w:bottom w:type="dxa" w:w="80"/>
              <w:right w:type="dxa" w:w="120"/>
            </w:tcMar>
          </w:tcPr>
          <w:p>
            <w:r>
              <w:rPr>
                <w:b w:val="false"/>
                <w:bCs w:val="false"/>
              </w:rPr>
              <w:t xml:space="preserve">Assignment questions, entered as free text</w:t>
            </w:r>
          </w:p>
        </w:tc>
      </w:tr>
      <w:tr>
        <w:tc>
          <w:tcPr>
            <w:tcW w:type="dxa" w:w="2600"/>
            <w:shd w:fill="EAF1F3" w:val="clear"/>
            <w:tcMar>
              <w:top w:type="dxa" w:w="80"/>
              <w:left w:type="dxa" w:w="120"/>
              <w:bottom w:type="dxa" w:w="80"/>
              <w:right w:type="dxa" w:w="120"/>
            </w:tcMar>
          </w:tcPr>
          <w:p>
            <w:r>
              <w:rPr>
                <w:b w:val="false"/>
                <w:bCs w:val="false"/>
              </w:rPr>
              <w:t xml:space="preserve">maxMarks</w:t>
            </w:r>
          </w:p>
        </w:tc>
        <w:tc>
          <w:tcPr>
            <w:tcW w:type="dxa" w:w="1800"/>
            <w:shd w:fill="EAF1F3" w:val="clear"/>
            <w:tcMar>
              <w:top w:type="dxa" w:w="80"/>
              <w:left w:type="dxa" w:w="120"/>
              <w:bottom w:type="dxa" w:w="80"/>
              <w:right w:type="dxa" w:w="120"/>
            </w:tcMar>
          </w:tcPr>
          <w:p>
            <w:r>
              <w:rPr>
                <w:b w:val="false"/>
                <w:bCs w:val="false"/>
              </w:rPr>
              <w:t xml:space="preserve">number</w:t>
            </w:r>
          </w:p>
        </w:tc>
        <w:tc>
          <w:tcPr>
            <w:tcW w:type="dxa" w:w="4200"/>
            <w:shd w:fill="EAF1F3" w:val="clear"/>
            <w:tcMar>
              <w:top w:type="dxa" w:w="80"/>
              <w:left w:type="dxa" w:w="120"/>
              <w:bottom w:type="dxa" w:w="80"/>
              <w:right w:type="dxa" w:w="120"/>
            </w:tcMar>
          </w:tcPr>
          <w:p>
            <w:r>
              <w:rPr>
                <w:b w:val="false"/>
                <w:bCs w:val="false"/>
              </w:rPr>
              <w:t xml:space="preserve">Used for the Phase 2 AI grading estimate</w:t>
            </w:r>
          </w:p>
        </w:tc>
      </w:tr>
      <w:tr>
        <w:tc>
          <w:tcPr>
            <w:tcW w:type="dxa" w:w="2600"/>
            <w:tcMar>
              <w:top w:type="dxa" w:w="80"/>
              <w:left w:type="dxa" w:w="120"/>
              <w:bottom w:type="dxa" w:w="80"/>
              <w:right w:type="dxa" w:w="120"/>
            </w:tcMar>
          </w:tcPr>
          <w:p>
            <w:r>
              <w:rPr>
                <w:b w:val="false"/>
                <w:bCs w:val="false"/>
              </w:rPr>
              <w:t xml:space="preserve">dueDate</w:t>
            </w:r>
          </w:p>
        </w:tc>
        <w:tc>
          <w:tcPr>
            <w:tcW w:type="dxa" w:w="1800"/>
            <w:tcMar>
              <w:top w:type="dxa" w:w="80"/>
              <w:left w:type="dxa" w:w="120"/>
              <w:bottom w:type="dxa" w:w="80"/>
              <w:right w:type="dxa" w:w="120"/>
            </w:tcMar>
          </w:tcPr>
          <w:p>
            <w:r>
              <w:rPr>
                <w:b w:val="false"/>
                <w:bCs w:val="false"/>
              </w:rPr>
              <w:t xml:space="preserve">timestamp</w:t>
            </w:r>
          </w:p>
        </w:tc>
        <w:tc>
          <w:tcPr>
            <w:tcW w:type="dxa" w:w="4200"/>
            <w:tcMar>
              <w:top w:type="dxa" w:w="80"/>
              <w:left w:type="dxa" w:w="120"/>
              <w:bottom w:type="dxa" w:w="80"/>
              <w:right w:type="dxa" w:w="120"/>
            </w:tcMar>
          </w:tcPr>
          <w:p>
            <w:r>
              <w:rPr>
                <w:b w:val="false"/>
                <w:bCs w:val="false"/>
              </w:rPr>
              <w:t xml:space="preserve">Shown to students; governs late-submission behaviour</w:t>
            </w:r>
          </w:p>
        </w:tc>
      </w:tr>
      <w:tr>
        <w:tc>
          <w:tcPr>
            <w:tcW w:type="dxa" w:w="2600"/>
            <w:shd w:fill="EAF1F3" w:val="clear"/>
            <w:tcMar>
              <w:top w:type="dxa" w:w="80"/>
              <w:left w:type="dxa" w:w="120"/>
              <w:bottom w:type="dxa" w:w="80"/>
              <w:right w:type="dxa" w:w="120"/>
            </w:tcMar>
          </w:tcPr>
          <w:p>
            <w:r>
              <w:rPr>
                <w:b w:val="false"/>
                <w:bCs w:val="false"/>
              </w:rPr>
              <w:t xml:space="preserve">allowLateSubmission</w:t>
            </w:r>
          </w:p>
        </w:tc>
        <w:tc>
          <w:tcPr>
            <w:tcW w:type="dxa" w:w="1800"/>
            <w:shd w:fill="EAF1F3" w:val="clear"/>
            <w:tcMar>
              <w:top w:type="dxa" w:w="80"/>
              <w:left w:type="dxa" w:w="120"/>
              <w:bottom w:type="dxa" w:w="80"/>
              <w:right w:type="dxa" w:w="120"/>
            </w:tcMar>
          </w:tcPr>
          <w:p>
            <w:r>
              <w:rPr>
                <w:b w:val="false"/>
                <w:bCs w:val="false"/>
              </w:rPr>
              <w:t xml:space="preserve">boolean</w:t>
            </w:r>
          </w:p>
        </w:tc>
        <w:tc>
          <w:tcPr>
            <w:tcW w:type="dxa" w:w="4200"/>
            <w:shd w:fill="EAF1F3" w:val="clear"/>
            <w:tcMar>
              <w:top w:type="dxa" w:w="80"/>
              <w:left w:type="dxa" w:w="120"/>
              <w:bottom w:type="dxa" w:w="80"/>
              <w:right w:type="dxa" w:w="120"/>
            </w:tcMar>
          </w:tcPr>
          <w:p>
            <w:r>
              <w:rPr>
                <w:b w:val="false"/>
                <w:bCs w:val="false"/>
              </w:rPr>
              <w:t xml:space="preserve">If false, submission form closes after dueDate</w:t>
            </w:r>
          </w:p>
        </w:tc>
      </w:tr>
      <w:tr>
        <w:tc>
          <w:tcPr>
            <w:tcW w:type="dxa" w:w="2600"/>
            <w:tcMar>
              <w:top w:type="dxa" w:w="80"/>
              <w:left w:type="dxa" w:w="120"/>
              <w:bottom w:type="dxa" w:w="80"/>
              <w:right w:type="dxa" w:w="120"/>
            </w:tcMar>
          </w:tcPr>
          <w:p>
            <w:r>
              <w:rPr>
                <w:b w:val="false"/>
                <w:bCs w:val="false"/>
              </w:rPr>
              <w:t xml:space="preserve">allowedFileTypes</w:t>
            </w:r>
          </w:p>
        </w:tc>
        <w:tc>
          <w:tcPr>
            <w:tcW w:type="dxa" w:w="1800"/>
            <w:tcMar>
              <w:top w:type="dxa" w:w="80"/>
              <w:left w:type="dxa" w:w="120"/>
              <w:bottom w:type="dxa" w:w="80"/>
              <w:right w:type="dxa" w:w="120"/>
            </w:tcMar>
          </w:tcPr>
          <w:p>
            <w:r>
              <w:rPr>
                <w:b w:val="false"/>
                <w:bCs w:val="false"/>
              </w:rPr>
              <w:t xml:space="preserve">text</w:t>
            </w:r>
          </w:p>
        </w:tc>
        <w:tc>
          <w:tcPr>
            <w:tcW w:type="dxa" w:w="4200"/>
            <w:tcMar>
              <w:top w:type="dxa" w:w="80"/>
              <w:left w:type="dxa" w:w="120"/>
              <w:bottom w:type="dxa" w:w="80"/>
              <w:right w:type="dxa" w:w="120"/>
            </w:tcMar>
          </w:tcPr>
          <w:p>
            <w:r>
              <w:rPr>
                <w:b w:val="false"/>
                <w:bCs w:val="false"/>
              </w:rPr>
              <w:t xml:space="preserve">e.g. "pdf" or "pdf,docx"</w:t>
            </w:r>
          </w:p>
        </w:tc>
      </w:tr>
      <w:tr>
        <w:tc>
          <w:tcPr>
            <w:tcW w:type="dxa" w:w="2600"/>
            <w:shd w:fill="EAF1F3" w:val="clear"/>
            <w:tcMar>
              <w:top w:type="dxa" w:w="80"/>
              <w:left w:type="dxa" w:w="120"/>
              <w:bottom w:type="dxa" w:w="80"/>
              <w:right w:type="dxa" w:w="120"/>
            </w:tcMar>
          </w:tcPr>
          <w:p>
            <w:r>
              <w:rPr>
                <w:b w:val="false"/>
                <w:bCs w:val="false"/>
              </w:rPr>
              <w:t xml:space="preserve">shareableLink</w:t>
            </w:r>
          </w:p>
        </w:tc>
        <w:tc>
          <w:tcPr>
            <w:tcW w:type="dxa" w:w="1800"/>
            <w:shd w:fill="EAF1F3" w:val="clear"/>
            <w:tcMar>
              <w:top w:type="dxa" w:w="80"/>
              <w:left w:type="dxa" w:w="120"/>
              <w:bottom w:type="dxa" w:w="80"/>
              <w:right w:type="dxa" w:w="120"/>
            </w:tcMar>
          </w:tcPr>
          <w:p>
            <w:r>
              <w:rPr>
                <w:b w:val="false"/>
                <w:bCs w:val="false"/>
              </w:rPr>
              <w:t xml:space="preserve">text</w:t>
            </w:r>
          </w:p>
        </w:tc>
        <w:tc>
          <w:tcPr>
            <w:tcW w:type="dxa" w:w="4200"/>
            <w:shd w:fill="EAF1F3" w:val="clear"/>
            <w:tcMar>
              <w:top w:type="dxa" w:w="80"/>
              <w:left w:type="dxa" w:w="120"/>
              <w:bottom w:type="dxa" w:w="80"/>
              <w:right w:type="dxa" w:w="120"/>
            </w:tcMar>
          </w:tcPr>
          <w:p>
            <w:r>
              <w:rPr>
                <w:b w:val="false"/>
                <w:bCs w:val="false"/>
              </w:rPr>
              <w:t xml:space="preserve">Full absolute http(s):// URL — never localhost or relative</w:t>
            </w:r>
          </w:p>
        </w:tc>
      </w:tr>
      <w:tr>
        <w:tc>
          <w:tcPr>
            <w:tcW w:type="dxa" w:w="2600"/>
            <w:tcMar>
              <w:top w:type="dxa" w:w="80"/>
              <w:left w:type="dxa" w:w="120"/>
              <w:bottom w:type="dxa" w:w="80"/>
              <w:right w:type="dxa" w:w="120"/>
            </w:tcMar>
          </w:tcPr>
          <w:p>
            <w:r>
              <w:rPr>
                <w:b w:val="false"/>
                <w:bCs w:val="false"/>
              </w:rPr>
              <w:t xml:space="preserve">teacherId</w:t>
            </w:r>
          </w:p>
        </w:tc>
        <w:tc>
          <w:tcPr>
            <w:tcW w:type="dxa" w:w="1800"/>
            <w:tcMar>
              <w:top w:type="dxa" w:w="80"/>
              <w:left w:type="dxa" w:w="120"/>
              <w:bottom w:type="dxa" w:w="80"/>
              <w:right w:type="dxa" w:w="120"/>
            </w:tcMar>
          </w:tcPr>
          <w:p>
            <w:r>
              <w:rPr>
                <w:b w:val="false"/>
                <w:bCs w:val="false"/>
              </w:rPr>
              <w:t xml:space="preserve">reference → Teacher</w:t>
            </w:r>
          </w:p>
        </w:tc>
        <w:tc>
          <w:tcPr>
            <w:tcW w:type="dxa" w:w="4200"/>
            <w:tcMar>
              <w:top w:type="dxa" w:w="80"/>
              <w:left w:type="dxa" w:w="120"/>
              <w:bottom w:type="dxa" w:w="80"/>
              <w:right w:type="dxa" w:w="120"/>
            </w:tcMar>
          </w:tcPr>
          <w:p>
            <w:r>
              <w:rPr>
                <w:b w:val="false"/>
                <w:bCs w:val="false"/>
              </w:rPr>
              <w:t xml:space="preserve">Owner of the assignment</w:t>
            </w:r>
          </w:p>
        </w:tc>
      </w:tr>
      <w:tr>
        <w:tc>
          <w:tcPr>
            <w:tcW w:type="dxa" w:w="2600"/>
            <w:shd w:fill="EAF1F3" w:val="clear"/>
            <w:tcMar>
              <w:top w:type="dxa" w:w="80"/>
              <w:left w:type="dxa" w:w="120"/>
              <w:bottom w:type="dxa" w:w="80"/>
              <w:right w:type="dxa" w:w="120"/>
            </w:tcMar>
          </w:tcPr>
          <w:p>
            <w:r>
              <w:rPr>
                <w:b w:val="false"/>
                <w:bCs w:val="false"/>
              </w:rPr>
              <w:t xml:space="preserve">createdAt</w:t>
            </w:r>
          </w:p>
        </w:tc>
        <w:tc>
          <w:tcPr>
            <w:tcW w:type="dxa" w:w="1800"/>
            <w:shd w:fill="EAF1F3" w:val="clear"/>
            <w:tcMar>
              <w:top w:type="dxa" w:w="80"/>
              <w:left w:type="dxa" w:w="120"/>
              <w:bottom w:type="dxa" w:w="80"/>
              <w:right w:type="dxa" w:w="120"/>
            </w:tcMar>
          </w:tcPr>
          <w:p>
            <w:r>
              <w:rPr>
                <w:b w:val="false"/>
                <w:bCs w:val="false"/>
              </w:rPr>
              <w:t xml:space="preserve">timestamp</w:t>
            </w:r>
          </w:p>
        </w:tc>
        <w:tc>
          <w:tcPr>
            <w:tcW w:type="dxa" w:w="4200"/>
            <w:shd w:fill="EAF1F3" w:val="clear"/>
            <w:tcMar>
              <w:top w:type="dxa" w:w="80"/>
              <w:left w:type="dxa" w:w="120"/>
              <w:bottom w:type="dxa" w:w="80"/>
              <w:right w:type="dxa" w:w="120"/>
            </w:tcMar>
          </w:tcPr>
          <w:p>
            <w:r>
              <w:rPr>
                <w:b w:val="false"/>
                <w:bCs w:val="false"/>
              </w:rPr>
              <w:t xml:space="preserve">Auto-set on creation</w:t>
            </w:r>
          </w:p>
        </w:tc>
      </w:tr>
    </w:tbl>
    <w:p>
      <w:pPr>
        <w:spacing w:after="100" w:before="200"/>
      </w:pPr>
      <w:r>
        <w:rPr>
          <w:b/>
          <w:bCs/>
        </w:rPr>
        <w:t xml:space="preserve">Submission (Phase 1 base + later additions)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5F" w:val="clear"/>
            <w:tcMar>
              <w:top w:type="dxa" w:w="80"/>
              <w:left w:type="dxa" w:w="120"/>
              <w:bottom w:type="dxa" w:w="80"/>
              <w:right w:type="dxa" w:w="120"/>
            </w:tcMar>
          </w:tcPr>
          <w:p>
            <w:r>
              <w:rPr>
                <w:b/>
                <w:bCs/>
                <w:color w:val="FFFFFF"/>
              </w:rPr>
              <w:t xml:space="preserve">Field</w:t>
            </w:r>
          </w:p>
        </w:tc>
        <w:tc>
          <w:tcPr>
            <w:tcW w:type="dxa" w:w="1800"/>
            <w:shd w:fill="1F4E5F" w:val="clear"/>
            <w:tcMar>
              <w:top w:type="dxa" w:w="80"/>
              <w:left w:type="dxa" w:w="120"/>
              <w:bottom w:type="dxa" w:w="80"/>
              <w:right w:type="dxa" w:w="120"/>
            </w:tcMar>
          </w:tcPr>
          <w:p>
            <w:r>
              <w:rPr>
                <w:b/>
                <w:bCs/>
                <w:color w:val="FFFFFF"/>
              </w:rPr>
              <w:t xml:space="preserve">Type</w:t>
            </w:r>
          </w:p>
        </w:tc>
        <w:tc>
          <w:tcPr>
            <w:tcW w:type="dxa" w:w="4200"/>
            <w:shd w:fill="1F4E5F" w:val="clear"/>
            <w:tcMar>
              <w:top w:type="dxa" w:w="80"/>
              <w:left w:type="dxa" w:w="120"/>
              <w:bottom w:type="dxa" w:w="80"/>
              <w:right w:type="dxa" w:w="120"/>
            </w:tcMar>
          </w:tcPr>
          <w:p>
            <w:r>
              <w:rPr>
                <w:b/>
                <w:bCs/>
                <w:color w:val="FFFFFF"/>
              </w:rPr>
              <w:t xml:space="preserve">Notes</w:t>
            </w:r>
          </w:p>
        </w:tc>
      </w:tr>
      <w:tr>
        <w:tc>
          <w:tcPr>
            <w:tcW w:type="dxa" w:w="2600"/>
            <w:tcMar>
              <w:top w:type="dxa" w:w="80"/>
              <w:left w:type="dxa" w:w="120"/>
              <w:bottom w:type="dxa" w:w="80"/>
              <w:right w:type="dxa" w:w="120"/>
            </w:tcMar>
          </w:tcPr>
          <w:p>
            <w:r>
              <w:rPr>
                <w:b w:val="false"/>
                <w:bCs w:val="false"/>
              </w:rPr>
              <w:t xml:space="preserve">assignmentId</w:t>
            </w:r>
          </w:p>
        </w:tc>
        <w:tc>
          <w:tcPr>
            <w:tcW w:type="dxa" w:w="1800"/>
            <w:tcMar>
              <w:top w:type="dxa" w:w="80"/>
              <w:left w:type="dxa" w:w="120"/>
              <w:bottom w:type="dxa" w:w="80"/>
              <w:right w:type="dxa" w:w="120"/>
            </w:tcMar>
          </w:tcPr>
          <w:p>
            <w:r>
              <w:rPr>
                <w:b w:val="false"/>
                <w:bCs w:val="false"/>
              </w:rPr>
              <w:t xml:space="preserve">reference → Assignment</w:t>
            </w:r>
          </w:p>
        </w:tc>
        <w:tc>
          <w:tcPr>
            <w:tcW w:type="dxa" w:w="4200"/>
            <w:tcMar>
              <w:top w:type="dxa" w:w="80"/>
              <w:left w:type="dxa" w:w="120"/>
              <w:bottom w:type="dxa" w:w="80"/>
              <w:right w:type="dxa" w:w="120"/>
            </w:tcMar>
          </w:tcPr>
          <w:p>
            <w:r>
              <w:rPr>
                <w:b w:val="false"/>
                <w:bCs w:val="false"/>
              </w:rPr>
              <w:t xml:space="preserve">Which assignment this belongs to</w:t>
            </w:r>
          </w:p>
        </w:tc>
      </w:tr>
      <w:tr>
        <w:tc>
          <w:tcPr>
            <w:tcW w:type="dxa" w:w="2600"/>
            <w:shd w:fill="EAF1F3" w:val="clear"/>
            <w:tcMar>
              <w:top w:type="dxa" w:w="80"/>
              <w:left w:type="dxa" w:w="120"/>
              <w:bottom w:type="dxa" w:w="80"/>
              <w:right w:type="dxa" w:w="120"/>
            </w:tcMar>
          </w:tcPr>
          <w:p>
            <w:r>
              <w:rPr>
                <w:b w:val="false"/>
                <w:bCs w:val="false"/>
              </w:rPr>
              <w:t xml:space="preserve">studentName</w:t>
            </w:r>
          </w:p>
        </w:tc>
        <w:tc>
          <w:tcPr>
            <w:tcW w:type="dxa" w:w="1800"/>
            <w:shd w:fill="EAF1F3" w:val="clear"/>
            <w:tcMar>
              <w:top w:type="dxa" w:w="80"/>
              <w:left w:type="dxa" w:w="120"/>
              <w:bottom w:type="dxa" w:w="80"/>
              <w:right w:type="dxa" w:w="120"/>
            </w:tcMar>
          </w:tcPr>
          <w:p>
            <w:r>
              <w:rPr>
                <w:b w:val="false"/>
                <w:bCs w:val="false"/>
              </w:rPr>
              <w:t xml:space="preserve">text</w:t>
            </w:r>
          </w:p>
        </w:tc>
        <w:tc>
          <w:tcPr>
            <w:tcW w:type="dxa" w:w="4200"/>
            <w:shd w:fill="EAF1F3" w:val="clear"/>
            <w:tcMar>
              <w:top w:type="dxa" w:w="80"/>
              <w:left w:type="dxa" w:w="120"/>
              <w:bottom w:type="dxa" w:w="80"/>
              <w:right w:type="dxa" w:w="120"/>
            </w:tcMar>
          </w:tcPr>
          <w:p>
            <w:r>
              <w:rPr>
                <w:b w:val="false"/>
                <w:bCs w:val="false"/>
              </w:rPr>
              <w:t xml:space="preserve">Entered by student at submission time</w:t>
            </w:r>
          </w:p>
        </w:tc>
      </w:tr>
      <w:tr>
        <w:tc>
          <w:tcPr>
            <w:tcW w:type="dxa" w:w="2600"/>
            <w:tcMar>
              <w:top w:type="dxa" w:w="80"/>
              <w:left w:type="dxa" w:w="120"/>
              <w:bottom w:type="dxa" w:w="80"/>
              <w:right w:type="dxa" w:w="120"/>
            </w:tcMar>
          </w:tcPr>
          <w:p>
            <w:r>
              <w:rPr>
                <w:b w:val="false"/>
                <w:bCs w:val="false"/>
              </w:rPr>
              <w:t xml:space="preserve">rollNumber</w:t>
            </w:r>
          </w:p>
        </w:tc>
        <w:tc>
          <w:tcPr>
            <w:tcW w:type="dxa" w:w="1800"/>
            <w:tcMar>
              <w:top w:type="dxa" w:w="80"/>
              <w:left w:type="dxa" w:w="120"/>
              <w:bottom w:type="dxa" w:w="80"/>
              <w:right w:type="dxa" w:w="120"/>
            </w:tcMar>
          </w:tcPr>
          <w:p>
            <w:r>
              <w:rPr>
                <w:b w:val="false"/>
                <w:bCs w:val="false"/>
              </w:rPr>
              <w:t xml:space="preserve">text</w:t>
            </w:r>
          </w:p>
        </w:tc>
        <w:tc>
          <w:tcPr>
            <w:tcW w:type="dxa" w:w="4200"/>
            <w:tcMar>
              <w:top w:type="dxa" w:w="80"/>
              <w:left w:type="dxa" w:w="120"/>
              <w:bottom w:type="dxa" w:w="80"/>
              <w:right w:type="dxa" w:w="120"/>
            </w:tcMar>
          </w:tcPr>
          <w:p>
            <w:r>
              <w:rPr>
                <w:b w:val="false"/>
                <w:bCs w:val="false"/>
              </w:rPr>
              <w:t xml:space="preserve">Used to detect and overwrite resubmissions</w:t>
            </w:r>
          </w:p>
        </w:tc>
      </w:tr>
      <w:tr>
        <w:tc>
          <w:tcPr>
            <w:tcW w:type="dxa" w:w="2600"/>
            <w:shd w:fill="EAF1F3" w:val="clear"/>
            <w:tcMar>
              <w:top w:type="dxa" w:w="80"/>
              <w:left w:type="dxa" w:w="120"/>
              <w:bottom w:type="dxa" w:w="80"/>
              <w:right w:type="dxa" w:w="120"/>
            </w:tcMar>
          </w:tcPr>
          <w:p>
            <w:r>
              <w:rPr>
                <w:b w:val="false"/>
                <w:bCs w:val="false"/>
              </w:rPr>
              <w:t xml:space="preserve">fileUrl</w:t>
            </w:r>
          </w:p>
        </w:tc>
        <w:tc>
          <w:tcPr>
            <w:tcW w:type="dxa" w:w="1800"/>
            <w:shd w:fill="EAF1F3" w:val="clear"/>
            <w:tcMar>
              <w:top w:type="dxa" w:w="80"/>
              <w:left w:type="dxa" w:w="120"/>
              <w:bottom w:type="dxa" w:w="80"/>
              <w:right w:type="dxa" w:w="120"/>
            </w:tcMar>
          </w:tcPr>
          <w:p>
            <w:r>
              <w:rPr>
                <w:b w:val="false"/>
                <w:bCs w:val="false"/>
              </w:rPr>
              <w:t xml:space="preserve">text</w:t>
            </w:r>
          </w:p>
        </w:tc>
        <w:tc>
          <w:tcPr>
            <w:tcW w:type="dxa" w:w="4200"/>
            <w:shd w:fill="EAF1F3" w:val="clear"/>
            <w:tcMar>
              <w:top w:type="dxa" w:w="80"/>
              <w:left w:type="dxa" w:w="120"/>
              <w:bottom w:type="dxa" w:w="80"/>
              <w:right w:type="dxa" w:w="120"/>
            </w:tcMar>
          </w:tcPr>
          <w:p>
            <w:r>
              <w:rPr>
                <w:b w:val="false"/>
                <w:bCs w:val="false"/>
              </w:rPr>
              <w:t xml:space="preserve">Supabase Storage URL of the uploaded file</w:t>
            </w:r>
          </w:p>
        </w:tc>
      </w:tr>
      <w:tr>
        <w:tc>
          <w:tcPr>
            <w:tcW w:type="dxa" w:w="2600"/>
            <w:tcMar>
              <w:top w:type="dxa" w:w="80"/>
              <w:left w:type="dxa" w:w="120"/>
              <w:bottom w:type="dxa" w:w="80"/>
              <w:right w:type="dxa" w:w="120"/>
            </w:tcMar>
          </w:tcPr>
          <w:p>
            <w:r>
              <w:rPr>
                <w:b w:val="false"/>
                <w:bCs w:val="false"/>
              </w:rPr>
              <w:t xml:space="preserve">submittedAt</w:t>
            </w:r>
          </w:p>
        </w:tc>
        <w:tc>
          <w:tcPr>
            <w:tcW w:type="dxa" w:w="1800"/>
            <w:tcMar>
              <w:top w:type="dxa" w:w="80"/>
              <w:left w:type="dxa" w:w="120"/>
              <w:bottom w:type="dxa" w:w="80"/>
              <w:right w:type="dxa" w:w="120"/>
            </w:tcMar>
          </w:tcPr>
          <w:p>
            <w:r>
              <w:rPr>
                <w:b w:val="false"/>
                <w:bCs w:val="false"/>
              </w:rPr>
              <w:t xml:space="preserve">timestamp</w:t>
            </w:r>
          </w:p>
        </w:tc>
        <w:tc>
          <w:tcPr>
            <w:tcW w:type="dxa" w:w="4200"/>
            <w:tcMar>
              <w:top w:type="dxa" w:w="80"/>
              <w:left w:type="dxa" w:w="120"/>
              <w:bottom w:type="dxa" w:w="80"/>
              <w:right w:type="dxa" w:w="120"/>
            </w:tcMar>
          </w:tcPr>
          <w:p>
            <w:r>
              <w:rPr>
                <w:b w:val="false"/>
                <w:bCs w:val="false"/>
              </w:rPr>
              <w:t xml:space="preserve">Updated on resubmission, not duplicated</w:t>
            </w:r>
          </w:p>
        </w:tc>
      </w:tr>
      <w:tr>
        <w:tc>
          <w:tcPr>
            <w:tcW w:type="dxa" w:w="2600"/>
            <w:shd w:fill="EAF1F3" w:val="clear"/>
            <w:tcMar>
              <w:top w:type="dxa" w:w="80"/>
              <w:left w:type="dxa" w:w="120"/>
              <w:bottom w:type="dxa" w:w="80"/>
              <w:right w:type="dxa" w:w="120"/>
            </w:tcMar>
          </w:tcPr>
          <w:p>
            <w:r>
              <w:rPr>
                <w:b w:val="false"/>
                <w:bCs w:val="false"/>
              </w:rPr>
              <w:t xml:space="preserve">aiEstimatedMarks / aiSummary / aiReasoning</w:t>
            </w:r>
          </w:p>
        </w:tc>
        <w:tc>
          <w:tcPr>
            <w:tcW w:type="dxa" w:w="1800"/>
            <w:shd w:fill="EAF1F3" w:val="clear"/>
            <w:tcMar>
              <w:top w:type="dxa" w:w="80"/>
              <w:left w:type="dxa" w:w="120"/>
              <w:bottom w:type="dxa" w:w="80"/>
              <w:right w:type="dxa" w:w="120"/>
            </w:tcMar>
          </w:tcPr>
          <w:p>
            <w:r>
              <w:rPr>
                <w:b w:val="false"/>
                <w:bCs w:val="false"/>
              </w:rPr>
              <w:t xml:space="preserve">—</w:t>
            </w:r>
          </w:p>
        </w:tc>
        <w:tc>
          <w:tcPr>
            <w:tcW w:type="dxa" w:w="4200"/>
            <w:shd w:fill="EAF1F3" w:val="clear"/>
            <w:tcMar>
              <w:top w:type="dxa" w:w="80"/>
              <w:left w:type="dxa" w:w="120"/>
              <w:bottom w:type="dxa" w:w="80"/>
              <w:right w:type="dxa" w:w="120"/>
            </w:tcMar>
          </w:tcPr>
          <w:p>
            <w:r>
              <w:rPr>
                <w:b w:val="false"/>
                <w:bCs w:val="false"/>
              </w:rPr>
              <w:t xml:space="preserve">Added in Phase 2</w:t>
            </w:r>
          </w:p>
        </w:tc>
      </w:tr>
      <w:tr>
        <w:tc>
          <w:tcPr>
            <w:tcW w:type="dxa" w:w="2600"/>
            <w:tcMar>
              <w:top w:type="dxa" w:w="80"/>
              <w:left w:type="dxa" w:w="120"/>
              <w:bottom w:type="dxa" w:w="80"/>
              <w:right w:type="dxa" w:w="120"/>
            </w:tcMar>
          </w:tcPr>
          <w:p>
            <w:r>
              <w:rPr>
                <w:b w:val="false"/>
                <w:bCs w:val="false"/>
              </w:rPr>
              <w:t xml:space="preserve">teacherFinalMarks / gradingStatus</w:t>
            </w:r>
          </w:p>
        </w:tc>
        <w:tc>
          <w:tcPr>
            <w:tcW w:type="dxa" w:w="1800"/>
            <w:tcMar>
              <w:top w:type="dxa" w:w="80"/>
              <w:left w:type="dxa" w:w="120"/>
              <w:bottom w:type="dxa" w:w="80"/>
              <w:right w:type="dxa" w:w="120"/>
            </w:tcMar>
          </w:tcPr>
          <w:p>
            <w:r>
              <w:rPr>
                <w:b w:val="false"/>
                <w:bCs w:val="false"/>
              </w:rPr>
              <w:t xml:space="preserve">—</w:t>
            </w:r>
          </w:p>
        </w:tc>
        <w:tc>
          <w:tcPr>
            <w:tcW w:type="dxa" w:w="4200"/>
            <w:tcMar>
              <w:top w:type="dxa" w:w="80"/>
              <w:left w:type="dxa" w:w="120"/>
              <w:bottom w:type="dxa" w:w="80"/>
              <w:right w:type="dxa" w:w="120"/>
            </w:tcMar>
          </w:tcPr>
          <w:p>
            <w:r>
              <w:rPr>
                <w:b w:val="false"/>
                <w:bCs w:val="false"/>
              </w:rPr>
              <w:t xml:space="preserve">Added in Phase 2</w:t>
            </w:r>
          </w:p>
        </w:tc>
      </w:tr>
      <w:tr>
        <w:tc>
          <w:tcPr>
            <w:tcW w:type="dxa" w:w="2600"/>
            <w:shd w:fill="EAF1F3" w:val="clear"/>
            <w:tcMar>
              <w:top w:type="dxa" w:w="80"/>
              <w:left w:type="dxa" w:w="120"/>
              <w:bottom w:type="dxa" w:w="80"/>
              <w:right w:type="dxa" w:w="120"/>
            </w:tcMar>
          </w:tcPr>
          <w:p>
            <w:r>
              <w:rPr>
                <w:b w:val="false"/>
                <w:bCs w:val="false"/>
              </w:rPr>
              <w:t xml:space="preserve">aiDetectionScore / aiDetectionStatus</w:t>
            </w:r>
          </w:p>
        </w:tc>
        <w:tc>
          <w:tcPr>
            <w:tcW w:type="dxa" w:w="1800"/>
            <w:shd w:fill="EAF1F3" w:val="clear"/>
            <w:tcMar>
              <w:top w:type="dxa" w:w="80"/>
              <w:left w:type="dxa" w:w="120"/>
              <w:bottom w:type="dxa" w:w="80"/>
              <w:right w:type="dxa" w:w="120"/>
            </w:tcMar>
          </w:tcPr>
          <w:p>
            <w:r>
              <w:rPr>
                <w:b w:val="false"/>
                <w:bCs w:val="false"/>
              </w:rPr>
              <w:t xml:space="preserve">—</w:t>
            </w:r>
          </w:p>
        </w:tc>
        <w:tc>
          <w:tcPr>
            <w:tcW w:type="dxa" w:w="4200"/>
            <w:shd w:fill="EAF1F3" w:val="clear"/>
            <w:tcMar>
              <w:top w:type="dxa" w:w="80"/>
              <w:left w:type="dxa" w:w="120"/>
              <w:bottom w:type="dxa" w:w="80"/>
              <w:right w:type="dxa" w:w="120"/>
            </w:tcMar>
          </w:tcPr>
          <w:p>
            <w:r>
              <w:rPr>
                <w:b w:val="false"/>
                <w:bCs w:val="false"/>
              </w:rPr>
              <w:t xml:space="preserve">Added in Phase 3</w:t>
            </w:r>
          </w:p>
        </w:tc>
      </w:tr>
    </w:tbl>
    <w:p>
      <w:pPr>
        <w:pStyle w:val="Heading1"/>
        <w:spacing w:after="160" w:before="360"/>
      </w:pPr>
      <w:r>
        <w:t xml:space="preserve">8. Success Criteria</w:t>
      </w:r>
    </w:p>
    <w:p>
      <w:pPr>
        <w:pStyle w:val="ListParagraph"/>
        <w:numPr>
          <w:ilvl w:val="0"/>
          <w:numId w:val="2"/>
        </w:numPr>
        <w:spacing w:after="80"/>
      </w:pPr>
      <w:r>
        <w:t xml:space="preserve">A teacher can log in, fill in full assignment context (college, subject, instructions, questions, due date, etc.), and receive a working absolute shareable link and QR code within the same flow.</w:t>
      </w:r>
    </w:p>
    <w:p>
      <w:pPr>
        <w:pStyle w:val="ListParagraph"/>
        <w:numPr>
          <w:ilvl w:val="0"/>
          <w:numId w:val="2"/>
        </w:numPr>
        <w:spacing w:after="80"/>
      </w:pPr>
      <w:r>
        <w:t xml:space="preserve">The generated link is always a full http(s):// URL that opens correctly from a different device on a different network — confirming it is not tied to localhost or the teacher's local machine.</w:t>
      </w:r>
    </w:p>
    <w:p>
      <w:pPr>
        <w:pStyle w:val="ListParagraph"/>
        <w:numPr>
          <w:ilvl w:val="0"/>
          <w:numId w:val="2"/>
        </w:numPr>
        <w:spacing w:after="80"/>
      </w:pPr>
      <w:r>
        <w:t xml:space="preserve">A student can open the link/QR, see all assignment context, submit a PDF, and get a success confirmation; a second submission with the same roll number overwrites the first rather than duplicating it.</w:t>
      </w:r>
    </w:p>
    <w:p>
      <w:pPr>
        <w:pStyle w:val="ListParagraph"/>
        <w:numPr>
          <w:ilvl w:val="0"/>
          <w:numId w:val="2"/>
        </w:numPr>
        <w:spacing w:after="80"/>
      </w:pPr>
      <w:r>
        <w:t xml:space="preserve">Phase 2: submissions receive an AI-estimated mark and summary, and the teacher can accept or override it before it becomes final.</w:t>
      </w:r>
    </w:p>
    <w:p>
      <w:pPr>
        <w:pStyle w:val="ListParagraph"/>
        <w:numPr>
          <w:ilvl w:val="0"/>
          <w:numId w:val="2"/>
        </w:numPr>
        <w:spacing w:after="80"/>
      </w:pPr>
      <w:r>
        <w:t xml:space="preserve">Phase 3: submissions receive an AI-likelihood percentage flag, key rotation continues to function even if one Sapling key is exhausted, and a failed detection never blocks a submission from being accepted.</w:t>
      </w:r>
    </w:p>
    <w:p>
      <w:pPr>
        <w:pStyle w:val="ListParagraph"/>
        <w:numPr>
          <w:ilvl w:val="0"/>
          <w:numId w:val="2"/>
        </w:numPr>
        <w:spacing w:after="80"/>
      </w:pPr>
      <w:r>
        <w:t xml:space="preserve">The full codebase can be explained file-by-file and function-by-function in a viva, with no component the student cannot justify or walk through.</w:t>
      </w:r>
    </w:p>
    <w:p>
      <w:pPr>
        <w:pStyle w:val="ListParagraph"/>
        <w:numPr>
          <w:ilvl w:val="0"/>
          <w:numId w:val="2"/>
        </w:numPr>
        <w:spacing w:after="80"/>
      </w:pPr>
      <w:r>
        <w:t xml:space="preserve">No secrets appear in source code; .env.example is present and .env is gitignored.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SubmitBridge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0d811894617a5ee1f5c6dc6f346f0c3415f3e7.png"/><Relationship Id="rId10" Type="http://schemas.openxmlformats.org/officeDocument/2006/relationships/image" Target="media/8ebc60b1682c167b9c95156c3e11f53883bc2ffc.png"/><Relationship Id="rId11" Type="http://schemas.openxmlformats.org/officeDocument/2006/relationships/image" Target="media/28ff36a54fcc251b5522dec373e32bb9bc4e6c7f.png"/><Relationship Id="rId12" Type="http://schemas.openxmlformats.org/officeDocument/2006/relationships/image" Target="media/50fd861982a1953b68a0b8003ce879e8cd92305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2026-09-06T06:45:08.791Z</dcterms:created>
  <dcterms:modified xsi:type="dcterms:W3CDTF">2026-09-06T06:45:08.803Z</dcterms:modified>
</cp:coreProperties>
</file>

<file path=docProps/custom.xml><?xml version="1.0" encoding="utf-8"?>
<Properties xmlns="http://schemas.openxmlformats.org/officeDocument/2006/custom-properties" xmlns:vt="http://schemas.openxmlformats.org/officeDocument/2006/docPropsVTypes"/>
</file>