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BA1BA09" w14:textId="77777777" w:rsidR="0022233B" w:rsidRDefault="0022233B" w:rsidP="0022233B">
      <w:r>
        <w:t>Subject: Category labels in the growth forecast — why the counts use probabilities rather than the median projection</w:t>
      </w:r>
    </w:p>
    <w:p w14:paraId="166AC4BD" w14:textId="77777777" w:rsidR="0022233B" w:rsidRDefault="0022233B" w:rsidP="0022233B"/>
    <w:p w14:paraId="190A357E" w14:textId="77777777" w:rsidR="0022233B" w:rsidRDefault="0022233B" w:rsidP="0022233B">
      <w:r>
        <w:t>Hi [Name],</w:t>
      </w:r>
    </w:p>
    <w:p w14:paraId="37B2EA68" w14:textId="77777777" w:rsidR="0022233B" w:rsidRDefault="0022233B" w:rsidP="0022233B"/>
    <w:p w14:paraId="65D76422" w14:textId="77777777" w:rsidR="0022233B" w:rsidRDefault="0022233B" w:rsidP="0022233B">
      <w:r>
        <w:t xml:space="preserve">The point the field raised is a fair one: on the institution lists, a credit union's projected category and its median projected assets don't always agree. A credit union can show a median of $11.8B and still be listed in $1B–$10B. That looks like an </w:t>
      </w:r>
      <w:proofErr w:type="gramStart"/>
      <w:r>
        <w:t>error</w:t>
      </w:r>
      <w:proofErr w:type="gramEnd"/>
      <w:r>
        <w:t xml:space="preserve"> and it isn't, but it deserves a proper explanation and a decision.</w:t>
      </w:r>
    </w:p>
    <w:p w14:paraId="132949B7" w14:textId="77777777" w:rsidR="0022233B" w:rsidRDefault="0022233B" w:rsidP="0022233B"/>
    <w:p w14:paraId="31FDB165" w14:textId="77777777" w:rsidR="0022233B" w:rsidRDefault="0022233B" w:rsidP="0022233B">
      <w:r>
        <w:t>What the two rules are</w:t>
      </w:r>
    </w:p>
    <w:p w14:paraId="6C8B4735" w14:textId="77777777" w:rsidR="0022233B" w:rsidRDefault="0022233B" w:rsidP="0022233B"/>
    <w:p w14:paraId="36379C17" w14:textId="77777777" w:rsidR="0022233B" w:rsidRDefault="0022233B" w:rsidP="0022233B">
      <w:r>
        <w:t>The median projection is a single point: the middle of the range of sizes that credit unions of that size have historically reached. The category count is built differently — each institution contributes a probability to each category (0.48 to $10B and over, 0.52 to $1B–$10B, say), and the count is the sum of those probabilities across all institutions. Labelling every institution by where its median falls, and counting those labels, is the alternative the field is effectively asking for.</w:t>
      </w:r>
    </w:p>
    <w:p w14:paraId="0E6BDE1F" w14:textId="77777777" w:rsidR="0022233B" w:rsidRDefault="0022233B" w:rsidP="0022233B"/>
    <w:p w14:paraId="5B3514D7" w14:textId="77777777" w:rsidR="0022233B" w:rsidRDefault="0022233B" w:rsidP="0022233B">
      <w:r>
        <w:t>Why the counts use probabilities</w:t>
      </w:r>
    </w:p>
    <w:p w14:paraId="1E6D642F" w14:textId="77777777" w:rsidR="0022233B" w:rsidRDefault="0022233B" w:rsidP="0022233B"/>
    <w:p w14:paraId="65A91E03" w14:textId="77777777" w:rsidR="0022233B" w:rsidRDefault="0022233B" w:rsidP="0022233B">
      <w:r>
        <w:t>1. The median throws away the information that matters most at a boundary. Two credit unions can have the same median projection and very different chances of crossing a line, because one has a much wider range of plausible outcomes than the other. The probability uses the whole distribution of historical outcomes; the median uses one point from it and discards the rest.</w:t>
      </w:r>
    </w:p>
    <w:p w14:paraId="23F1491C" w14:textId="77777777" w:rsidR="0022233B" w:rsidRDefault="0022233B" w:rsidP="0022233B"/>
    <w:p w14:paraId="7A8E7FD9" w14:textId="77777777" w:rsidR="0022233B" w:rsidRDefault="0022233B" w:rsidP="0022233B">
      <w:r>
        <w:t xml:space="preserve">2. Counting medians treats a coin flip as a certainty. A credit union with a 0.48 chance of passing $10B contributes 0.48 to the count under the current method. Under the median rule it contributes either 1 or 0 depending on which side of the line its midpoint happens to fall. Across hundreds of institutions near boundaries, those </w:t>
      </w:r>
      <w:proofErr w:type="spellStart"/>
      <w:r>
        <w:t>roundings</w:t>
      </w:r>
      <w:proofErr w:type="spellEnd"/>
      <w:r>
        <w:t xml:space="preserve"> do not cancel — </w:t>
      </w:r>
      <w:r>
        <w:lastRenderedPageBreak/>
        <w:t>they systematically inflate whichever direction the midpoints lean, which at every threshold is upward.</w:t>
      </w:r>
    </w:p>
    <w:p w14:paraId="47CBAF61" w14:textId="77777777" w:rsidR="0022233B" w:rsidRDefault="0022233B" w:rsidP="0022233B"/>
    <w:p w14:paraId="6C13E657" w14:textId="77777777" w:rsidR="0022233B" w:rsidRDefault="0022233B" w:rsidP="0022233B">
      <w:r>
        <w:t>3. The median rule implicitly assumes every institution grows at the typical rate, and history says they don't. Of the credit unions that started a five-year window between $8B and $10B since 2011, about seven in ten had crossed $10B five years later — not ten in ten. The median rule builds in the ten-in-ten assumption. The probability method reproduces the seven in ten, because that is what the historical distribution contains.</w:t>
      </w:r>
    </w:p>
    <w:p w14:paraId="52788A18" w14:textId="77777777" w:rsidR="0022233B" w:rsidRDefault="0022233B" w:rsidP="0022233B"/>
    <w:p w14:paraId="7556A989" w14:textId="77777777" w:rsidR="0022233B" w:rsidRDefault="0022233B" w:rsidP="0022233B">
      <w:r>
        <w:t>4. It is the only version we can correct with evidence. Testing the method against past outcomes showed that it projected roughly twice as many credit unions crossing $10B as actually did, while institutions already above the line were projected almost exactly right. The published figures scale down the probability of crossing accordingly. That correction can only be applied to probabilities; a median has nothing to scale. Switching to median labels would raise the projected $10B-and-over count from 42 to about 59 — back to the figure the validation work told us was too high.</w:t>
      </w:r>
    </w:p>
    <w:p w14:paraId="18B2DF6A" w14:textId="77777777" w:rsidR="0022233B" w:rsidRDefault="0022233B" w:rsidP="0022233B"/>
    <w:p w14:paraId="2131958A" w14:textId="77777777" w:rsidR="0022233B" w:rsidRDefault="0022233B" w:rsidP="0022233B">
      <w:r>
        <w:t>5. The uncertainty stays visible. Because the count is built from probabilities, each institution carries its own probability on the list. A row at 0.97 and a row at 0.48 look identical in a category column; the probability is what tells an examiner which is which. Under a median rule there is nothing to publish alongside the label.</w:t>
      </w:r>
    </w:p>
    <w:p w14:paraId="0642932C" w14:textId="77777777" w:rsidR="0022233B" w:rsidRDefault="0022233B" w:rsidP="0022233B"/>
    <w:p w14:paraId="4314AFC3" w14:textId="77777777" w:rsidR="0022233B" w:rsidRDefault="0022233B" w:rsidP="0022233B">
      <w:r>
        <w:t>What I'd propose</w:t>
      </w:r>
    </w:p>
    <w:p w14:paraId="0BA7AF33" w14:textId="77777777" w:rsidR="0022233B" w:rsidRDefault="0022233B" w:rsidP="0022233B"/>
    <w:p w14:paraId="3AF8E576" w14:textId="77777777" w:rsidR="0022233B" w:rsidRDefault="0022233B" w:rsidP="0022233B">
      <w:r>
        <w:t>Keep the counts as they are and remove the inconsistency where it is cosmetic rather than real. Below $10B the two rules almost never disagree, so institutions can be labelled by their median there with no effect on anything. At $10B the disagreement is genuine and carries the correction, and I would keep it and explain it in one line on the tab: crossings historically under-deliver relative to typical growth, so the count above $10B is lower than the raw projections imply.</w:t>
      </w:r>
    </w:p>
    <w:p w14:paraId="7987A09A" w14:textId="77777777" w:rsidR="0022233B" w:rsidRDefault="0022233B" w:rsidP="0022233B"/>
    <w:p w14:paraId="632931C0" w14:textId="77777777" w:rsidR="0022233B" w:rsidRDefault="0022233B" w:rsidP="0022233B">
      <w:r>
        <w:lastRenderedPageBreak/>
        <w:t>I'd also rename the column to "Projected assets, median ($M)" and put the five-year probability next to it on every regional tab, so a reader who sees $11.8B against $1B–$10B also sees 0.48 and understands immediately why.</w:t>
      </w:r>
    </w:p>
    <w:p w14:paraId="3E666BB1" w14:textId="77777777" w:rsidR="0022233B" w:rsidRDefault="0022233B" w:rsidP="0022233B"/>
    <w:p w14:paraId="7A3E3013" w14:textId="77777777" w:rsidR="0022233B" w:rsidRDefault="0022233B" w:rsidP="0022233B">
      <w:r>
        <w:t>Happy to walk through any of this, and I can produce the workbook both ways if the group wants to see the difference before deciding.</w:t>
      </w:r>
    </w:p>
    <w:p w14:paraId="3EC753BF" w14:textId="77777777" w:rsidR="0022233B" w:rsidRDefault="0022233B" w:rsidP="0022233B"/>
    <w:p w14:paraId="7FE49030" w14:textId="77777777" w:rsidR="0022233B" w:rsidRDefault="0022233B" w:rsidP="0022233B">
      <w:r>
        <w:t>Best,</w:t>
      </w:r>
    </w:p>
    <w:p w14:paraId="44E829DE" w14:textId="7E7C7E6A" w:rsidR="009D173F" w:rsidRDefault="0022233B" w:rsidP="0022233B">
      <w:r>
        <w:t>Saurabh</w:t>
      </w:r>
    </w:p>
    <w:sectPr w:rsidR="009D17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233B"/>
    <w:rsid w:val="0011136B"/>
    <w:rsid w:val="001F1600"/>
    <w:rsid w:val="0022233B"/>
    <w:rsid w:val="002713C4"/>
    <w:rsid w:val="00360703"/>
    <w:rsid w:val="006E1402"/>
    <w:rsid w:val="007404E7"/>
    <w:rsid w:val="00817ECF"/>
    <w:rsid w:val="0095529E"/>
    <w:rsid w:val="009D17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C7CF092"/>
  <w15:chartTrackingRefBased/>
  <w15:docId w15:val="{48636F1F-85CA-AD43-A360-94079C9EF9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23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23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23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23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23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23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23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23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23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23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23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23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23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23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23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23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23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233B"/>
    <w:rPr>
      <w:rFonts w:eastAsiaTheme="majorEastAsia" w:cstheme="majorBidi"/>
      <w:color w:val="272727" w:themeColor="text1" w:themeTint="D8"/>
    </w:rPr>
  </w:style>
  <w:style w:type="paragraph" w:styleId="Title">
    <w:name w:val="Title"/>
    <w:basedOn w:val="Normal"/>
    <w:next w:val="Normal"/>
    <w:link w:val="TitleChar"/>
    <w:uiPriority w:val="10"/>
    <w:qFormat/>
    <w:rsid w:val="002223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23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23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23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233B"/>
    <w:pPr>
      <w:spacing w:before="160"/>
      <w:jc w:val="center"/>
    </w:pPr>
    <w:rPr>
      <w:i/>
      <w:iCs/>
      <w:color w:val="404040" w:themeColor="text1" w:themeTint="BF"/>
    </w:rPr>
  </w:style>
  <w:style w:type="character" w:customStyle="1" w:styleId="QuoteChar">
    <w:name w:val="Quote Char"/>
    <w:basedOn w:val="DefaultParagraphFont"/>
    <w:link w:val="Quote"/>
    <w:uiPriority w:val="29"/>
    <w:rsid w:val="0022233B"/>
    <w:rPr>
      <w:i/>
      <w:iCs/>
      <w:color w:val="404040" w:themeColor="text1" w:themeTint="BF"/>
    </w:rPr>
  </w:style>
  <w:style w:type="paragraph" w:styleId="ListParagraph">
    <w:name w:val="List Paragraph"/>
    <w:basedOn w:val="Normal"/>
    <w:uiPriority w:val="34"/>
    <w:qFormat/>
    <w:rsid w:val="0022233B"/>
    <w:pPr>
      <w:ind w:left="720"/>
      <w:contextualSpacing/>
    </w:pPr>
  </w:style>
  <w:style w:type="character" w:styleId="IntenseEmphasis">
    <w:name w:val="Intense Emphasis"/>
    <w:basedOn w:val="DefaultParagraphFont"/>
    <w:uiPriority w:val="21"/>
    <w:qFormat/>
    <w:rsid w:val="0022233B"/>
    <w:rPr>
      <w:i/>
      <w:iCs/>
      <w:color w:val="0F4761" w:themeColor="accent1" w:themeShade="BF"/>
    </w:rPr>
  </w:style>
  <w:style w:type="paragraph" w:styleId="IntenseQuote">
    <w:name w:val="Intense Quote"/>
    <w:basedOn w:val="Normal"/>
    <w:next w:val="Normal"/>
    <w:link w:val="IntenseQuoteChar"/>
    <w:uiPriority w:val="30"/>
    <w:qFormat/>
    <w:rsid w:val="002223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233B"/>
    <w:rPr>
      <w:i/>
      <w:iCs/>
      <w:color w:val="0F4761" w:themeColor="accent1" w:themeShade="BF"/>
    </w:rPr>
  </w:style>
  <w:style w:type="character" w:styleId="IntenseReference">
    <w:name w:val="Intense Reference"/>
    <w:basedOn w:val="DefaultParagraphFont"/>
    <w:uiPriority w:val="32"/>
    <w:qFormat/>
    <w:rsid w:val="0022233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680</Words>
  <Characters>3375</Characters>
  <Application>Microsoft Office Word</Application>
  <DocSecurity>0</DocSecurity>
  <Lines>71</Lines>
  <Paragraphs>17</Paragraphs>
  <ScaleCrop>false</ScaleCrop>
  <Company/>
  <LinksUpToDate>false</LinksUpToDate>
  <CharactersWithSpaces>4040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Saurabh Datta</dc:creator>
  <cp:keywords/>
  <dc:description/>
  <cp:lastModifiedBy>Saurabh Datta</cp:lastModifiedBy>
  <cp:revision>1</cp:revision>
  <dcterms:created xsi:type="dcterms:W3CDTF">2026-09-11T16:28:00Z</dcterms:created>
  <dcterms:modified xsi:type="dcterms:W3CDTF">2026-09-11T16:30:00Z</dcterms:modified>
</cp:coreProperties>
</file>