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Credit Union Growth Forecast — Reading Guide by Tab</w:t>
      </w:r>
    </w:p>
    <w:p>
      <w:pPr>
        <w:spacing w:after="120" w:line="276"/>
      </w:pPr>
      <w:r>
        <w:rPr>
          <w:rFonts w:ascii="Calibri" w:cs="Calibri" w:eastAsia="Calibri" w:hAnsi="Calibri"/>
          <w:i/>
          <w:iCs/>
          <w:sz w:val="22"/>
          <w:szCs w:val="22"/>
        </w:rPr>
        <w:t xml:space="preserve">Workbook: CU_Growth_Forecast_2026Q2. Cohort: 4,214 federally insured credit unions active at June 30, 2026. Forecast dates: 2027Q2, 2029Q2, 2031Q2. Office of the Chief Economist, September 2026.</w:t>
      </w:r>
    </w:p>
    <w:p>
      <w:pPr>
        <w:pStyle w:val="Heading1"/>
        <w:spacing w:after="160" w:before="360"/>
      </w:pPr>
      <w:r>
        <w:rPr>
          <w:rFonts w:ascii="Calibri" w:cs="Calibri" w:eastAsia="Calibri" w:hAnsi="Calibri"/>
        </w:rPr>
        <w:t xml:space="preserve">Before you start: three things that apply to every tab</w:t>
      </w:r>
    </w:p>
    <w:p>
      <w:pPr>
        <w:pStyle w:val="Heading2"/>
        <w:spacing w:after="100" w:before="240"/>
      </w:pPr>
      <w:r>
        <w:rPr>
          <w:rFonts w:ascii="Calibri" w:cs="Calibri" w:eastAsia="Calibri" w:hAnsi="Calibri"/>
        </w:rPr>
        <w:t xml:space="preserve">1. What the forecast is</w:t>
      </w:r>
    </w:p>
    <w:p>
      <w:pPr>
        <w:spacing w:after="120" w:line="276"/>
      </w:pPr>
      <w:r>
        <w:rPr>
          <w:rFonts w:ascii="Calibri" w:cs="Calibri" w:eastAsia="Calibri" w:hAnsi="Calibri"/>
          <w:sz w:val="22"/>
          <w:szCs w:val="22"/>
        </w:rPr>
        <w:t xml:space="preserve">For each credit union, the forecast looks at every credit union of similar size since 2005 and asks where those institutions were one, three and five years later. That spread of real historical outcomes is applied to the institution's assets at 2026Q2. There is no economic forecast in it and no judgment about management; it is what has historically happened to institutions of that size.</w:t>
      </w:r>
    </w:p>
    <w:p>
      <w:pPr>
        <w:spacing w:after="120" w:line="276"/>
      </w:pPr>
      <w:r>
        <w:rPr>
          <w:rFonts w:ascii="Calibri" w:cs="Calibri" w:eastAsia="Calibri" w:hAnsi="Calibri"/>
          <w:sz w:val="22"/>
          <w:szCs w:val="22"/>
        </w:rPr>
        <w:t xml:space="preserve">Mergers, liquidations and new charters are not included. Every tab holds the total at 4,214. The question every number answers is: if all of today's credit unions were still here, how big would they be?</w:t>
      </w:r>
    </w:p>
    <w:p>
      <w:pPr>
        <w:pStyle w:val="Heading2"/>
        <w:spacing w:after="100" w:before="240"/>
      </w:pPr>
      <w:r>
        <w:rPr>
          <w:rFonts w:ascii="Calibri" w:cs="Calibri" w:eastAsia="Calibri" w:hAnsi="Calibri"/>
        </w:rPr>
        <w:t xml:space="preserve">2. What "Median" means</w:t>
      </w:r>
    </w:p>
    <w:p>
      <w:pPr>
        <w:spacing w:after="120" w:line="276"/>
      </w:pPr>
      <w:r>
        <w:rPr>
          <w:rFonts w:ascii="Calibri" w:cs="Calibri" w:eastAsia="Calibri" w:hAnsi="Calibri"/>
          <w:sz w:val="22"/>
          <w:szCs w:val="22"/>
        </w:rPr>
        <w:t xml:space="preserve">Wherever you see "Median 1yr ($M)", "Median 3yr ($M)" or "Median 5yr ($M)", the number is the middle of the range of possible sizes for that credit union at that date, in millions of dollars. Half of the historically comparable institutions ended up larger than this, half smaller. It is the single most likely-looking size, not a prediction that the institution will hit that exact figure.</w:t>
      </w:r>
    </w:p>
    <w:p>
      <w:pPr>
        <w:spacing w:after="120" w:line="276"/>
      </w:pPr>
      <w:r>
        <w:rPr>
          <w:rFonts w:ascii="Calibri" w:cs="Calibri" w:eastAsia="Calibri" w:hAnsi="Calibri"/>
          <w:sz w:val="22"/>
          <w:szCs w:val="22"/>
        </w:rPr>
        <w:t xml:space="preserve">An example. A credit union with $500M in assets at 2026Q2 shows a Median 5yr of about $700M. That means: of credit unions that were around $500M in the past, half had grown to more than $700M five years later and half had not. Some grew to $900M, a few shrank. The institution's assigned category for 2031Q2 is the category that $700M falls in ($500M–$1B). The Institutions tab also shows a Low and High figure for five years — the 10th and 90th percentiles, the range four in five comparable institutions fell inside.</w:t>
      </w:r>
    </w:p>
    <w:p>
      <w:pPr>
        <w:spacing w:after="120" w:line="276"/>
      </w:pPr>
      <w:r>
        <w:rPr>
          <w:rFonts w:ascii="Calibri" w:cs="Calibri" w:eastAsia="Calibri" w:hAnsi="Calibri"/>
          <w:b/>
          <w:bCs/>
          <w:sz w:val="22"/>
          <w:szCs w:val="22"/>
        </w:rPr>
        <w:t xml:space="preserve">What the median is not. </w:t>
      </w:r>
      <w:r>
        <w:rPr>
          <w:rFonts w:ascii="Calibri" w:cs="Calibri" w:eastAsia="Calibri" w:hAnsi="Calibri"/>
          <w:sz w:val="22"/>
          <w:szCs w:val="22"/>
        </w:rPr>
        <w:t xml:space="preserve">It is not a target, a benchmark or an expectation of management. It is not adjusted for anything specific to the institution. Examiners who know an institution's circumstances — a pending merger, a shrinking sponsor, a deliberate strategy to stay under a threshold — should treat their knowledge as overriding the median.</w:t>
      </w:r>
    </w:p>
    <w:p>
      <w:pPr>
        <w:pStyle w:val="Heading2"/>
        <w:spacing w:after="100" w:before="240"/>
      </w:pPr>
      <w:r>
        <w:rPr>
          <w:rFonts w:ascii="Calibri" w:cs="Calibri" w:eastAsia="Calibri" w:hAnsi="Calibri"/>
        </w:rPr>
        <w:t xml:space="preserve">3. Why nobody is shown moving down</w:t>
      </w:r>
    </w:p>
    <w:p>
      <w:pPr>
        <w:spacing w:after="120" w:line="276"/>
      </w:pPr>
      <w:r>
        <w:rPr>
          <w:rFonts w:ascii="Calibri" w:cs="Calibri" w:eastAsia="Calibri" w:hAnsi="Calibri"/>
          <w:sz w:val="22"/>
          <w:szCs w:val="22"/>
        </w:rPr>
        <w:t xml:space="preserve">Credit unions are placed in a category at each date according to their median projected size, and median projected size grows for every category. The tables therefore never show an institution in a lower category than it holds at 2026Q2. Some will fall; the counts allow for it, and the full institution list carries a probability of moving down for each credit union. Where an examiner sees an institution that is shrinking, the forecast has not seen that.</w:t>
      </w:r>
    </w:p>
    <w:p>
      <w:pPr>
        <w:pStyle w:val="Heading1"/>
        <w:spacing w:after="160" w:before="360"/>
      </w:pPr>
      <w:r>
        <w:rPr>
          <w:rFonts w:ascii="Calibri" w:cs="Calibri" w:eastAsia="Calibri" w:hAnsi="Calibri"/>
        </w:rPr>
        <w:t xml:space="preserve">Total</w:t>
      </w:r>
    </w:p>
    <w:p>
      <w:pPr>
        <w:pStyle w:val="Heading2"/>
        <w:spacing w:after="100" w:before="240"/>
      </w:pPr>
      <w:r>
        <w:rPr>
          <w:rFonts w:ascii="Calibri" w:cs="Calibri" w:eastAsia="Calibri" w:hAnsi="Calibri"/>
        </w:rPr>
        <w:t xml:space="preserve">How to read this tab</w:t>
      </w:r>
    </w:p>
    <w:p>
      <w:pPr>
        <w:spacing w:after="120" w:line="276"/>
      </w:pPr>
      <w:r>
        <w:rPr>
          <w:rFonts w:ascii="Calibri" w:cs="Calibri" w:eastAsia="Calibri" w:hAnsi="Calibri"/>
          <w:sz w:val="22"/>
          <w:szCs w:val="22"/>
        </w:rPr>
        <w:t xml:space="preserve">Each row is an asset-size category. The 2026Q2 column is the actual count of credit unions in that category on June 30, 2026 (4,214 in total). The next three columns are projected counts at 2027Q2, 2029Q2 and 2031Q2. Change and Pct change compare 2031Q2 with 2026Q2. Every figure is a whole number of credit unions and every column adds to 4,214.</w:t>
      </w:r>
    </w:p>
    <w:p>
      <w:pPr>
        <w:spacing w:after="120" w:line="276"/>
      </w:pPr>
      <w:r>
        <w:rPr>
          <w:rFonts w:ascii="Calibri" w:cs="Calibri" w:eastAsia="Calibri" w:hAnsi="Calibri"/>
          <w:sz w:val="22"/>
          <w:szCs w:val="22"/>
        </w:rPr>
        <w:t xml:space="preserve">The lower table breaks the largest category into pieces. $10B–$15B is the part of "$10B and over" that sits below $15B. "$15B and over" and "$20B and over" overlap each other and overlap the main table (a $16B credit union is counted in "$10B and over", "$15B and over" and "$10B–$15B" all at once). Do not add these lines to the total.</w:t>
      </w:r>
    </w:p>
    <w:p>
      <w:pPr>
        <w:pStyle w:val="Heading2"/>
        <w:spacing w:after="100" w:before="240"/>
      </w:pPr>
      <w:r>
        <w:rPr>
          <w:rFonts w:ascii="Calibri" w:cs="Calibri" w:eastAsia="Calibri" w:hAnsi="Calibri"/>
        </w:rPr>
        <w:t xml:space="preserve">Key findings</w:t>
      </w:r>
    </w:p>
    <w:p>
      <w:pPr>
        <w:pStyle w:val="ListParagraph"/>
        <w:numPr>
          <w:ilvl w:val="0"/>
          <w:numId w:val="2"/>
        </w:numPr>
        <w:spacing w:after="80" w:line="276"/>
      </w:pPr>
      <w:r>
        <w:rPr>
          <w:rFonts w:ascii="Calibri" w:cs="Calibri" w:eastAsia="Calibri" w:hAnsi="Calibri"/>
          <w:sz w:val="22"/>
          <w:szCs w:val="22"/>
        </w:rPr>
        <w:t xml:space="preserve">The credit union system keeps shifting toward larger institutions. The two categories under $50M lose 164 credit unions over five years (761 to 714 and 1,117 to 1,000), and every category from $100M upward gains.</w:t>
      </w:r>
    </w:p>
    <w:p>
      <w:pPr>
        <w:pStyle w:val="ListParagraph"/>
        <w:numPr>
          <w:ilvl w:val="0"/>
          <w:numId w:val="2"/>
        </w:numPr>
        <w:spacing w:after="80" w:line="276"/>
      </w:pPr>
      <w:r>
        <w:rPr>
          <w:rFonts w:ascii="Calibri" w:cs="Calibri" w:eastAsia="Calibri" w:hAnsi="Calibri"/>
          <w:sz w:val="22"/>
          <w:szCs w:val="22"/>
        </w:rPr>
        <w:t xml:space="preserve">The $1B–$10B category grows the most, from 446 to 566 — 120 more institutions, a 27% increase. Most of this is real growth rather than inflation.</w:t>
      </w:r>
    </w:p>
    <w:p>
      <w:pPr>
        <w:pStyle w:val="ListParagraph"/>
        <w:numPr>
          <w:ilvl w:val="0"/>
          <w:numId w:val="2"/>
        </w:numPr>
        <w:spacing w:after="80" w:line="276"/>
      </w:pPr>
      <w:r>
        <w:rPr>
          <w:rFonts w:ascii="Calibri" w:cs="Calibri" w:eastAsia="Calibri" w:hAnsi="Calibri"/>
          <w:sz w:val="22"/>
          <w:szCs w:val="22"/>
        </w:rPr>
        <w:t xml:space="preserve">The decline under $10M (761 to 714) is mostly institutions growing slowly across a $10M line that has not moved in decades, not institutions shrinking. Because mergers are excluded, none of the decline is institutions leaving; in reality mergers would make the decline in the smallest categories considerably larger.</w:t>
      </w:r>
    </w:p>
    <w:p>
      <w:pPr>
        <w:pStyle w:val="ListParagraph"/>
        <w:numPr>
          <w:ilvl w:val="0"/>
          <w:numId w:val="2"/>
        </w:numPr>
        <w:spacing w:after="80" w:line="276"/>
      </w:pPr>
      <w:r>
        <w:rPr>
          <w:rFonts w:ascii="Calibri" w:cs="Calibri" w:eastAsia="Calibri" w:hAnsi="Calibri"/>
          <w:sz w:val="22"/>
          <w:szCs w:val="22"/>
        </w:rPr>
        <w:t xml:space="preserve">The number of credit unions at $10B and over grows from 25 to 42 — 30 by 2027Q2, 36 by 2029Q2. The growth comes from institutions between $8B and $10B crossing the line, not from institutions already above it. There are 24 credit unions in that range at 2026Q2, three times as many as five years earlier; the forecast expects about 17 to cross.</w:t>
      </w:r>
    </w:p>
    <w:p>
      <w:pPr>
        <w:pStyle w:val="ListParagraph"/>
        <w:numPr>
          <w:ilvl w:val="0"/>
          <w:numId w:val="2"/>
        </w:numPr>
        <w:spacing w:after="80" w:line="276"/>
      </w:pPr>
      <w:r>
        <w:rPr>
          <w:rFonts w:ascii="Calibri" w:cs="Calibri" w:eastAsia="Calibri" w:hAnsi="Calibri"/>
          <w:sz w:val="22"/>
          <w:szCs w:val="22"/>
        </w:rPr>
        <w:t xml:space="preserve">Within the largest group, the $10B–$15B band nearly doubles (10 to 19), $15B and over goes from 15 to 23, and $20B and over from 11 to 15.</w:t>
      </w:r>
    </w:p>
    <w:p>
      <w:pPr>
        <w:pStyle w:val="ListParagraph"/>
        <w:numPr>
          <w:ilvl w:val="0"/>
          <w:numId w:val="2"/>
        </w:numPr>
        <w:spacing w:after="80" w:line="276"/>
      </w:pPr>
      <w:r>
        <w:rPr>
          <w:rFonts w:ascii="Calibri" w:cs="Calibri" w:eastAsia="Calibri" w:hAnsi="Calibri"/>
          <w:sz w:val="22"/>
          <w:szCs w:val="22"/>
        </w:rPr>
        <w:t xml:space="preserve">These counts are more reliable than any single credit union's projection: when the method was tested against past outcomes, five of seven category counts were within about 5% at five years. An individual institution near a category line is close to a coin flip.</w:t>
      </w:r>
    </w:p>
    <w:p>
      <w:pPr>
        <w:pStyle w:val="ListParagraph"/>
        <w:numPr>
          <w:ilvl w:val="0"/>
          <w:numId w:val="2"/>
        </w:numPr>
        <w:spacing w:after="80" w:line="276"/>
      </w:pPr>
      <w:r>
        <w:rPr>
          <w:rFonts w:ascii="Calibri" w:cs="Calibri" w:eastAsia="Calibri" w:hAnsi="Calibri"/>
          <w:sz w:val="22"/>
          <w:szCs w:val="22"/>
        </w:rPr>
        <w:t xml:space="preserve">If the next five years include an episode like 2022–23, when deposit outflows pushed institutions back across category lines, the smaller categories will come in higher than shown and fewer institutions will cross $10B.</w:t>
      </w:r>
    </w:p>
    <w:p>
      <w:pPr>
        <w:pStyle w:val="Heading1"/>
        <w:spacing w:after="160" w:before="360"/>
      </w:pPr>
      <w:r>
        <w:rPr>
          <w:rFonts w:ascii="Calibri" w:cs="Calibri" w:eastAsia="Calibri" w:hAnsi="Calibri"/>
        </w:rPr>
        <w:t xml:space="preserve">Transitions</w:t>
      </w:r>
    </w:p>
    <w:p>
      <w:pPr>
        <w:pStyle w:val="Heading2"/>
        <w:spacing w:after="100" w:before="240"/>
      </w:pPr>
      <w:r>
        <w:rPr>
          <w:rFonts w:ascii="Calibri" w:cs="Calibri" w:eastAsia="Calibri" w:hAnsi="Calibri"/>
        </w:rPr>
        <w:t xml:space="preserve">How to read this tab</w:t>
      </w:r>
    </w:p>
    <w:p>
      <w:pPr>
        <w:spacing w:after="120" w:line="276"/>
      </w:pPr>
      <w:r>
        <w:rPr>
          <w:rFonts w:ascii="Calibri" w:cs="Calibri" w:eastAsia="Calibri" w:hAnsi="Calibri"/>
          <w:sz w:val="22"/>
          <w:szCs w:val="22"/>
        </w:rPr>
        <w:t xml:space="preserve">Each table shows where the credit unions of 2026Q2 end up at one future date. The rows are the category a credit union was in at 2026Q2. The columns are the category it is projected to be in at the date in the table's title. Reading across the "Under $10M" row of the 2031Q2 table: of the 761 credit unions under $10M at 2026Q2, 714 are projected still to be under $10M at 2031Q2 and 47 to have grown into $10M–$50M.</w:t>
      </w:r>
    </w:p>
    <w:p>
      <w:pPr>
        <w:spacing w:after="120" w:line="276"/>
      </w:pPr>
      <w:r>
        <w:rPr>
          <w:rFonts w:ascii="Calibri" w:cs="Calibri" w:eastAsia="Calibri" w:hAnsi="Calibri"/>
          <w:sz w:val="22"/>
          <w:szCs w:val="22"/>
        </w:rPr>
        <w:t xml:space="preserve">The three tables are independent snapshots, not steps in a sequence. Every table starts from 2026Q2. The 2029Q2 table is not the 2027Q2 table applied again; it is a separate comparison of 2026Q2 with 2029Q2. That is why the rows are the same in all three tables (always 761 / 1,117 / 560 / 1,028 / 277 / 446 / 25) while the columns change. To follow a category through time, look at the same row in each table in turn.</w:t>
      </w:r>
    </w:p>
    <w:p>
      <w:pPr>
        <w:spacing w:after="120" w:line="276"/>
      </w:pPr>
      <w:r>
        <w:rPr>
          <w:rFonts w:ascii="Calibri" w:cs="Calibri" w:eastAsia="Calibri" w:hAnsi="Calibri"/>
          <w:sz w:val="22"/>
          <w:szCs w:val="22"/>
        </w:rPr>
        <w:t xml:space="preserve">Every credit union appears exactly once in each table, so row totals equal the 2026Q2 counts and column totals equal that date's counts on the Total tab. In the 2031Q2 table, the "$10B and over" column adds to 42 (25 already there plus 17 arriving from $1B–$10B). The right-hand tables show the same information as a share of each row; each row adds to 100.</w:t>
      </w:r>
    </w:p>
    <w:p>
      <w:pPr>
        <w:spacing w:after="120" w:line="276"/>
      </w:pPr>
      <w:r>
        <w:rPr>
          <w:rFonts w:ascii="Calibri" w:cs="Calibri" w:eastAsia="Calibri" w:hAnsi="Calibri"/>
          <w:sz w:val="22"/>
          <w:szCs w:val="22"/>
        </w:rPr>
        <w:t xml:space="preserve">All movement appears to the right of the diagonal. Credit unions are assigned by projected size, which grows in every category, so this table cannot show an institution moving down. Some will; the Institutions tab gives every credit union its probability of falling a category.</w:t>
      </w:r>
    </w:p>
    <w:p>
      <w:pPr>
        <w:pStyle w:val="Heading2"/>
        <w:spacing w:after="100" w:before="240"/>
      </w:pPr>
      <w:r>
        <w:rPr>
          <w:rFonts w:ascii="Calibri" w:cs="Calibri" w:eastAsia="Calibri" w:hAnsi="Calibri"/>
        </w:rPr>
        <w:t xml:space="preserve">Key findings</w:t>
      </w:r>
    </w:p>
    <w:p>
      <w:pPr>
        <w:pStyle w:val="ListParagraph"/>
        <w:numPr>
          <w:ilvl w:val="0"/>
          <w:numId w:val="2"/>
        </w:numPr>
        <w:spacing w:after="80" w:line="276"/>
      </w:pPr>
      <w:r>
        <w:rPr>
          <w:rFonts w:ascii="Calibri" w:cs="Calibri" w:eastAsia="Calibri" w:hAnsi="Calibri"/>
          <w:sz w:val="22"/>
          <w:szCs w:val="22"/>
        </w:rPr>
        <w:t xml:space="preserve">No category moves more than one step in five years. Every projected move is to the next category up.</w:t>
      </w:r>
    </w:p>
    <w:p>
      <w:pPr>
        <w:pStyle w:val="ListParagraph"/>
        <w:numPr>
          <w:ilvl w:val="0"/>
          <w:numId w:val="2"/>
        </w:numPr>
        <w:spacing w:after="80" w:line="276"/>
      </w:pPr>
      <w:r>
        <w:rPr>
          <w:rFonts w:ascii="Calibri" w:cs="Calibri" w:eastAsia="Calibri" w:hAnsi="Calibri"/>
          <w:sz w:val="22"/>
          <w:szCs w:val="22"/>
        </w:rPr>
        <w:t xml:space="preserve">The middle categories are the most mobile. Nearly half of the credit unions between $500M and $1B at 2026Q2 (137 of 277, 49%) are projected to pass $1B by 2031Q2, and more than a third of those between $50M and $100M (199 of 560, 36%) to pass $100M. These are the two thresholds where field staff should expect the most turnover.</w:t>
      </w:r>
    </w:p>
    <w:p>
      <w:pPr>
        <w:pStyle w:val="ListParagraph"/>
        <w:numPr>
          <w:ilvl w:val="0"/>
          <w:numId w:val="2"/>
        </w:numPr>
        <w:spacing w:after="80" w:line="276"/>
      </w:pPr>
      <w:r>
        <w:rPr>
          <w:rFonts w:ascii="Calibri" w:cs="Calibri" w:eastAsia="Calibri" w:hAnsi="Calibri"/>
          <w:sz w:val="22"/>
          <w:szCs w:val="22"/>
        </w:rPr>
        <w:t xml:space="preserve">The smallest and largest categories are the most stable: 94% of credit unions under $10M are still under $10M at 2031Q2, and 96% of those between $1B and $10B are still in that band. The 25 at $10B and over stay there in every table.</w:t>
      </w:r>
    </w:p>
    <w:p>
      <w:pPr>
        <w:pStyle w:val="ListParagraph"/>
        <w:numPr>
          <w:ilvl w:val="0"/>
          <w:numId w:val="2"/>
        </w:numPr>
        <w:spacing w:after="80" w:line="276"/>
      </w:pPr>
      <w:r>
        <w:rPr>
          <w:rFonts w:ascii="Calibri" w:cs="Calibri" w:eastAsia="Calibri" w:hAnsi="Calibri"/>
          <w:sz w:val="22"/>
          <w:szCs w:val="22"/>
        </w:rPr>
        <w:t xml:space="preserve">Movement builds gradually: 136 credit unions change category by 2027Q2, 419 by 2029Q2, 716 by 2031Q2 — about one in six of all institutions.</w:t>
      </w:r>
    </w:p>
    <w:p>
      <w:pPr>
        <w:pStyle w:val="ListParagraph"/>
        <w:numPr>
          <w:ilvl w:val="0"/>
          <w:numId w:val="2"/>
        </w:numPr>
        <w:spacing w:after="80" w:line="276"/>
      </w:pPr>
      <w:r>
        <w:rPr>
          <w:rFonts w:ascii="Calibri" w:cs="Calibri" w:eastAsia="Calibri" w:hAnsi="Calibri"/>
          <w:sz w:val="22"/>
          <w:szCs w:val="22"/>
        </w:rPr>
        <w:t xml:space="preserve">The 17 credit unions projected to cross $10B by 2031Q2 (4% of the $1B–$10B group) are the only new entrants to the largest category. Each is named on its regional tab.</w:t>
      </w:r>
    </w:p>
    <w:p>
      <w:pPr>
        <w:pStyle w:val="Heading1"/>
        <w:spacing w:after="160" w:before="360"/>
      </w:pPr>
      <w:r>
        <w:rPr>
          <w:rFonts w:ascii="Calibri" w:cs="Calibri" w:eastAsia="Calibri" w:hAnsi="Calibri"/>
        </w:rPr>
        <w:t xml:space="preserve">R1_FCU  (Region 1, federal charters, 1,088 institutions)</w:t>
      </w:r>
    </w:p>
    <w:p>
      <w:pPr>
        <w:pStyle w:val="Heading2"/>
        <w:spacing w:after="100" w:before="240"/>
      </w:pPr>
      <w:r>
        <w:rPr>
          <w:rFonts w:ascii="Calibri" w:cs="Calibri" w:eastAsia="Calibri" w:hAnsi="Calibri"/>
        </w:rPr>
        <w:t xml:space="preserve">How to read this tab</w:t>
      </w:r>
    </w:p>
    <w:p>
      <w:pPr>
        <w:spacing w:after="120" w:line="276"/>
      </w:pPr>
      <w:r>
        <w:rPr>
          <w:rFonts w:ascii="Calibri" w:cs="Calibri" w:eastAsia="Calibri" w:hAnsi="Calibri"/>
          <w:sz w:val="22"/>
          <w:szCs w:val="22"/>
        </w:rPr>
        <w:t xml:space="preserve">The top table is the count of credit unions in this region and charter type by asset category, at 2026Q2 and at each forecast date. It is the same layout as the Total tab, restricted to this cell; the eight regional tabs add up to the Total tab exactly. The Change column compares 2031Q2 with 2026Q2. The TOTAL row never changes because no mergers are included.</w:t>
      </w:r>
    </w:p>
    <w:p>
      <w:pPr>
        <w:spacing w:after="120" w:line="276"/>
      </w:pPr>
      <w:r>
        <w:rPr>
          <w:rFonts w:ascii="Calibri" w:cs="Calibri" w:eastAsia="Calibri" w:hAnsi="Calibri"/>
          <w:sz w:val="22"/>
          <w:szCs w:val="22"/>
        </w:rPr>
        <w:t xml:space="preserve">Below it is every credit union in this cell, largest first, with its category and projected assets at each date. Counting the list by category reproduces the table above. Use Find (Ctrl+F) to locate an institution by name or join number. The columns are explained in the Institutions section at the end of this document; the note on what "Median" means is in the introduction.</w:t>
      </w:r>
    </w:p>
    <w:p>
      <w:pPr>
        <w:pStyle w:val="Heading2"/>
        <w:spacing w:after="100" w:before="240"/>
      </w:pPr>
      <w:r>
        <w:rPr>
          <w:rFonts w:ascii="Calibri" w:cs="Calibri" w:eastAsia="Calibri" w:hAnsi="Calibri"/>
        </w:rPr>
        <w:t xml:space="preserve">Key findings</w:t>
      </w:r>
    </w:p>
    <w:p>
      <w:pPr>
        <w:pStyle w:val="ListParagraph"/>
        <w:numPr>
          <w:ilvl w:val="0"/>
          <w:numId w:val="2"/>
        </w:numPr>
        <w:spacing w:after="80" w:line="276"/>
      </w:pPr>
      <w:r>
        <w:rPr>
          <w:rFonts w:ascii="Calibri" w:cs="Calibri" w:eastAsia="Calibri" w:hAnsi="Calibri"/>
          <w:sz w:val="22"/>
          <w:szCs w:val="22"/>
        </w:rPr>
        <w:t xml:space="preserve">The largest cell in the system, and the pattern matches the national one: the two categories under $50M lose 46 institutions (246 to 232, 323 to 291), $50M–$100M is flat, and every category from $100M up gains.</w:t>
      </w:r>
    </w:p>
    <w:p>
      <w:pPr>
        <w:pStyle w:val="ListParagraph"/>
        <w:numPr>
          <w:ilvl w:val="0"/>
          <w:numId w:val="2"/>
        </w:numPr>
        <w:spacing w:after="80" w:line="276"/>
      </w:pPr>
      <w:r>
        <w:rPr>
          <w:rFonts w:ascii="Calibri" w:cs="Calibri" w:eastAsia="Calibri" w:hAnsi="Calibri"/>
          <w:sz w:val="22"/>
          <w:szCs w:val="22"/>
        </w:rPr>
        <w:t xml:space="preserve">$1B–$10B grows from 64 to 86 (+22, a 34% increase), the largest gain in this region.</w:t>
      </w:r>
    </w:p>
    <w:p>
      <w:pPr>
        <w:pStyle w:val="ListParagraph"/>
        <w:numPr>
          <w:ilvl w:val="0"/>
          <w:numId w:val="2"/>
        </w:numPr>
        <w:spacing w:after="80" w:line="276"/>
      </w:pPr>
      <w:r>
        <w:rPr>
          <w:rFonts w:ascii="Calibri" w:cs="Calibri" w:eastAsia="Calibri" w:hAnsi="Calibri"/>
          <w:sz w:val="22"/>
          <w:szCs w:val="22"/>
        </w:rPr>
        <w:t xml:space="preserve">The $10B and over count goes from 4 to 7. Three of the region's largest $1B–$10B credit unions are projected to cross by 2031Q2; they appear at the top of the list with "$10B and over" in the 5yr column.</w:t>
      </w:r>
    </w:p>
    <w:p>
      <w:pPr>
        <w:pStyle w:val="ListParagraph"/>
        <w:numPr>
          <w:ilvl w:val="0"/>
          <w:numId w:val="2"/>
        </w:numPr>
        <w:spacing w:after="80" w:line="276"/>
      </w:pPr>
      <w:r>
        <w:rPr>
          <w:rFonts w:ascii="Calibri" w:cs="Calibri" w:eastAsia="Calibri" w:hAnsi="Calibri"/>
          <w:sz w:val="22"/>
          <w:szCs w:val="22"/>
        </w:rPr>
        <w:t xml:space="preserve">$500M–$1B rises then falls (55, 62, 62, 58): institutions arrive from $100M–$500M in the early years and then leave for $1B.</w:t>
      </w:r>
    </w:p>
    <w:p>
      <w:pPr>
        <w:pStyle w:val="Heading1"/>
        <w:spacing w:after="160" w:before="360"/>
      </w:pPr>
      <w:r>
        <w:rPr>
          <w:rFonts w:ascii="Calibri" w:cs="Calibri" w:eastAsia="Calibri" w:hAnsi="Calibri"/>
        </w:rPr>
        <w:t xml:space="preserve">R1_FISCU  (Region 1, state charters, 284 institutions)</w:t>
      </w:r>
    </w:p>
    <w:p>
      <w:pPr>
        <w:pStyle w:val="Heading2"/>
        <w:spacing w:after="100" w:before="240"/>
      </w:pPr>
      <w:r>
        <w:rPr>
          <w:rFonts w:ascii="Calibri" w:cs="Calibri" w:eastAsia="Calibri" w:hAnsi="Calibri"/>
        </w:rPr>
        <w:t xml:space="preserve">How to read this tab</w:t>
      </w:r>
    </w:p>
    <w:p>
      <w:pPr>
        <w:spacing w:after="120" w:line="276"/>
      </w:pPr>
      <w:r>
        <w:rPr>
          <w:rFonts w:ascii="Calibri" w:cs="Calibri" w:eastAsia="Calibri" w:hAnsi="Calibri"/>
          <w:sz w:val="22"/>
          <w:szCs w:val="22"/>
        </w:rPr>
        <w:t xml:space="preserve">The top table is the count of credit unions in this region and charter type by asset category, at 2026Q2 and at each forecast date. It is the same layout as the Total tab, restricted to this cell; the eight regional tabs add up to the Total tab exactly. The Change column compares 2031Q2 with 2026Q2. The TOTAL row never changes because no mergers are included.</w:t>
      </w:r>
    </w:p>
    <w:p>
      <w:pPr>
        <w:spacing w:after="120" w:line="276"/>
      </w:pPr>
      <w:r>
        <w:rPr>
          <w:rFonts w:ascii="Calibri" w:cs="Calibri" w:eastAsia="Calibri" w:hAnsi="Calibri"/>
          <w:sz w:val="22"/>
          <w:szCs w:val="22"/>
        </w:rPr>
        <w:t xml:space="preserve">Below it is every credit union in this cell, largest first, with its category and projected assets at each date. Counting the list by category reproduces the table above. Use Find (Ctrl+F) to locate an institution by name or join number. The columns are explained in the Institutions section at the end of this document; the note on what "Median" means is in the introduction.</w:t>
      </w:r>
    </w:p>
    <w:p>
      <w:pPr>
        <w:pStyle w:val="Heading2"/>
        <w:spacing w:after="100" w:before="240"/>
      </w:pPr>
      <w:r>
        <w:rPr>
          <w:rFonts w:ascii="Calibri" w:cs="Calibri" w:eastAsia="Calibri" w:hAnsi="Calibri"/>
        </w:rPr>
        <w:t xml:space="preserve">Key findings</w:t>
      </w:r>
    </w:p>
    <w:p>
      <w:pPr>
        <w:pStyle w:val="ListParagraph"/>
        <w:numPr>
          <w:ilvl w:val="0"/>
          <w:numId w:val="2"/>
        </w:numPr>
        <w:spacing w:after="80" w:line="276"/>
      </w:pPr>
      <w:r>
        <w:rPr>
          <w:rFonts w:ascii="Calibri" w:cs="Calibri" w:eastAsia="Calibri" w:hAnsi="Calibri"/>
          <w:sz w:val="22"/>
          <w:szCs w:val="22"/>
        </w:rPr>
        <w:t xml:space="preserve">A smaller cell with a pronounced shift to the top: $1B–$10B grows from 52 to 72 (+20, a 38% increase), the largest proportional gain in any cell. Every category below it declines.</w:t>
      </w:r>
    </w:p>
    <w:p>
      <w:pPr>
        <w:pStyle w:val="ListParagraph"/>
        <w:numPr>
          <w:ilvl w:val="0"/>
          <w:numId w:val="2"/>
        </w:numPr>
        <w:spacing w:after="80" w:line="276"/>
      </w:pPr>
      <w:r>
        <w:rPr>
          <w:rFonts w:ascii="Calibri" w:cs="Calibri" w:eastAsia="Calibri" w:hAnsi="Calibri"/>
          <w:sz w:val="22"/>
          <w:szCs w:val="22"/>
        </w:rPr>
        <w:t xml:space="preserve">$50M–$100M loses 9 of 41 (−22%), the steepest proportional decline of any category in any cell; most of those institutions move up to $100M–$500M, which itself loses 4 as institutions pass $500M.</w:t>
      </w:r>
    </w:p>
    <w:p>
      <w:pPr>
        <w:pStyle w:val="ListParagraph"/>
        <w:numPr>
          <w:ilvl w:val="0"/>
          <w:numId w:val="2"/>
        </w:numPr>
        <w:spacing w:after="80" w:line="276"/>
      </w:pPr>
      <w:r>
        <w:rPr>
          <w:rFonts w:ascii="Calibri" w:cs="Calibri" w:eastAsia="Calibri" w:hAnsi="Calibri"/>
          <w:sz w:val="22"/>
          <w:szCs w:val="22"/>
        </w:rPr>
        <w:t xml:space="preserve">The $10B and over count goes from 1 (Lake Michigan) to 2: Pennsylvania State Employees, at about $9.7B, is projected to cross by 2029Q2.</w:t>
      </w:r>
    </w:p>
    <w:p>
      <w:pPr>
        <w:pStyle w:val="ListParagraph"/>
        <w:numPr>
          <w:ilvl w:val="0"/>
          <w:numId w:val="2"/>
        </w:numPr>
        <w:spacing w:after="80" w:line="276"/>
      </w:pPr>
      <w:r>
        <w:rPr>
          <w:rFonts w:ascii="Calibri" w:cs="Calibri" w:eastAsia="Calibri" w:hAnsi="Calibri"/>
          <w:sz w:val="22"/>
          <w:szCs w:val="22"/>
        </w:rPr>
        <w:t xml:space="preserve">Lake Michigan's median projection rises from $17.3B to about $22B by 2031Q2.</w:t>
      </w:r>
    </w:p>
    <w:p>
      <w:pPr>
        <w:pStyle w:val="Heading1"/>
        <w:spacing w:after="160" w:before="360"/>
      </w:pPr>
      <w:r>
        <w:rPr>
          <w:rFonts w:ascii="Calibri" w:cs="Calibri" w:eastAsia="Calibri" w:hAnsi="Calibri"/>
        </w:rPr>
        <w:t xml:space="preserve">R2_FCU  (Region 2, federal charters, 964 institutions)</w:t>
      </w:r>
    </w:p>
    <w:p>
      <w:pPr>
        <w:pStyle w:val="Heading2"/>
        <w:spacing w:after="100" w:before="240"/>
      </w:pPr>
      <w:r>
        <w:rPr>
          <w:rFonts w:ascii="Calibri" w:cs="Calibri" w:eastAsia="Calibri" w:hAnsi="Calibri"/>
        </w:rPr>
        <w:t xml:space="preserve">How to read this tab</w:t>
      </w:r>
    </w:p>
    <w:p>
      <w:pPr>
        <w:spacing w:after="120" w:line="276"/>
      </w:pPr>
      <w:r>
        <w:rPr>
          <w:rFonts w:ascii="Calibri" w:cs="Calibri" w:eastAsia="Calibri" w:hAnsi="Calibri"/>
          <w:sz w:val="22"/>
          <w:szCs w:val="22"/>
        </w:rPr>
        <w:t xml:space="preserve">The top table is the count of credit unions in this region and charter type by asset category, at 2026Q2 and at each forecast date. It is the same layout as the Total tab, restricted to this cell; the eight regional tabs add up to the Total tab exactly. The Change column compares 2031Q2 with 2026Q2. The TOTAL row never changes because no mergers are included.</w:t>
      </w:r>
    </w:p>
    <w:p>
      <w:pPr>
        <w:spacing w:after="120" w:line="276"/>
      </w:pPr>
      <w:r>
        <w:rPr>
          <w:rFonts w:ascii="Calibri" w:cs="Calibri" w:eastAsia="Calibri" w:hAnsi="Calibri"/>
          <w:sz w:val="22"/>
          <w:szCs w:val="22"/>
        </w:rPr>
        <w:t xml:space="preserve">Below it is every credit union in this cell, largest first, with its category and projected assets at each date. Counting the list by category reproduces the table above. Use Find (Ctrl+F) to locate an institution by name or join number. The columns are explained in the Institutions section at the end of this document; the note on what "Median" means is in the introduction.</w:t>
      </w:r>
    </w:p>
    <w:p>
      <w:pPr>
        <w:pStyle w:val="Heading2"/>
        <w:spacing w:after="100" w:before="240"/>
      </w:pPr>
      <w:r>
        <w:rPr>
          <w:rFonts w:ascii="Calibri" w:cs="Calibri" w:eastAsia="Calibri" w:hAnsi="Calibri"/>
        </w:rPr>
        <w:t xml:space="preserve">Key findings</w:t>
      </w:r>
    </w:p>
    <w:p>
      <w:pPr>
        <w:pStyle w:val="ListParagraph"/>
        <w:numPr>
          <w:ilvl w:val="0"/>
          <w:numId w:val="2"/>
        </w:numPr>
        <w:spacing w:after="80" w:line="276"/>
      </w:pPr>
      <w:r>
        <w:rPr>
          <w:rFonts w:ascii="Calibri" w:cs="Calibri" w:eastAsia="Calibri" w:hAnsi="Calibri"/>
          <w:sz w:val="22"/>
          <w:szCs w:val="22"/>
        </w:rPr>
        <w:t xml:space="preserve">The second-largest cell. The two categories under $50M lose 44 institutions (206 to 190, 307 to 279); $50M–$100M loses 6; everything from $100M up gains.</w:t>
      </w:r>
    </w:p>
    <w:p>
      <w:pPr>
        <w:pStyle w:val="ListParagraph"/>
        <w:numPr>
          <w:ilvl w:val="0"/>
          <w:numId w:val="2"/>
        </w:numPr>
        <w:spacing w:after="80" w:line="276"/>
      </w:pPr>
      <w:r>
        <w:rPr>
          <w:rFonts w:ascii="Calibri" w:cs="Calibri" w:eastAsia="Calibri" w:hAnsi="Calibri"/>
          <w:sz w:val="22"/>
          <w:szCs w:val="22"/>
        </w:rPr>
        <w:t xml:space="preserve">$1B–$10B grows from 73 to 97 (+24), the largest absolute gain in the $1B–$10B category of any cell.</w:t>
      </w:r>
    </w:p>
    <w:p>
      <w:pPr>
        <w:pStyle w:val="ListParagraph"/>
        <w:numPr>
          <w:ilvl w:val="0"/>
          <w:numId w:val="2"/>
        </w:numPr>
        <w:spacing w:after="80" w:line="276"/>
      </w:pPr>
      <w:r>
        <w:rPr>
          <w:rFonts w:ascii="Calibri" w:cs="Calibri" w:eastAsia="Calibri" w:hAnsi="Calibri"/>
          <w:sz w:val="22"/>
          <w:szCs w:val="22"/>
        </w:rPr>
        <w:t xml:space="preserve">The $10B and over count goes from 1 (Security Service) to 2, with American Airlines projected to cross by 2029Q2.</w:t>
      </w:r>
    </w:p>
    <w:p>
      <w:pPr>
        <w:pStyle w:val="ListParagraph"/>
        <w:numPr>
          <w:ilvl w:val="0"/>
          <w:numId w:val="2"/>
        </w:numPr>
        <w:spacing w:after="80" w:line="276"/>
      </w:pPr>
      <w:r>
        <w:rPr>
          <w:rFonts w:ascii="Calibri" w:cs="Calibri" w:eastAsia="Calibri" w:hAnsi="Calibri"/>
          <w:sz w:val="22"/>
          <w:szCs w:val="22"/>
        </w:rPr>
        <w:t xml:space="preserve">$100M–$500M gains 19 and $500M–$1B gains 6: the middle of this region's distribution is moving up as well as the top.</w:t>
      </w:r>
    </w:p>
    <w:p>
      <w:pPr>
        <w:pStyle w:val="Heading1"/>
        <w:spacing w:after="160" w:before="360"/>
      </w:pPr>
      <w:r>
        <w:rPr>
          <w:rFonts w:ascii="Calibri" w:cs="Calibri" w:eastAsia="Calibri" w:hAnsi="Calibri"/>
        </w:rPr>
        <w:t xml:space="preserve">R2_FISCU  (Region 2, state charters, 522 institutions)</w:t>
      </w:r>
    </w:p>
    <w:p>
      <w:pPr>
        <w:pStyle w:val="Heading2"/>
        <w:spacing w:after="100" w:before="240"/>
      </w:pPr>
      <w:r>
        <w:rPr>
          <w:rFonts w:ascii="Calibri" w:cs="Calibri" w:eastAsia="Calibri" w:hAnsi="Calibri"/>
        </w:rPr>
        <w:t xml:space="preserve">How to read this tab</w:t>
      </w:r>
    </w:p>
    <w:p>
      <w:pPr>
        <w:spacing w:after="120" w:line="276"/>
      </w:pPr>
      <w:r>
        <w:rPr>
          <w:rFonts w:ascii="Calibri" w:cs="Calibri" w:eastAsia="Calibri" w:hAnsi="Calibri"/>
          <w:sz w:val="22"/>
          <w:szCs w:val="22"/>
        </w:rPr>
        <w:t xml:space="preserve">The top table is the count of credit unions in this region and charter type by asset category, at 2026Q2 and at each forecast date. It is the same layout as the Total tab, restricted to this cell; the eight regional tabs add up to the Total tab exactly. The Change column compares 2031Q2 with 2026Q2. The TOTAL row never changes because no mergers are included.</w:t>
      </w:r>
    </w:p>
    <w:p>
      <w:pPr>
        <w:spacing w:after="120" w:line="276"/>
      </w:pPr>
      <w:r>
        <w:rPr>
          <w:rFonts w:ascii="Calibri" w:cs="Calibri" w:eastAsia="Calibri" w:hAnsi="Calibri"/>
          <w:sz w:val="22"/>
          <w:szCs w:val="22"/>
        </w:rPr>
        <w:t xml:space="preserve">Below it is every credit union in this cell, largest first, with its category and projected assets at each date. Counting the list by category reproduces the table above. Use Find (Ctrl+F) to locate an institution by name or join number. The columns are explained in the Institutions section at the end of this document; the note on what "Median" means is in the introduction.</w:t>
      </w:r>
    </w:p>
    <w:p>
      <w:pPr>
        <w:pStyle w:val="Heading2"/>
        <w:spacing w:after="100" w:before="240"/>
      </w:pPr>
      <w:r>
        <w:rPr>
          <w:rFonts w:ascii="Calibri" w:cs="Calibri" w:eastAsia="Calibri" w:hAnsi="Calibri"/>
        </w:rPr>
        <w:t xml:space="preserve">Key findings</w:t>
      </w:r>
    </w:p>
    <w:p>
      <w:pPr>
        <w:pStyle w:val="ListParagraph"/>
        <w:numPr>
          <w:ilvl w:val="0"/>
          <w:numId w:val="2"/>
        </w:numPr>
        <w:spacing w:after="80" w:line="276"/>
      </w:pPr>
      <w:r>
        <w:rPr>
          <w:rFonts w:ascii="Calibri" w:cs="Calibri" w:eastAsia="Calibri" w:hAnsi="Calibri"/>
          <w:sz w:val="22"/>
          <w:szCs w:val="22"/>
        </w:rPr>
        <w:t xml:space="preserve">$10M–$50M loses 16 and $50M–$100M loses 8; $100M–$500M gains 8 and $1B–$10B gains 13 (73 to 86).</w:t>
      </w:r>
    </w:p>
    <w:p>
      <w:pPr>
        <w:pStyle w:val="ListParagraph"/>
        <w:numPr>
          <w:ilvl w:val="0"/>
          <w:numId w:val="2"/>
        </w:numPr>
        <w:spacing w:after="80" w:line="276"/>
      </w:pPr>
      <w:r>
        <w:rPr>
          <w:rFonts w:ascii="Calibri" w:cs="Calibri" w:eastAsia="Calibri" w:hAnsi="Calibri"/>
          <w:sz w:val="22"/>
          <w:szCs w:val="22"/>
        </w:rPr>
        <w:t xml:space="preserve">The $10B and over count goes from 2 (Vystar, Eastman) to 6 — the second-largest gain in the largest category of any cell. Four institutions currently between $9B and $10B, including MidFlorida and Wright-Patt, are projected to cross; each shows a five-year probability near 0.5, meaning the model regards them as roughly even odds by 2031Q2.</w:t>
      </w:r>
    </w:p>
    <w:p>
      <w:pPr>
        <w:pStyle w:val="ListParagraph"/>
        <w:numPr>
          <w:ilvl w:val="0"/>
          <w:numId w:val="2"/>
        </w:numPr>
        <w:spacing w:after="80" w:line="276"/>
      </w:pPr>
      <w:r>
        <w:rPr>
          <w:rFonts w:ascii="Calibri" w:cs="Calibri" w:eastAsia="Calibri" w:hAnsi="Calibri"/>
          <w:sz w:val="22"/>
          <w:szCs w:val="22"/>
        </w:rPr>
        <w:t xml:space="preserve">$500M–$1B rises to 47 at 2029Q2 then falls back to 44 as institutions pass $1B.</w:t>
      </w:r>
    </w:p>
    <w:p>
      <w:pPr>
        <w:pStyle w:val="Heading1"/>
        <w:spacing w:after="160" w:before="360"/>
      </w:pPr>
      <w:r>
        <w:rPr>
          <w:rFonts w:ascii="Calibri" w:cs="Calibri" w:eastAsia="Calibri" w:hAnsi="Calibri"/>
        </w:rPr>
        <w:t xml:space="preserve">R3_FCU  (Region 3, federal charters, 590 institutions)</w:t>
      </w:r>
    </w:p>
    <w:p>
      <w:pPr>
        <w:pStyle w:val="Heading2"/>
        <w:spacing w:after="100" w:before="240"/>
      </w:pPr>
      <w:r>
        <w:rPr>
          <w:rFonts w:ascii="Calibri" w:cs="Calibri" w:eastAsia="Calibri" w:hAnsi="Calibri"/>
        </w:rPr>
        <w:t xml:space="preserve">How to read this tab</w:t>
      </w:r>
    </w:p>
    <w:p>
      <w:pPr>
        <w:spacing w:after="120" w:line="276"/>
      </w:pPr>
      <w:r>
        <w:rPr>
          <w:rFonts w:ascii="Calibri" w:cs="Calibri" w:eastAsia="Calibri" w:hAnsi="Calibri"/>
          <w:sz w:val="22"/>
          <w:szCs w:val="22"/>
        </w:rPr>
        <w:t xml:space="preserve">The top table is the count of credit unions in this region and charter type by asset category, at 2026Q2 and at each forecast date. It is the same layout as the Total tab, restricted to this cell; the eight regional tabs add up to the Total tab exactly. The Change column compares 2031Q2 with 2026Q2. The TOTAL row never changes because no mergers are included.</w:t>
      </w:r>
    </w:p>
    <w:p>
      <w:pPr>
        <w:spacing w:after="120" w:line="276"/>
      </w:pPr>
      <w:r>
        <w:rPr>
          <w:rFonts w:ascii="Calibri" w:cs="Calibri" w:eastAsia="Calibri" w:hAnsi="Calibri"/>
          <w:sz w:val="22"/>
          <w:szCs w:val="22"/>
        </w:rPr>
        <w:t xml:space="preserve">Below it is every credit union in this cell, largest first, with its category and projected assets at each date. Counting the list by category reproduces the table above. Use Find (Ctrl+F) to locate an institution by name or join number. The columns are explained in the Institutions section at the end of this document; the note on what "Median" means is in the introduction.</w:t>
      </w:r>
    </w:p>
    <w:p>
      <w:pPr>
        <w:pStyle w:val="Heading2"/>
        <w:spacing w:after="100" w:before="240"/>
      </w:pPr>
      <w:r>
        <w:rPr>
          <w:rFonts w:ascii="Calibri" w:cs="Calibri" w:eastAsia="Calibri" w:hAnsi="Calibri"/>
        </w:rPr>
        <w:t xml:space="preserve">Key findings</w:t>
      </w:r>
    </w:p>
    <w:p>
      <w:pPr>
        <w:pStyle w:val="ListParagraph"/>
        <w:numPr>
          <w:ilvl w:val="0"/>
          <w:numId w:val="2"/>
        </w:numPr>
        <w:spacing w:after="80" w:line="276"/>
      </w:pPr>
      <w:r>
        <w:rPr>
          <w:rFonts w:ascii="Calibri" w:cs="Calibri" w:eastAsia="Calibri" w:hAnsi="Calibri"/>
          <w:sz w:val="22"/>
          <w:szCs w:val="22"/>
        </w:rPr>
        <w:t xml:space="preserve">$10M–$50M loses 16 (148 to 132) and the under-$10M category loses 7; the middle categories are nearly flat; $1B–$10B grows from 62 to 81 (+19, a 31% increase).</w:t>
      </w:r>
    </w:p>
    <w:p>
      <w:pPr>
        <w:pStyle w:val="ListParagraph"/>
        <w:numPr>
          <w:ilvl w:val="0"/>
          <w:numId w:val="2"/>
        </w:numPr>
        <w:spacing w:after="80" w:line="276"/>
      </w:pPr>
      <w:r>
        <w:rPr>
          <w:rFonts w:ascii="Calibri" w:cs="Calibri" w:eastAsia="Calibri" w:hAnsi="Calibri"/>
          <w:sz w:val="22"/>
          <w:szCs w:val="22"/>
        </w:rPr>
        <w:t xml:space="preserve">The $10B and over count goes from 1 (Global, Alaska) to 3, with Logix and CommunityAmerica — both above $9B at 2026Q2 — projected to cross.</w:t>
      </w:r>
    </w:p>
    <w:p>
      <w:pPr>
        <w:pStyle w:val="ListParagraph"/>
        <w:numPr>
          <w:ilvl w:val="0"/>
          <w:numId w:val="2"/>
        </w:numPr>
        <w:spacing w:after="80" w:line="276"/>
      </w:pPr>
      <w:r>
        <w:rPr>
          <w:rFonts w:ascii="Calibri" w:cs="Calibri" w:eastAsia="Calibri" w:hAnsi="Calibri"/>
          <w:sz w:val="22"/>
          <w:szCs w:val="22"/>
        </w:rPr>
        <w:t xml:space="preserve">$500M–$1B dips to 34 at 2029Q2 before recovering to 41 at 2031Q2, as one wave of institutions leaves for $1B and the next arrives from $100M–$500M.</w:t>
      </w:r>
    </w:p>
    <w:p>
      <w:pPr>
        <w:pStyle w:val="Heading1"/>
        <w:spacing w:after="160" w:before="360"/>
      </w:pPr>
      <w:r>
        <w:rPr>
          <w:rFonts w:ascii="Calibri" w:cs="Calibri" w:eastAsia="Calibri" w:hAnsi="Calibri"/>
        </w:rPr>
        <w:t xml:space="preserve">R3_FISCU  (Region 3, state charters, 754 institutions)</w:t>
      </w:r>
    </w:p>
    <w:p>
      <w:pPr>
        <w:pStyle w:val="Heading2"/>
        <w:spacing w:after="100" w:before="240"/>
      </w:pPr>
      <w:r>
        <w:rPr>
          <w:rFonts w:ascii="Calibri" w:cs="Calibri" w:eastAsia="Calibri" w:hAnsi="Calibri"/>
        </w:rPr>
        <w:t xml:space="preserve">How to read this tab</w:t>
      </w:r>
    </w:p>
    <w:p>
      <w:pPr>
        <w:spacing w:after="120" w:line="276"/>
      </w:pPr>
      <w:r>
        <w:rPr>
          <w:rFonts w:ascii="Calibri" w:cs="Calibri" w:eastAsia="Calibri" w:hAnsi="Calibri"/>
          <w:sz w:val="22"/>
          <w:szCs w:val="22"/>
        </w:rPr>
        <w:t xml:space="preserve">The top table is the count of credit unions in this region and charter type by asset category, at 2026Q2 and at each forecast date. It is the same layout as the Total tab, restricted to this cell; the eight regional tabs add up to the Total tab exactly. The Change column compares 2031Q2 with 2026Q2. The TOTAL row never changes because no mergers are included.</w:t>
      </w:r>
    </w:p>
    <w:p>
      <w:pPr>
        <w:spacing w:after="120" w:line="276"/>
      </w:pPr>
      <w:r>
        <w:rPr>
          <w:rFonts w:ascii="Calibri" w:cs="Calibri" w:eastAsia="Calibri" w:hAnsi="Calibri"/>
          <w:sz w:val="22"/>
          <w:szCs w:val="22"/>
        </w:rPr>
        <w:t xml:space="preserve">Below it is every credit union in this cell, largest first, with its category and projected assets at each date. Counting the list by category reproduces the table above. Use Find (Ctrl+F) to locate an institution by name or join number. The columns are explained in the Institutions section at the end of this document; the note on what "Median" means is in the introduction.</w:t>
      </w:r>
    </w:p>
    <w:p>
      <w:pPr>
        <w:pStyle w:val="Heading2"/>
        <w:spacing w:after="100" w:before="240"/>
      </w:pPr>
      <w:r>
        <w:rPr>
          <w:rFonts w:ascii="Calibri" w:cs="Calibri" w:eastAsia="Calibri" w:hAnsi="Calibri"/>
        </w:rPr>
        <w:t xml:space="preserve">Key findings</w:t>
      </w:r>
    </w:p>
    <w:p>
      <w:pPr>
        <w:pStyle w:val="ListParagraph"/>
        <w:numPr>
          <w:ilvl w:val="0"/>
          <w:numId w:val="2"/>
        </w:numPr>
        <w:spacing w:after="80" w:line="276"/>
      </w:pPr>
      <w:r>
        <w:rPr>
          <w:rFonts w:ascii="Calibri" w:cs="Calibri" w:eastAsia="Calibri" w:hAnsi="Calibri"/>
          <w:sz w:val="22"/>
          <w:szCs w:val="22"/>
        </w:rPr>
        <w:t xml:space="preserve">The cell with the most movement at the top. The $10B and over count goes from 4 (Wings, Idaho Central, Greenstate, Redwood) to 10 by 2031Q2 — 7 by 2027Q2, 9 by 2029Q2. The new entrants include Desert Financial, Patelco, Star One, San Diego County and OnPoint Community, all within 5% of $10B at 2026Q2.</w:t>
      </w:r>
    </w:p>
    <w:p>
      <w:pPr>
        <w:pStyle w:val="ListParagraph"/>
        <w:numPr>
          <w:ilvl w:val="0"/>
          <w:numId w:val="2"/>
        </w:numPr>
        <w:spacing w:after="80" w:line="276"/>
      </w:pPr>
      <w:r>
        <w:rPr>
          <w:rFonts w:ascii="Calibri" w:cs="Calibri" w:eastAsia="Calibri" w:hAnsi="Calibri"/>
          <w:sz w:val="22"/>
          <w:szCs w:val="22"/>
        </w:rPr>
        <w:t xml:space="preserve">$1B–$10B grows from 122 to 144 (+22) even after losing six to $10B, because 28 institutions arrive from below.</w:t>
      </w:r>
    </w:p>
    <w:p>
      <w:pPr>
        <w:pStyle w:val="ListParagraph"/>
        <w:numPr>
          <w:ilvl w:val="0"/>
          <w:numId w:val="2"/>
        </w:numPr>
        <w:spacing w:after="80" w:line="276"/>
      </w:pPr>
      <w:r>
        <w:rPr>
          <w:rFonts w:ascii="Calibri" w:cs="Calibri" w:eastAsia="Calibri" w:hAnsi="Calibri"/>
          <w:sz w:val="22"/>
          <w:szCs w:val="22"/>
        </w:rPr>
        <w:t xml:space="preserve">$10M–$50M loses 21 (153 to 132) and $50M–$100M loses 11, the largest declines in those categories in any cell.</w:t>
      </w:r>
    </w:p>
    <w:p>
      <w:pPr>
        <w:pStyle w:val="ListParagraph"/>
        <w:numPr>
          <w:ilvl w:val="0"/>
          <w:numId w:val="2"/>
        </w:numPr>
        <w:spacing w:after="80" w:line="276"/>
      </w:pPr>
      <w:r>
        <w:rPr>
          <w:rFonts w:ascii="Calibri" w:cs="Calibri" w:eastAsia="Calibri" w:hAnsi="Calibri"/>
          <w:sz w:val="22"/>
          <w:szCs w:val="22"/>
        </w:rPr>
        <w:t xml:space="preserve">The region's state-chartered credit unions are, on average, larger and faster-moving than its federal ones: this cell has 754 institutions to R3_FCU's 590 but more than three times as many at $10B and over.</w:t>
      </w:r>
    </w:p>
    <w:p>
      <w:pPr>
        <w:pStyle w:val="Heading1"/>
        <w:spacing w:after="160" w:before="360"/>
      </w:pPr>
      <w:r>
        <w:rPr>
          <w:rFonts w:ascii="Calibri" w:cs="Calibri" w:eastAsia="Calibri" w:hAnsi="Calibri"/>
        </w:rPr>
        <w:t xml:space="preserve">R8_FCU  (ONES, federal charters, 7 institutions)</w:t>
      </w:r>
    </w:p>
    <w:p>
      <w:pPr>
        <w:pStyle w:val="Heading2"/>
        <w:spacing w:after="100" w:before="240"/>
      </w:pPr>
      <w:r>
        <w:rPr>
          <w:rFonts w:ascii="Calibri" w:cs="Calibri" w:eastAsia="Calibri" w:hAnsi="Calibri"/>
        </w:rPr>
        <w:t xml:space="preserve">How to read this tab</w:t>
      </w:r>
    </w:p>
    <w:p>
      <w:pPr>
        <w:spacing w:after="120" w:line="276"/>
      </w:pPr>
      <w:r>
        <w:rPr>
          <w:rFonts w:ascii="Calibri" w:cs="Calibri" w:eastAsia="Calibri" w:hAnsi="Calibri"/>
          <w:sz w:val="22"/>
          <w:szCs w:val="22"/>
        </w:rPr>
        <w:t xml:space="preserve">The top table is the count of credit unions in this region and charter type by asset category, at 2026Q2 and at each forecast date. It is the same layout as the Total tab, restricted to this cell; the eight regional tabs add up to the Total tab exactly. The Change column compares 2031Q2 with 2026Q2. The TOTAL row never changes because no mergers are included.</w:t>
      </w:r>
    </w:p>
    <w:p>
      <w:pPr>
        <w:spacing w:after="120" w:line="276"/>
      </w:pPr>
      <w:r>
        <w:rPr>
          <w:rFonts w:ascii="Calibri" w:cs="Calibri" w:eastAsia="Calibri" w:hAnsi="Calibri"/>
          <w:sz w:val="22"/>
          <w:szCs w:val="22"/>
        </w:rPr>
        <w:t xml:space="preserve">Below it is every credit union in this cell, largest first, with its category and projected assets at each date. Counting the list by category reproduces the table above. Use Find (Ctrl+F) to locate an institution by name or join number. The columns are explained in the Institutions section at the end of this document; the note on what "Median" means is in the introduction.</w:t>
      </w:r>
    </w:p>
    <w:p>
      <w:pPr>
        <w:pStyle w:val="Heading2"/>
        <w:spacing w:after="100" w:before="240"/>
      </w:pPr>
      <w:r>
        <w:rPr>
          <w:rFonts w:ascii="Calibri" w:cs="Calibri" w:eastAsia="Calibri" w:hAnsi="Calibri"/>
        </w:rPr>
        <w:t xml:space="preserve">Key findings</w:t>
      </w:r>
    </w:p>
    <w:p>
      <w:pPr>
        <w:pStyle w:val="ListParagraph"/>
        <w:numPr>
          <w:ilvl w:val="0"/>
          <w:numId w:val="2"/>
        </w:numPr>
        <w:spacing w:after="80" w:line="276"/>
      </w:pPr>
      <w:r>
        <w:rPr>
          <w:rFonts w:ascii="Calibri" w:cs="Calibri" w:eastAsia="Calibri" w:hAnsi="Calibri"/>
          <w:sz w:val="22"/>
          <w:szCs w:val="22"/>
        </w:rPr>
        <w:t xml:space="preserve">ONES is the Office of National Examinations and Supervision, not a region. Its institutions are grouped here because they are supervised together; do not compare this tab to a regional tab as if ONES were a fourth region.</w:t>
      </w:r>
    </w:p>
    <w:p>
      <w:pPr>
        <w:pStyle w:val="ListParagraph"/>
        <w:numPr>
          <w:ilvl w:val="0"/>
          <w:numId w:val="2"/>
        </w:numPr>
        <w:spacing w:after="80" w:line="276"/>
      </w:pPr>
      <w:r>
        <w:rPr>
          <w:rFonts w:ascii="Calibri" w:cs="Calibri" w:eastAsia="Calibri" w:hAnsi="Calibri"/>
          <w:sz w:val="22"/>
          <w:szCs w:val="22"/>
        </w:rPr>
        <w:t xml:space="preserve">All seven are at $10B and over at 2026Q2 and remain there at every forecast date: Navy Federal, SchoolsFirst, Pentagon, First Technology, America First, Mountain America, Randolph-Brooks. The count table therefore shows no movement.</w:t>
      </w:r>
    </w:p>
    <w:p>
      <w:pPr>
        <w:pStyle w:val="ListParagraph"/>
        <w:numPr>
          <w:ilvl w:val="0"/>
          <w:numId w:val="2"/>
        </w:numPr>
        <w:spacing w:after="80" w:line="276"/>
      </w:pPr>
      <w:r>
        <w:rPr>
          <w:rFonts w:ascii="Calibri" w:cs="Calibri" w:eastAsia="Calibri" w:hAnsi="Calibri"/>
          <w:sz w:val="22"/>
          <w:szCs w:val="22"/>
        </w:rPr>
        <w:t xml:space="preserve">The interest here is in the Median columns. Navy Federal's median projection rises from $204B to about $310B by 2031Q2; SchoolsFirst from $37B to about $56B; the others by similar proportions. These are the same historical growth rates that drive every other tab, applied to very large balance sheets.</w:t>
      </w:r>
    </w:p>
    <w:p>
      <w:pPr>
        <w:pStyle w:val="Heading1"/>
        <w:spacing w:after="160" w:before="360"/>
      </w:pPr>
      <w:r>
        <w:rPr>
          <w:rFonts w:ascii="Calibri" w:cs="Calibri" w:eastAsia="Calibri" w:hAnsi="Calibri"/>
        </w:rPr>
        <w:t xml:space="preserve">R8_FISCU  (ONES, state charters, 5 institutions)</w:t>
      </w:r>
    </w:p>
    <w:p>
      <w:pPr>
        <w:pStyle w:val="Heading2"/>
        <w:spacing w:after="100" w:before="240"/>
      </w:pPr>
      <w:r>
        <w:rPr>
          <w:rFonts w:ascii="Calibri" w:cs="Calibri" w:eastAsia="Calibri" w:hAnsi="Calibri"/>
        </w:rPr>
        <w:t xml:space="preserve">How to read this tab</w:t>
      </w:r>
    </w:p>
    <w:p>
      <w:pPr>
        <w:spacing w:after="120" w:line="276"/>
      </w:pPr>
      <w:r>
        <w:rPr>
          <w:rFonts w:ascii="Calibri" w:cs="Calibri" w:eastAsia="Calibri" w:hAnsi="Calibri"/>
          <w:sz w:val="22"/>
          <w:szCs w:val="22"/>
        </w:rPr>
        <w:t xml:space="preserve">The top table is the count of credit unions in this region and charter type by asset category, at 2026Q2 and at each forecast date. It is the same layout as the Total tab, restricted to this cell; the eight regional tabs add up to the Total tab exactly. The Change column compares 2031Q2 with 2026Q2. The TOTAL row never changes because no mergers are included.</w:t>
      </w:r>
    </w:p>
    <w:p>
      <w:pPr>
        <w:spacing w:after="120" w:line="276"/>
      </w:pPr>
      <w:r>
        <w:rPr>
          <w:rFonts w:ascii="Calibri" w:cs="Calibri" w:eastAsia="Calibri" w:hAnsi="Calibri"/>
          <w:sz w:val="22"/>
          <w:szCs w:val="22"/>
        </w:rPr>
        <w:t xml:space="preserve">Below it is every credit union in this cell, largest first, with its category and projected assets at each date. Counting the list by category reproduces the table above. Use Find (Ctrl+F) to locate an institution by name or join number. The columns are explained in the Institutions section at the end of this document; the note on what "Median" means is in the introduction.</w:t>
      </w:r>
    </w:p>
    <w:p>
      <w:pPr>
        <w:pStyle w:val="Heading2"/>
        <w:spacing w:after="100" w:before="240"/>
      </w:pPr>
      <w:r>
        <w:rPr>
          <w:rFonts w:ascii="Calibri" w:cs="Calibri" w:eastAsia="Calibri" w:hAnsi="Calibri"/>
        </w:rPr>
        <w:t xml:space="preserve">Key findings</w:t>
      </w:r>
    </w:p>
    <w:p>
      <w:pPr>
        <w:pStyle w:val="ListParagraph"/>
        <w:numPr>
          <w:ilvl w:val="0"/>
          <w:numId w:val="2"/>
        </w:numPr>
        <w:spacing w:after="80" w:line="276"/>
      </w:pPr>
      <w:r>
        <w:rPr>
          <w:rFonts w:ascii="Calibri" w:cs="Calibri" w:eastAsia="Calibri" w:hAnsi="Calibri"/>
          <w:sz w:val="22"/>
          <w:szCs w:val="22"/>
        </w:rPr>
        <w:t xml:space="preserve">All five are at $10B and over at 2026Q2 and remain there: State Employees' (NC), Boeing Employees, The Golden 1, Suncoast, Alliant.</w:t>
      </w:r>
    </w:p>
    <w:p>
      <w:pPr>
        <w:pStyle w:val="ListParagraph"/>
        <w:numPr>
          <w:ilvl w:val="0"/>
          <w:numId w:val="2"/>
        </w:numPr>
        <w:spacing w:after="80" w:line="276"/>
      </w:pPr>
      <w:r>
        <w:rPr>
          <w:rFonts w:ascii="Calibri" w:cs="Calibri" w:eastAsia="Calibri" w:hAnsi="Calibri"/>
          <w:sz w:val="22"/>
          <w:szCs w:val="22"/>
        </w:rPr>
        <w:t xml:space="preserve">State Employees' median projection rises from $60B to about $91B by 2031Q2; the other four from the $20B–$30B range to the $30B–$45B range.</w:t>
      </w:r>
    </w:p>
    <w:p>
      <w:pPr>
        <w:pStyle w:val="ListParagraph"/>
        <w:numPr>
          <w:ilvl w:val="0"/>
          <w:numId w:val="2"/>
        </w:numPr>
        <w:spacing w:after="80" w:line="276"/>
      </w:pPr>
      <w:r>
        <w:rPr>
          <w:rFonts w:ascii="Calibri" w:cs="Calibri" w:eastAsia="Calibri" w:hAnsi="Calibri"/>
          <w:sz w:val="22"/>
          <w:szCs w:val="22"/>
        </w:rPr>
        <w:t xml:space="preserve">As with R8_FCU, the count table cannot move; read this tab for the projected sizes and, on the Institutions tab, the probabilities.</w:t>
      </w:r>
    </w:p>
    <w:p>
      <w:pPr>
        <w:pStyle w:val="Heading1"/>
        <w:spacing w:after="160" w:before="360"/>
      </w:pPr>
      <w:r>
        <w:rPr>
          <w:rFonts w:ascii="Calibri" w:cs="Calibri" w:eastAsia="Calibri" w:hAnsi="Calibri"/>
        </w:rPr>
        <w:t xml:space="preserve">Institutions</w:t>
      </w:r>
    </w:p>
    <w:p>
      <w:pPr>
        <w:pStyle w:val="Heading2"/>
        <w:spacing w:after="100" w:before="240"/>
      </w:pPr>
      <w:r>
        <w:rPr>
          <w:rFonts w:ascii="Calibri" w:cs="Calibri" w:eastAsia="Calibri" w:hAnsi="Calibri"/>
        </w:rPr>
        <w:t xml:space="preserve">How to read this tab</w:t>
      </w:r>
    </w:p>
    <w:p>
      <w:pPr>
        <w:spacing w:after="120" w:line="276"/>
      </w:pPr>
      <w:r>
        <w:rPr>
          <w:rFonts w:ascii="Calibri" w:cs="Calibri" w:eastAsia="Calibri" w:hAnsi="Calibri"/>
          <w:sz w:val="22"/>
          <w:szCs w:val="22"/>
        </w:rPr>
        <w:t xml:space="preserve">Every one of the 4,214 credit unions in one list, sorted by assets at 2026Q2, largest first. This is the list that every count in the workbook is tallied from: filter it by any category and date and you will reproduce the corresponding figure on the Total tab or a regional tab.</w:t>
      </w:r>
    </w:p>
    <w:p>
      <w:pPr>
        <w:spacing w:after="120" w:line="276"/>
      </w:pPr>
      <w:r>
        <w:rPr>
          <w:rFonts w:ascii="Calibri" w:cs="Calibri" w:eastAsia="Calibri" w:hAnsi="Calibri"/>
          <w:sz w:val="22"/>
          <w:szCs w:val="22"/>
        </w:rPr>
        <w:t xml:space="preserve">Reading across a row, left to right:</w:t>
      </w:r>
    </w:p>
    <w:p>
      <w:pPr>
        <w:pStyle w:val="ListParagraph"/>
        <w:numPr>
          <w:ilvl w:val="0"/>
          <w:numId w:val="2"/>
        </w:numPr>
        <w:spacing w:after="80" w:line="276"/>
      </w:pPr>
      <w:r>
        <w:rPr>
          <w:rFonts w:ascii="Calibri" w:cs="Calibri" w:eastAsia="Calibri" w:hAnsi="Calibri"/>
          <w:b/>
          <w:bCs/>
          <w:sz w:val="22"/>
          <w:szCs w:val="22"/>
        </w:rPr>
        <w:t xml:space="preserve">Join number, Credit union, Region, Charter, State. </w:t>
      </w:r>
      <w:r>
        <w:rPr>
          <w:rFonts w:ascii="Calibri" w:cs="Calibri" w:eastAsia="Calibri" w:hAnsi="Calibri"/>
          <w:sz w:val="22"/>
          <w:szCs w:val="22"/>
        </w:rPr>
        <w:t xml:space="preserve">Identification. Region 8 is shown as ONES.</w:t>
      </w:r>
    </w:p>
    <w:p>
      <w:pPr>
        <w:pStyle w:val="ListParagraph"/>
        <w:numPr>
          <w:ilvl w:val="0"/>
          <w:numId w:val="2"/>
        </w:numPr>
        <w:spacing w:after="80" w:line="276"/>
      </w:pPr>
      <w:r>
        <w:rPr>
          <w:rFonts w:ascii="Calibri" w:cs="Calibri" w:eastAsia="Calibri" w:hAnsi="Calibri"/>
          <w:b/>
          <w:bCs/>
          <w:sz w:val="22"/>
          <w:szCs w:val="22"/>
        </w:rPr>
        <w:t xml:space="preserve">Assets ($M), Category today. </w:t>
      </w:r>
      <w:r>
        <w:rPr>
          <w:rFonts w:ascii="Calibri" w:cs="Calibri" w:eastAsia="Calibri" w:hAnsi="Calibri"/>
          <w:sz w:val="22"/>
          <w:szCs w:val="22"/>
        </w:rPr>
        <w:t xml:space="preserve">Total assets in millions and the asset category at 2026Q2.</w:t>
      </w:r>
    </w:p>
    <w:p>
      <w:pPr>
        <w:pStyle w:val="ListParagraph"/>
        <w:numPr>
          <w:ilvl w:val="0"/>
          <w:numId w:val="2"/>
        </w:numPr>
        <w:spacing w:after="80" w:line="276"/>
      </w:pPr>
      <w:r>
        <w:rPr>
          <w:rFonts w:ascii="Calibri" w:cs="Calibri" w:eastAsia="Calibri" w:hAnsi="Calibri"/>
          <w:b/>
          <w:bCs/>
          <w:sz w:val="22"/>
          <w:szCs w:val="22"/>
        </w:rPr>
        <w:t xml:space="preserve">1yr, 3yr, 5yr. </w:t>
      </w:r>
      <w:r>
        <w:rPr>
          <w:rFonts w:ascii="Calibri" w:cs="Calibri" w:eastAsia="Calibri" w:hAnsi="Calibri"/>
          <w:sz w:val="22"/>
          <w:szCs w:val="22"/>
        </w:rPr>
        <w:t xml:space="preserve">The category the institution is assigned to at 2027Q2, 2029Q2 and 2031Q2. Assignment is by projected size and never places an institution below its 2026Q2 category.</w:t>
      </w:r>
    </w:p>
    <w:p>
      <w:pPr>
        <w:pStyle w:val="ListParagraph"/>
        <w:numPr>
          <w:ilvl w:val="0"/>
          <w:numId w:val="2"/>
        </w:numPr>
        <w:spacing w:after="80" w:line="276"/>
      </w:pPr>
      <w:r>
        <w:rPr>
          <w:rFonts w:ascii="Calibri" w:cs="Calibri" w:eastAsia="Calibri" w:hAnsi="Calibri"/>
          <w:b/>
          <w:bCs/>
          <w:sz w:val="22"/>
          <w:szCs w:val="22"/>
        </w:rPr>
        <w:t xml:space="preserve">Median 1yr, 3yr, 5yr ($M). </w:t>
      </w:r>
      <w:r>
        <w:rPr>
          <w:rFonts w:ascii="Calibri" w:cs="Calibri" w:eastAsia="Calibri" w:hAnsi="Calibri"/>
          <w:sz w:val="22"/>
          <w:szCs w:val="22"/>
        </w:rPr>
        <w:t xml:space="preserve">The middle of the projected asset range at each date; see the note on "Median" in the introduction. The category in the column to its left is the category this figure falls in.</w:t>
      </w:r>
    </w:p>
    <w:p>
      <w:pPr>
        <w:pStyle w:val="ListParagraph"/>
        <w:numPr>
          <w:ilvl w:val="0"/>
          <w:numId w:val="2"/>
        </w:numPr>
        <w:spacing w:after="80" w:line="276"/>
      </w:pPr>
      <w:r>
        <w:rPr>
          <w:rFonts w:ascii="Calibri" w:cs="Calibri" w:eastAsia="Calibri" w:hAnsi="Calibri"/>
          <w:b/>
          <w:bCs/>
          <w:sz w:val="22"/>
          <w:szCs w:val="22"/>
        </w:rPr>
        <w:t xml:space="preserve">P(1yr), P(3yr), P(5yr), where shown. </w:t>
      </w:r>
      <w:r>
        <w:rPr>
          <w:rFonts w:ascii="Calibri" w:cs="Calibri" w:eastAsia="Calibri" w:hAnsi="Calibri"/>
          <w:sz w:val="22"/>
          <w:szCs w:val="22"/>
        </w:rPr>
        <w:t xml:space="preserve">The share of historically comparable institutions that ended up in the assigned category. This is the most important column on the sheet. An assignment with probability 0.95 is close to certain; one with 0.55 is close to a coin flip; the category column alone does not distinguish them.</w:t>
      </w:r>
    </w:p>
    <w:p>
      <w:pPr>
        <w:pStyle w:val="ListParagraph"/>
        <w:numPr>
          <w:ilvl w:val="0"/>
          <w:numId w:val="2"/>
        </w:numPr>
        <w:spacing w:after="80" w:line="276"/>
      </w:pPr>
      <w:r>
        <w:rPr>
          <w:rFonts w:ascii="Calibri" w:cs="Calibri" w:eastAsia="Calibri" w:hAnsi="Calibri"/>
          <w:b/>
          <w:bCs/>
          <w:sz w:val="22"/>
          <w:szCs w:val="22"/>
        </w:rPr>
        <w:t xml:space="preserve">Confidence, Low 5yr, High 5yr, P(up), P(same), P(down), Down risk, Short history, where shown. </w:t>
      </w:r>
      <w:r>
        <w:rPr>
          <w:rFonts w:ascii="Calibri" w:cs="Calibri" w:eastAsia="Calibri" w:hAnsi="Calibri"/>
          <w:sz w:val="22"/>
          <w:szCs w:val="22"/>
        </w:rPr>
        <w:t xml:space="preserve">Confidence is the five-year probability in words (high above 0.75, medium 0.50–0.75, low below 0.50). Low and High are the 10th and 90th percentiles of projected assets at five years. P(down) and the Down risk flag carry the information the assignment cannot show. Short history marks institutions with too little Call Report history for their own trailing measures; it does not make the row less reliable.</w:t>
      </w:r>
    </w:p>
    <w:p>
      <w:pPr>
        <w:pStyle w:val="Heading2"/>
        <w:spacing w:after="100" w:before="240"/>
      </w:pPr>
      <w:r>
        <w:rPr>
          <w:rFonts w:ascii="Calibri" w:cs="Calibri" w:eastAsia="Calibri" w:hAnsi="Calibri"/>
        </w:rPr>
        <w:t xml:space="preserve">Key findings</w:t>
      </w:r>
    </w:p>
    <w:p>
      <w:pPr>
        <w:pStyle w:val="ListParagraph"/>
        <w:numPr>
          <w:ilvl w:val="0"/>
          <w:numId w:val="2"/>
        </w:numPr>
        <w:spacing w:after="80" w:line="276"/>
      </w:pPr>
      <w:r>
        <w:rPr>
          <w:rFonts w:ascii="Calibri" w:cs="Calibri" w:eastAsia="Calibri" w:hAnsi="Calibri"/>
          <w:sz w:val="22"/>
          <w:szCs w:val="22"/>
        </w:rPr>
        <w:t xml:space="preserve">Use the filters. "5yr = $10B and over" returns 42 rows; "Category today = $1B–$10B" and "5yr = $10B and over" together return the 17 projected crossers, with their probabilities.</w:t>
      </w:r>
    </w:p>
    <w:p>
      <w:pPr>
        <w:pStyle w:val="ListParagraph"/>
        <w:numPr>
          <w:ilvl w:val="0"/>
          <w:numId w:val="2"/>
        </w:numPr>
        <w:spacing w:after="80" w:line="276"/>
      </w:pPr>
      <w:r>
        <w:rPr>
          <w:rFonts w:ascii="Calibri" w:cs="Calibri" w:eastAsia="Calibri" w:hAnsi="Calibri"/>
          <w:sz w:val="22"/>
          <w:szCs w:val="22"/>
        </w:rPr>
        <w:t xml:space="preserve">The top of the list is stable. The 25 institutions at $10B and over at 2026Q2 are at $10B and over at every date, and their probabilities are 0.95 or higher.</w:t>
      </w:r>
    </w:p>
    <w:p>
      <w:pPr>
        <w:pStyle w:val="ListParagraph"/>
        <w:numPr>
          <w:ilvl w:val="0"/>
          <w:numId w:val="2"/>
        </w:numPr>
        <w:spacing w:after="80" w:line="276"/>
      </w:pPr>
      <w:r>
        <w:rPr>
          <w:rFonts w:ascii="Calibri" w:cs="Calibri" w:eastAsia="Calibri" w:hAnsi="Calibri"/>
          <w:sz w:val="22"/>
          <w:szCs w:val="22"/>
        </w:rPr>
        <w:t xml:space="preserve">Immediately below them, sixteen institutions sit between $9B and $10B. Most are assigned to $10B and over by 2027Q2 or 2029Q2, but their probabilities are closer to 0.5 than to 1: crossing is likely, not certain, and $10B is a threshold some institutions deliberately stay under.</w:t>
      </w:r>
    </w:p>
    <w:p>
      <w:pPr>
        <w:pStyle w:val="ListParagraph"/>
        <w:numPr>
          <w:ilvl w:val="0"/>
          <w:numId w:val="2"/>
        </w:numPr>
        <w:spacing w:after="80" w:line="276"/>
      </w:pPr>
      <w:r>
        <w:rPr>
          <w:rFonts w:ascii="Calibri" w:cs="Calibri" w:eastAsia="Calibri" w:hAnsi="Calibri"/>
          <w:sz w:val="22"/>
          <w:szCs w:val="22"/>
        </w:rPr>
        <w:t xml:space="preserve">For institutions below $1B, the pattern is the same at every threshold: those well inside a category stay with high probability; those within about 10–15% of the next line are the ones most likely to move, and their probabilities say so.</w:t>
      </w:r>
    </w:p>
    <w:p>
      <w:pPr>
        <w:pStyle w:val="ListParagraph"/>
        <w:numPr>
          <w:ilvl w:val="0"/>
          <w:numId w:val="2"/>
        </w:numPr>
        <w:spacing w:after="80" w:line="276"/>
      </w:pPr>
      <w:r>
        <w:rPr>
          <w:rFonts w:ascii="Calibri" w:cs="Calibri" w:eastAsia="Calibri" w:hAnsi="Calibri"/>
          <w:sz w:val="22"/>
          <w:szCs w:val="22"/>
        </w:rPr>
        <w:t xml:space="preserve">Reading the list for a single institution: find it, read its 5yr category, then read P(5yr) before drawing any conclusion. A probability below about 0.7 means the model itself is not confident.</w:t>
      </w:r>
    </w:p>
    <w:p>
      <w:pPr>
        <w:pStyle w:val="Heading1"/>
        <w:spacing w:after="160" w:before="360"/>
      </w:pPr>
      <w:r>
        <w:rPr>
          <w:rFonts w:ascii="Calibri" w:cs="Calibri" w:eastAsia="Calibri" w:hAnsi="Calibri"/>
        </w:rPr>
        <w:t xml:space="preserve">Using this workbook well</w:t>
      </w:r>
    </w:p>
    <w:p>
      <w:pPr>
        <w:pStyle w:val="ListParagraph"/>
        <w:numPr>
          <w:ilvl w:val="0"/>
          <w:numId w:val="2"/>
        </w:numPr>
        <w:spacing w:after="80" w:line="276"/>
      </w:pPr>
      <w:r>
        <w:rPr>
          <w:rFonts w:ascii="Calibri" w:cs="Calibri" w:eastAsia="Calibri" w:hAnsi="Calibri"/>
          <w:b/>
          <w:bCs/>
          <w:sz w:val="22"/>
          <w:szCs w:val="22"/>
        </w:rPr>
        <w:t xml:space="preserve">Do: </w:t>
      </w:r>
      <w:r>
        <w:rPr>
          <w:rFonts w:ascii="Calibri" w:cs="Calibri" w:eastAsia="Calibri" w:hAnsi="Calibri"/>
          <w:sz w:val="22"/>
          <w:szCs w:val="22"/>
        </w:rPr>
        <w:t xml:space="preserve">plan examination resources by region and category two to five years out; anticipate which institutions are likely to cross $1B or $10B; use the institution list as documented context that an examiner's own knowledge can override.</w:t>
      </w:r>
    </w:p>
    <w:p>
      <w:pPr>
        <w:pStyle w:val="ListParagraph"/>
        <w:numPr>
          <w:ilvl w:val="0"/>
          <w:numId w:val="2"/>
        </w:numPr>
        <w:spacing w:after="80" w:line="276"/>
      </w:pPr>
      <w:r>
        <w:rPr>
          <w:rFonts w:ascii="Calibri" w:cs="Calibri" w:eastAsia="Calibri" w:hAnsi="Calibri"/>
          <w:b/>
          <w:bCs/>
          <w:sz w:val="22"/>
          <w:szCs w:val="22"/>
        </w:rPr>
        <w:t xml:space="preserve">Don't: </w:t>
      </w:r>
      <w:r>
        <w:rPr>
          <w:rFonts w:ascii="Calibri" w:cs="Calibri" w:eastAsia="Calibri" w:hAnsi="Calibri"/>
          <w:sz w:val="22"/>
          <w:szCs w:val="22"/>
        </w:rPr>
        <w:t xml:space="preserve">treat any single institution's category as a prediction, especially below probability 0.75; read the counts as a forecast of how many credit unions will exist; add the $15B and $20B lines to the total; compare an ONES tab to a regional tab as if ONES were a region; use the counts in the smallest categories as a floor.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Credit Union Growth Forecast, 2026Q2 cohort — reading guide by tab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2026-09-09T15:37:12.163Z</dcterms:created>
  <dcterms:modified xsi:type="dcterms:W3CDTF">2026-09-09T15:37:12.176Z</dcterms:modified>
</cp:coreProperties>
</file>

<file path=docProps/custom.xml><?xml version="1.0" encoding="utf-8"?>
<Properties xmlns="http://schemas.openxmlformats.org/officeDocument/2006/custom-properties" xmlns:vt="http://schemas.openxmlformats.org/officeDocument/2006/docPropsVTypes"/>
</file>