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1090" w14:textId="77777777" w:rsidR="00F96E97" w:rsidRDefault="00000000">
      <w:pPr>
        <w:pStyle w:val="Heading1"/>
      </w:pPr>
      <w:r>
        <w:t>Executive Summary</w:t>
      </w:r>
    </w:p>
    <w:p w14:paraId="63531CBB" w14:textId="77777777" w:rsidR="00F96E97" w:rsidRDefault="00F96E97">
      <w:pPr>
        <w:pBdr>
          <w:bottom w:val="single" w:sz="6" w:space="1" w:color="2E75B6"/>
        </w:pBdr>
        <w:spacing w:before="160" w:after="160"/>
      </w:pPr>
    </w:p>
    <w:p w14:paraId="06822986" w14:textId="77777777" w:rsidR="00F96E97" w:rsidRDefault="00F96E97">
      <w:pPr>
        <w:spacing w:after="120"/>
      </w:pPr>
    </w:p>
    <w:p w14:paraId="4A7FA942" w14:textId="77777777" w:rsidR="00F96E97" w:rsidRDefault="00000000">
      <w:pPr>
        <w:spacing w:before="80" w:after="100"/>
        <w:jc w:val="both"/>
      </w:pPr>
      <w:r>
        <w:rPr>
          <w:rFonts w:cs="Arial"/>
          <w:color w:val="404040"/>
        </w:rPr>
        <w:t>Oil prices have swung dramatically over the past 20 years — from $25 per barrel to nearly $130 — yet credit unions have remained remarkably resilient throughout. This resilience, however, is not because oil prices do not matter. It is because the Federal Reserve’s response to oil-driven inflation matters far more than the oil price itself.</w:t>
      </w:r>
    </w:p>
    <w:p w14:paraId="1E8D2FEE" w14:textId="77777777" w:rsidR="00F96E97" w:rsidRDefault="00F96E97">
      <w:pPr>
        <w:spacing w:after="120"/>
      </w:pPr>
    </w:p>
    <w:p w14:paraId="297486F8" w14:textId="77777777" w:rsidR="00F96E97" w:rsidRDefault="00000000">
      <w:pPr>
        <w:spacing w:before="80" w:after="100"/>
        <w:jc w:val="both"/>
      </w:pPr>
      <w:r>
        <w:rPr>
          <w:rFonts w:cs="Arial"/>
          <w:color w:val="404040"/>
        </w:rPr>
        <w:t>This analysis of 20 years of NCUA call report data across more than 4,600 credit unions produces four findings that challenge conventional assumptions about oil price risk:</w:t>
      </w:r>
    </w:p>
    <w:p w14:paraId="766A92D6"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96E97" w14:paraId="07F2E373"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60" w:type="dxa"/>
              <w:left w:w="120" w:type="dxa"/>
              <w:bottom w:w="160" w:type="dxa"/>
              <w:right w:w="120" w:type="dxa"/>
            </w:tcMar>
            <w:vAlign w:val="center"/>
          </w:tcPr>
          <w:p w14:paraId="7190052A" w14:textId="77777777" w:rsidR="00F96E97" w:rsidRDefault="00000000">
            <w:pPr>
              <w:jc w:val="center"/>
            </w:pPr>
            <w:r>
              <w:rPr>
                <w:rFonts w:cs="Arial"/>
                <w:b/>
                <w:bCs/>
                <w:color w:val="FFFFFF"/>
              </w:rPr>
              <w:t>Finding 1</w:t>
            </w:r>
          </w:p>
        </w:tc>
        <w:tc>
          <w:tcPr>
            <w:tcW w:w="8160" w:type="dxa"/>
            <w:tcBorders>
              <w:top w:val="single" w:sz="1" w:space="0" w:color="1F3864"/>
              <w:left w:val="single" w:sz="1" w:space="0" w:color="1F3864"/>
              <w:bottom w:val="single" w:sz="1" w:space="0" w:color="1F3864"/>
              <w:right w:val="single" w:sz="1" w:space="0" w:color="1F3864"/>
            </w:tcBorders>
            <w:shd w:val="clear" w:color="auto" w:fill="EBF3FB"/>
            <w:tcMar>
              <w:top w:w="120" w:type="dxa"/>
              <w:left w:w="180" w:type="dxa"/>
              <w:bottom w:w="120" w:type="dxa"/>
              <w:right w:w="180" w:type="dxa"/>
            </w:tcMar>
          </w:tcPr>
          <w:p w14:paraId="3D230BFA" w14:textId="77777777" w:rsidR="00F96E97" w:rsidRDefault="00000000">
            <w:pPr>
              <w:spacing w:after="60"/>
            </w:pPr>
            <w:r>
              <w:rPr>
                <w:rFonts w:cs="Arial"/>
                <w:b/>
                <w:bCs/>
                <w:color w:val="1F3864"/>
              </w:rPr>
              <w:t>Oil threatens deposits and funding costs — not loan quality</w:t>
            </w:r>
          </w:p>
          <w:p w14:paraId="048F4912" w14:textId="77777777" w:rsidR="00F96E97" w:rsidRDefault="00000000">
            <w:pPr>
              <w:jc w:val="both"/>
            </w:pPr>
            <w:r>
              <w:rPr>
                <w:rFonts w:cs="Arial"/>
                <w:color w:val="404040"/>
                <w:sz w:val="21"/>
                <w:szCs w:val="21"/>
              </w:rPr>
              <w:t>Delinquency rates show essentially no correlation with oil prices across the entire 20-year period. The real damage arrives quietly, 12 to 24 months later, through deposit outflows and rising funding costs — when members chase higher yields elsewhere and the cost of retaining deposits nearly triples.</w:t>
            </w:r>
          </w:p>
        </w:tc>
      </w:tr>
    </w:tbl>
    <w:p w14:paraId="0C0C7731"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96E97" w14:paraId="4E361228"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60" w:type="dxa"/>
              <w:left w:w="120" w:type="dxa"/>
              <w:bottom w:w="160" w:type="dxa"/>
              <w:right w:w="120" w:type="dxa"/>
            </w:tcMar>
            <w:vAlign w:val="center"/>
          </w:tcPr>
          <w:p w14:paraId="5545400E" w14:textId="77777777" w:rsidR="00F96E97" w:rsidRDefault="00000000">
            <w:pPr>
              <w:jc w:val="center"/>
            </w:pPr>
            <w:r>
              <w:rPr>
                <w:rFonts w:cs="Arial"/>
                <w:b/>
                <w:bCs/>
                <w:color w:val="FFFFFF"/>
              </w:rPr>
              <w:t>Finding 2</w:t>
            </w:r>
          </w:p>
        </w:tc>
        <w:tc>
          <w:tcPr>
            <w:tcW w:w="8160" w:type="dxa"/>
            <w:tcBorders>
              <w:top w:val="single" w:sz="1" w:space="0" w:color="1F3864"/>
              <w:left w:val="single" w:sz="1" w:space="0" w:color="1F3864"/>
              <w:bottom w:val="single" w:sz="1" w:space="0" w:color="1F3864"/>
              <w:right w:val="single" w:sz="1" w:space="0" w:color="1F3864"/>
            </w:tcBorders>
            <w:shd w:val="clear" w:color="auto" w:fill="EBF3FB"/>
            <w:tcMar>
              <w:top w:w="120" w:type="dxa"/>
              <w:left w:w="180" w:type="dxa"/>
              <w:bottom w:w="120" w:type="dxa"/>
              <w:right w:w="180" w:type="dxa"/>
            </w:tcMar>
          </w:tcPr>
          <w:p w14:paraId="5CB74E33" w14:textId="77777777" w:rsidR="00F96E97" w:rsidRDefault="00000000">
            <w:pPr>
              <w:spacing w:after="60"/>
            </w:pPr>
            <w:r>
              <w:rPr>
                <w:rFonts w:cs="Arial"/>
                <w:b/>
                <w:bCs/>
                <w:color w:val="1F3864"/>
              </w:rPr>
              <w:t>The rules changed in 2015</w:t>
            </w:r>
          </w:p>
          <w:p w14:paraId="7F3FD0B1" w14:textId="77777777" w:rsidR="00F96E97" w:rsidRDefault="00000000">
            <w:pPr>
              <w:jc w:val="both"/>
            </w:pPr>
            <w:r>
              <w:rPr>
                <w:rFonts w:cs="Arial"/>
                <w:color w:val="404040"/>
                <w:sz w:val="21"/>
                <w:szCs w:val="21"/>
              </w:rPr>
              <w:t>Every measurable relationship between oil prices and credit union performance reversed or fundamentally changed at the onset of the shale era. Before 2015 oil shocks were buffered by zero interest rates and deposit inflows from energy-sector members. After 2015 those buffers disappeared. A risk framework built on pre-2015 data is describing a world that no longer exists.</w:t>
            </w:r>
          </w:p>
        </w:tc>
      </w:tr>
    </w:tbl>
    <w:p w14:paraId="0B636C1D"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96E97" w14:paraId="2A19439D"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60" w:type="dxa"/>
              <w:left w:w="120" w:type="dxa"/>
              <w:bottom w:w="160" w:type="dxa"/>
              <w:right w:w="120" w:type="dxa"/>
            </w:tcMar>
            <w:vAlign w:val="center"/>
          </w:tcPr>
          <w:p w14:paraId="00375760" w14:textId="77777777" w:rsidR="00F96E97" w:rsidRDefault="00000000">
            <w:pPr>
              <w:jc w:val="center"/>
            </w:pPr>
            <w:r>
              <w:rPr>
                <w:rFonts w:cs="Arial"/>
                <w:b/>
                <w:bCs/>
                <w:color w:val="FFFFFF"/>
              </w:rPr>
              <w:t>Finding 3</w:t>
            </w:r>
          </w:p>
        </w:tc>
        <w:tc>
          <w:tcPr>
            <w:tcW w:w="8160" w:type="dxa"/>
            <w:tcBorders>
              <w:top w:val="single" w:sz="1" w:space="0" w:color="1F3864"/>
              <w:left w:val="single" w:sz="1" w:space="0" w:color="1F3864"/>
              <w:bottom w:val="single" w:sz="1" w:space="0" w:color="1F3864"/>
              <w:right w:val="single" w:sz="1" w:space="0" w:color="1F3864"/>
            </w:tcBorders>
            <w:shd w:val="clear" w:color="auto" w:fill="EBF3FB"/>
            <w:tcMar>
              <w:top w:w="120" w:type="dxa"/>
              <w:left w:w="180" w:type="dxa"/>
              <w:bottom w:w="120" w:type="dxa"/>
              <w:right w:w="180" w:type="dxa"/>
            </w:tcMar>
          </w:tcPr>
          <w:p w14:paraId="661FB23F" w14:textId="77777777" w:rsidR="00F96E97" w:rsidRDefault="00000000">
            <w:pPr>
              <w:spacing w:after="60"/>
            </w:pPr>
            <w:r>
              <w:rPr>
                <w:rFonts w:cs="Arial"/>
                <w:b/>
                <w:bCs/>
                <w:color w:val="1F3864"/>
              </w:rPr>
              <w:t>2008 was a financial crisis story — not an oil story</w:t>
            </w:r>
          </w:p>
          <w:p w14:paraId="690619D1" w14:textId="77777777" w:rsidR="00F96E97" w:rsidRDefault="00000000">
            <w:pPr>
              <w:jc w:val="both"/>
            </w:pPr>
            <w:r>
              <w:rPr>
                <w:rFonts w:cs="Arial"/>
                <w:color w:val="404040"/>
                <w:sz w:val="21"/>
                <w:szCs w:val="21"/>
              </w:rPr>
              <w:t>When oil hit $116 per barrel in 2008, credit unions were severely stressed. When oil hit $117 per barrel in 2011, credit unions were essentially fine. The difference was entirely the macro backdrop — specifically the Federal Reserve cutting rates 500 basis points in 2008 while already at zero in 2011. Oil prices alone, without a simultaneous policy shock, do not cause credit union distress.</w:t>
            </w:r>
          </w:p>
        </w:tc>
      </w:tr>
    </w:tbl>
    <w:p w14:paraId="2643ABF6"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96E97" w14:paraId="6AB2C8FA"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60" w:type="dxa"/>
              <w:left w:w="120" w:type="dxa"/>
              <w:bottom w:w="160" w:type="dxa"/>
              <w:right w:w="120" w:type="dxa"/>
            </w:tcMar>
            <w:vAlign w:val="center"/>
          </w:tcPr>
          <w:p w14:paraId="0D28D29D" w14:textId="77777777" w:rsidR="00F96E97" w:rsidRDefault="00000000">
            <w:pPr>
              <w:jc w:val="center"/>
            </w:pPr>
            <w:r>
              <w:rPr>
                <w:rFonts w:cs="Arial"/>
                <w:b/>
                <w:bCs/>
                <w:color w:val="FFFFFF"/>
              </w:rPr>
              <w:t>Finding 4</w:t>
            </w:r>
          </w:p>
        </w:tc>
        <w:tc>
          <w:tcPr>
            <w:tcW w:w="8160" w:type="dxa"/>
            <w:tcBorders>
              <w:top w:val="single" w:sz="1" w:space="0" w:color="1F3864"/>
              <w:left w:val="single" w:sz="1" w:space="0" w:color="1F3864"/>
              <w:bottom w:val="single" w:sz="1" w:space="0" w:color="1F3864"/>
              <w:right w:val="single" w:sz="1" w:space="0" w:color="1F3864"/>
            </w:tcBorders>
            <w:shd w:val="clear" w:color="auto" w:fill="EBF3FB"/>
            <w:tcMar>
              <w:top w:w="120" w:type="dxa"/>
              <w:left w:w="180" w:type="dxa"/>
              <w:bottom w:w="120" w:type="dxa"/>
              <w:right w:w="180" w:type="dxa"/>
            </w:tcMar>
          </w:tcPr>
          <w:p w14:paraId="72248721" w14:textId="77777777" w:rsidR="00F96E97" w:rsidRDefault="00000000">
            <w:pPr>
              <w:spacing w:after="60"/>
            </w:pPr>
            <w:r>
              <w:rPr>
                <w:rFonts w:cs="Arial"/>
                <w:b/>
                <w:bCs/>
                <w:color w:val="1F3864"/>
              </w:rPr>
              <w:t>Small credit unions face a fundamentally different and more severe risk</w:t>
            </w:r>
          </w:p>
          <w:p w14:paraId="7E6102BB" w14:textId="77777777" w:rsidR="00F96E97" w:rsidRDefault="00000000">
            <w:pPr>
              <w:jc w:val="both"/>
            </w:pPr>
            <w:r>
              <w:rPr>
                <w:rFonts w:cs="Arial"/>
                <w:color w:val="404040"/>
                <w:sz w:val="21"/>
                <w:szCs w:val="21"/>
              </w:rPr>
              <w:t>When oil shocks hit, large credit unions face a manageable funding cost problem. Small credit unions under $100 million in assets face delinquency rates up to ten times higher than large institutions, negative net interest margins, and limited tools to respond. For many small credit unions an oil-driven economic shock is not a financial challenge — it is a survival question.</w:t>
            </w:r>
          </w:p>
        </w:tc>
      </w:tr>
    </w:tbl>
    <w:p w14:paraId="67D50133" w14:textId="77777777" w:rsidR="00F96E97" w:rsidRDefault="00F96E97">
      <w:pPr>
        <w:spacing w:after="240"/>
      </w:pPr>
    </w:p>
    <w:p w14:paraId="719BEE52" w14:textId="77777777" w:rsidR="00F96E97" w:rsidRDefault="00000000">
      <w:r>
        <w:lastRenderedPageBreak/>
        <w:br w:type="page"/>
      </w:r>
    </w:p>
    <w:p w14:paraId="0612B61B" w14:textId="77777777" w:rsidR="00F96E97" w:rsidRDefault="00000000">
      <w:pPr>
        <w:pStyle w:val="Heading1"/>
      </w:pPr>
      <w:r>
        <w:lastRenderedPageBreak/>
        <w:t>Overall Observations</w:t>
      </w:r>
    </w:p>
    <w:p w14:paraId="16E0D618" w14:textId="77777777" w:rsidR="00F96E97" w:rsidRDefault="00F96E97">
      <w:pPr>
        <w:pBdr>
          <w:bottom w:val="single" w:sz="6" w:space="1" w:color="2E75B6"/>
        </w:pBdr>
        <w:spacing w:before="160" w:after="160"/>
      </w:pPr>
    </w:p>
    <w:p w14:paraId="4A82179B" w14:textId="77777777" w:rsidR="00F96E97" w:rsidRDefault="00000000">
      <w:pPr>
        <w:spacing w:before="80" w:after="100"/>
        <w:jc w:val="both"/>
      </w:pPr>
      <w:r>
        <w:rPr>
          <w:rFonts w:cs="Arial"/>
          <w:color w:val="404040"/>
        </w:rPr>
        <w:t xml:space="preserve">Oil prices have changed substantially over the last 20 </w:t>
      </w:r>
      <w:proofErr w:type="gramStart"/>
      <w:r>
        <w:rPr>
          <w:rFonts w:cs="Arial"/>
          <w:color w:val="404040"/>
        </w:rPr>
        <w:t>years</w:t>
      </w:r>
      <w:proofErr w:type="gramEnd"/>
      <w:r>
        <w:rPr>
          <w:rFonts w:cs="Arial"/>
          <w:color w:val="404040"/>
        </w:rPr>
        <w:t xml:space="preserve"> but credit unions have proven remarkably resilient — not because oil doesn’t matter, but because the Fed’s response has mattered far more than the behavior of oil prices themselves.</w:t>
      </w:r>
    </w:p>
    <w:p w14:paraId="7BD07AAF" w14:textId="77777777" w:rsidR="00F96E97" w:rsidRDefault="00F96E97">
      <w:pPr>
        <w:spacing w:after="120"/>
      </w:pPr>
    </w:p>
    <w:p w14:paraId="07FF8290" w14:textId="77777777" w:rsidR="00F96E97" w:rsidRDefault="00000000">
      <w:pPr>
        <w:pStyle w:val="Heading2"/>
      </w:pPr>
      <w:r>
        <w:t>1.  Oil Shocks Stress Credit Unions Through Rates and Deposits — Not Through Loans</w:t>
      </w:r>
    </w:p>
    <w:p w14:paraId="704092DF" w14:textId="77777777" w:rsidR="00F96E97" w:rsidRDefault="00000000">
      <w:pPr>
        <w:spacing w:before="80" w:after="100"/>
        <w:jc w:val="both"/>
      </w:pPr>
      <w:r>
        <w:rPr>
          <w:rFonts w:cs="Arial"/>
          <w:color w:val="404040"/>
        </w:rPr>
        <w:t>The most important and counterintuitive finding in this analysis is what oil prices do not predict. Delinquency — the measure most people instinctively associate with economic stress — is essentially uncorrelated with oil prices across the entire 20-year dataset.</w:t>
      </w:r>
    </w:p>
    <w:p w14:paraId="784F5691" w14:textId="77777777" w:rsidR="00F96E97" w:rsidRDefault="00F96E97">
      <w:pPr>
        <w:spacing w:after="120"/>
      </w:pPr>
    </w:p>
    <w:p w14:paraId="16B8E58D" w14:textId="77777777" w:rsidR="00F96E97" w:rsidRDefault="00000000">
      <w:pPr>
        <w:spacing w:before="80" w:after="100"/>
        <w:jc w:val="both"/>
      </w:pPr>
      <w:r>
        <w:rPr>
          <w:rFonts w:cs="Arial"/>
          <w:color w:val="404040"/>
        </w:rPr>
        <w:t>The actual transmission works differently and more slowly:</w:t>
      </w:r>
    </w:p>
    <w:p w14:paraId="4E4B02DA"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E97" w14:paraId="134D4865" w14:textId="77777777">
        <w:tblPrEx>
          <w:tblCellMar>
            <w:top w:w="0" w:type="dxa"/>
            <w:bottom w:w="0" w:type="dxa"/>
          </w:tblCellMar>
        </w:tblPrEx>
        <w:tc>
          <w:tcPr>
            <w:tcW w:w="9360" w:type="dxa"/>
            <w:tcBorders>
              <w:top w:val="single" w:sz="12" w:space="0" w:color="C55A11"/>
              <w:left w:val="single" w:sz="12" w:space="0" w:color="C55A11"/>
              <w:bottom w:val="single" w:sz="4" w:space="0" w:color="D9D9D9"/>
              <w:right w:val="single" w:sz="4" w:space="0" w:color="D9D9D9"/>
            </w:tcBorders>
            <w:shd w:val="clear" w:color="auto" w:fill="FFF3E0"/>
            <w:tcMar>
              <w:top w:w="120" w:type="dxa"/>
              <w:left w:w="180" w:type="dxa"/>
              <w:bottom w:w="120" w:type="dxa"/>
              <w:right w:w="180" w:type="dxa"/>
            </w:tcMar>
          </w:tcPr>
          <w:p w14:paraId="2EB93A9D" w14:textId="77777777" w:rsidR="00F96E97" w:rsidRDefault="00000000">
            <w:pPr>
              <w:spacing w:after="60"/>
            </w:pPr>
            <w:r>
              <w:rPr>
                <w:rFonts w:cs="Arial"/>
                <w:b/>
                <w:bCs/>
                <w:color w:val="C55A11"/>
              </w:rPr>
              <w:t>Transmission Chain</w:t>
            </w:r>
          </w:p>
          <w:p w14:paraId="130A7593" w14:textId="77777777" w:rsidR="00F96E97" w:rsidRDefault="00000000">
            <w:pPr>
              <w:jc w:val="both"/>
            </w:pPr>
            <w:r>
              <w:rPr>
                <w:rFonts w:cs="Arial"/>
                <w:i/>
                <w:iCs/>
                <w:color w:val="404040"/>
                <w:sz w:val="21"/>
                <w:szCs w:val="21"/>
              </w:rPr>
              <w:t>Oil prices rise → inflation accelerates → Federal Reserve hikes rates → members shift savings to higher-yielding alternatives → deposit balances shrink → cost of retaining deposits surges → margin pressure builds</w:t>
            </w:r>
          </w:p>
        </w:tc>
      </w:tr>
    </w:tbl>
    <w:p w14:paraId="16DF02D1" w14:textId="77777777" w:rsidR="00F96E97" w:rsidRDefault="00F96E97">
      <w:pPr>
        <w:spacing w:after="120"/>
      </w:pPr>
    </w:p>
    <w:p w14:paraId="047BC147" w14:textId="77777777" w:rsidR="00F96E97" w:rsidRDefault="00000000">
      <w:pPr>
        <w:spacing w:before="80" w:after="100"/>
        <w:jc w:val="both"/>
      </w:pPr>
      <w:r>
        <w:rPr>
          <w:rFonts w:cs="Arial"/>
          <w:color w:val="404040"/>
        </w:rPr>
        <w:t>Figure 05 makes this sequence visible. Certificate share — the proportion of deposits in higher-cost fixed-term accounts — doubled from 10% to nearly 20% in just 18 months following the 2022 oil surge. Cost of funds nearly tripled from its low point. Deposit growth turned negative for the first time in the 20-year dataset. And the loan-to-share ratio approached the 80% threshold that signals genuine liquidity stress.</w:t>
      </w:r>
    </w:p>
    <w:p w14:paraId="1AB280DC" w14:textId="77777777" w:rsidR="00F96E97" w:rsidRDefault="00F96E97">
      <w:pPr>
        <w:spacing w:after="120"/>
      </w:pPr>
    </w:p>
    <w:p w14:paraId="4D063703" w14:textId="77777777" w:rsidR="00F96E97" w:rsidRDefault="00000000">
      <w:pPr>
        <w:spacing w:before="80" w:after="100"/>
        <w:jc w:val="both"/>
      </w:pPr>
      <w:r>
        <w:rPr>
          <w:rFonts w:cs="Arial"/>
          <w:color w:val="404040"/>
        </w:rPr>
        <w:t>None of this happened immediately. None of it showed up in loan losses. It arrived through the back door — in funding costs, deposit migration, and balance sheet compression — roughly 12 to 24 months after the original oil shock.</w:t>
      </w:r>
    </w:p>
    <w:p w14:paraId="027945AF" w14:textId="77777777" w:rsidR="00F96E97" w:rsidRDefault="00F96E97">
      <w:pPr>
        <w:spacing w:after="120"/>
      </w:pPr>
    </w:p>
    <w:p w14:paraId="01730B04" w14:textId="77777777" w:rsidR="00F96E97" w:rsidRDefault="00000000">
      <w:pPr>
        <w:spacing w:before="80" w:after="80"/>
      </w:pPr>
      <w:r>
        <w:rPr>
          <w:rFonts w:cs="Arial"/>
          <w:i/>
          <w:iCs/>
          <w:color w:val="666666"/>
          <w:sz w:val="20"/>
          <w:szCs w:val="20"/>
        </w:rPr>
        <w:t>Supporting chart: Figure 05 — Deposit Channel Dynamics</w:t>
      </w:r>
    </w:p>
    <w:p w14:paraId="357A5406" w14:textId="77777777" w:rsidR="00F96E97" w:rsidRDefault="00F96E97">
      <w:pPr>
        <w:spacing w:after="120"/>
      </w:pPr>
    </w:p>
    <w:p w14:paraId="30F6442A" w14:textId="77777777" w:rsidR="00F96E97" w:rsidRDefault="00000000">
      <w:pPr>
        <w:pStyle w:val="Heading2"/>
      </w:pPr>
      <w:r>
        <w:t>2.  Impact of Oil Prices on Key CU Indicators — The Timing Evidence</w:t>
      </w:r>
    </w:p>
    <w:p w14:paraId="72A1CBC2" w14:textId="77777777" w:rsidR="00F96E97" w:rsidRDefault="00000000">
      <w:pPr>
        <w:spacing w:before="80" w:after="100"/>
        <w:jc w:val="both"/>
      </w:pPr>
      <w:r>
        <w:rPr>
          <w:rFonts w:cs="Arial"/>
          <w:color w:val="404040"/>
        </w:rPr>
        <w:t>Figure 03 measures precisely when and how strongly oil price changes predict each CU financial outcome. Three findings stand out:</w:t>
      </w:r>
    </w:p>
    <w:p w14:paraId="4412BCC6" w14:textId="77777777" w:rsidR="00F96E97" w:rsidRDefault="00F96E97">
      <w:pPr>
        <w:spacing w:after="120"/>
      </w:pPr>
    </w:p>
    <w:p w14:paraId="1DE0D5F8" w14:textId="77777777" w:rsidR="00F96E97" w:rsidRDefault="00000000">
      <w:pPr>
        <w:pStyle w:val="Heading3"/>
      </w:pPr>
      <w:r>
        <w:t>Deposits respond first — and the signal is strong</w:t>
      </w:r>
    </w:p>
    <w:p w14:paraId="557D3CFF" w14:textId="77777777" w:rsidR="00F96E97" w:rsidRDefault="00000000">
      <w:pPr>
        <w:spacing w:before="80" w:after="100"/>
        <w:jc w:val="both"/>
      </w:pPr>
      <w:r>
        <w:rPr>
          <w:rFonts w:cs="Arial"/>
          <w:color w:val="404040"/>
        </w:rPr>
        <w:t xml:space="preserve">When oil prices are high today, deposit growth will slow or turn negative within 3 to 4 quarters. This is the single strongest and most reliable relationship in the dataset. It gives credit union </w:t>
      </w:r>
      <w:r>
        <w:rPr>
          <w:rFonts w:cs="Arial"/>
          <w:color w:val="404040"/>
        </w:rPr>
        <w:lastRenderedPageBreak/>
        <w:t>management roughly three quarters of advance warning before the deposit pressure arrives on the balance sheet.</w:t>
      </w:r>
    </w:p>
    <w:p w14:paraId="4099DB6D" w14:textId="77777777" w:rsidR="00F96E97" w:rsidRDefault="00F96E97">
      <w:pPr>
        <w:spacing w:after="120"/>
      </w:pPr>
    </w:p>
    <w:p w14:paraId="6983C7CD" w14:textId="77777777" w:rsidR="00F96E97" w:rsidRDefault="00000000">
      <w:pPr>
        <w:pStyle w:val="Heading3"/>
      </w:pPr>
      <w:r>
        <w:t>Funding costs respond later — but the signal is equally strong</w:t>
      </w:r>
    </w:p>
    <w:p w14:paraId="7F94F031" w14:textId="77777777" w:rsidR="00F96E97" w:rsidRDefault="00000000">
      <w:pPr>
        <w:spacing w:before="80" w:after="100"/>
        <w:jc w:val="both"/>
      </w:pPr>
      <w:r>
        <w:rPr>
          <w:rFonts w:cs="Arial"/>
          <w:color w:val="404040"/>
        </w:rPr>
        <w:t xml:space="preserve">Oil prices today predict rising cost of funds 6 to 8 quarters — 18 to 24 months — from now. The mechanism is indirect: oil drives inflation, inflation forces Fed rate hikes, rate hikes trigger member migration into certificates, and certificate migration drives up funding costs. The lag is </w:t>
      </w:r>
      <w:proofErr w:type="gramStart"/>
      <w:r>
        <w:rPr>
          <w:rFonts w:cs="Arial"/>
          <w:color w:val="404040"/>
        </w:rPr>
        <w:t>long</w:t>
      </w:r>
      <w:proofErr w:type="gramEnd"/>
      <w:r>
        <w:rPr>
          <w:rFonts w:cs="Arial"/>
          <w:color w:val="404040"/>
        </w:rPr>
        <w:t xml:space="preserve"> but the relationship is consistent.</w:t>
      </w:r>
    </w:p>
    <w:p w14:paraId="0FCF7726" w14:textId="77777777" w:rsidR="00F96E97" w:rsidRDefault="00F96E97">
      <w:pPr>
        <w:spacing w:after="120"/>
      </w:pPr>
    </w:p>
    <w:p w14:paraId="251A9D23" w14:textId="77777777" w:rsidR="00F96E97" w:rsidRDefault="00000000">
      <w:pPr>
        <w:pStyle w:val="Heading3"/>
      </w:pPr>
      <w:r>
        <w:t>Loan delinquency does not respond — at any horizon</w:t>
      </w:r>
    </w:p>
    <w:p w14:paraId="090B0143" w14:textId="77777777" w:rsidR="00F96E97" w:rsidRDefault="00000000">
      <w:pPr>
        <w:spacing w:before="80" w:after="100"/>
        <w:jc w:val="both"/>
      </w:pPr>
      <w:r>
        <w:rPr>
          <w:rFonts w:cs="Arial"/>
          <w:color w:val="404040"/>
        </w:rPr>
        <w:t>Oil prices at any point in time — past or future — have almost no relationship with loan delinquency. The delinquency line on Figure 03 is flat from Lag 4 all the way to Lead 8. This reflects the genuine finding that oil price levels alone do not cause members to default on their loans in any consistent or predictable way.</w:t>
      </w:r>
    </w:p>
    <w:p w14:paraId="063C2E00"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E97" w14:paraId="1CE03D98" w14:textId="77777777">
        <w:tblPrEx>
          <w:tblCellMar>
            <w:top w:w="0" w:type="dxa"/>
            <w:bottom w:w="0" w:type="dxa"/>
          </w:tblCellMar>
        </w:tblPrEx>
        <w:tc>
          <w:tcPr>
            <w:tcW w:w="9360" w:type="dxa"/>
            <w:tcBorders>
              <w:top w:val="single" w:sz="12" w:space="0" w:color="C55A11"/>
              <w:left w:val="single" w:sz="12" w:space="0" w:color="C55A11"/>
              <w:bottom w:val="single" w:sz="4" w:space="0" w:color="D9D9D9"/>
              <w:right w:val="single" w:sz="4" w:space="0" w:color="D9D9D9"/>
            </w:tcBorders>
            <w:shd w:val="clear" w:color="auto" w:fill="FFF3E0"/>
            <w:tcMar>
              <w:top w:w="120" w:type="dxa"/>
              <w:left w:w="180" w:type="dxa"/>
              <w:bottom w:w="120" w:type="dxa"/>
              <w:right w:w="180" w:type="dxa"/>
            </w:tcMar>
          </w:tcPr>
          <w:p w14:paraId="4DBD747D" w14:textId="77777777" w:rsidR="00F96E97" w:rsidRDefault="00000000">
            <w:pPr>
              <w:spacing w:after="60"/>
            </w:pPr>
            <w:r>
              <w:rPr>
                <w:rFonts w:cs="Arial"/>
                <w:b/>
                <w:bCs/>
                <w:color w:val="C55A11"/>
              </w:rPr>
              <w:t>Practical Implication</w:t>
            </w:r>
          </w:p>
          <w:p w14:paraId="782ACBFA" w14:textId="77777777" w:rsidR="00F96E97" w:rsidRDefault="00000000">
            <w:pPr>
              <w:jc w:val="both"/>
            </w:pPr>
            <w:r>
              <w:rPr>
                <w:rFonts w:cs="Arial"/>
                <w:i/>
                <w:iCs/>
                <w:color w:val="404040"/>
                <w:sz w:val="21"/>
                <w:szCs w:val="21"/>
              </w:rPr>
              <w:t>When oil prices spike, the alert should go to the treasury and liquidity team — not the credit risk team. The vulnerability is in the funding structure, not the loan book.</w:t>
            </w:r>
          </w:p>
        </w:tc>
      </w:tr>
    </w:tbl>
    <w:p w14:paraId="61A7A8CA" w14:textId="77777777" w:rsidR="00F96E97" w:rsidRDefault="00F96E97">
      <w:pPr>
        <w:spacing w:after="120"/>
      </w:pPr>
    </w:p>
    <w:p w14:paraId="78032C8A" w14:textId="77777777" w:rsidR="00F96E97" w:rsidRDefault="00000000">
      <w:pPr>
        <w:spacing w:before="80" w:after="80"/>
      </w:pPr>
      <w:r>
        <w:rPr>
          <w:rFonts w:cs="Arial"/>
          <w:i/>
          <w:iCs/>
          <w:color w:val="666666"/>
          <w:sz w:val="20"/>
          <w:szCs w:val="20"/>
        </w:rPr>
        <w:t>Supporting chart: Figure 03 — Cross-Correlation: PBRENT YoY vs CU Outcomes</w:t>
      </w:r>
    </w:p>
    <w:p w14:paraId="2CD09E33" w14:textId="77777777" w:rsidR="00F96E97" w:rsidRDefault="00F96E97">
      <w:pPr>
        <w:spacing w:after="120"/>
      </w:pPr>
    </w:p>
    <w:p w14:paraId="5A51CBF0" w14:textId="77777777" w:rsidR="00F96E97" w:rsidRDefault="00000000">
      <w:pPr>
        <w:pStyle w:val="Heading2"/>
      </w:pPr>
      <w:r>
        <w:t>3.  2015 Is the Most Important Dividing Line in the Analysis — Not 2008</w:t>
      </w:r>
    </w:p>
    <w:p w14:paraId="0F09A5FC" w14:textId="77777777" w:rsidR="00F96E97" w:rsidRDefault="00000000">
      <w:pPr>
        <w:spacing w:before="80" w:after="100"/>
        <w:jc w:val="both"/>
      </w:pPr>
      <w:r>
        <w:rPr>
          <w:rFonts w:cs="Arial"/>
          <w:color w:val="404040"/>
        </w:rPr>
        <w:t>Every relationship between oil prices and credit union performance changed at the onset of the shale era in 2015. This structural break — visible in all four panels of Figure 07 simultaneously — is the most important analytical finding in the entire dataset.</w:t>
      </w:r>
    </w:p>
    <w:p w14:paraId="00316854" w14:textId="77777777" w:rsidR="00F96E97" w:rsidRDefault="00F96E97">
      <w:pPr>
        <w:spacing w:after="120"/>
      </w:pPr>
    </w:p>
    <w:p w14:paraId="027BFF57" w14:textId="77777777" w:rsidR="00F96E97" w:rsidRDefault="00000000">
      <w:pPr>
        <w:pStyle w:val="Heading3"/>
      </w:pPr>
      <w:r>
        <w:t>Before 2015 — The Buffered System</w:t>
      </w:r>
    </w:p>
    <w:p w14:paraId="69FF4F26" w14:textId="77777777" w:rsidR="00F96E97" w:rsidRDefault="00000000">
      <w:pPr>
        <w:pStyle w:val="ListParagraph"/>
        <w:numPr>
          <w:ilvl w:val="0"/>
          <w:numId w:val="2"/>
        </w:numPr>
        <w:spacing w:before="60" w:after="60"/>
      </w:pPr>
      <w:r>
        <w:rPr>
          <w:color w:val="404040"/>
        </w:rPr>
        <w:t>Zero interest rate policy meant the Fed could not raise rates in response to oil-driven inflation, so the funding cost channel was dormant</w:t>
      </w:r>
    </w:p>
    <w:p w14:paraId="028C42E8" w14:textId="77777777" w:rsidR="00F96E97" w:rsidRDefault="00000000">
      <w:pPr>
        <w:pStyle w:val="ListParagraph"/>
        <w:numPr>
          <w:ilvl w:val="0"/>
          <w:numId w:val="2"/>
        </w:numPr>
        <w:spacing w:before="60" w:after="60"/>
      </w:pPr>
      <w:r>
        <w:rPr>
          <w:color w:val="404040"/>
        </w:rPr>
        <w:t>Energy-sector member income gains flowed into credit union deposits, partially offsetting any cost pressures</w:t>
      </w:r>
    </w:p>
    <w:p w14:paraId="59EF773A" w14:textId="77777777" w:rsidR="00F96E97" w:rsidRDefault="00000000">
      <w:pPr>
        <w:pStyle w:val="ListParagraph"/>
        <w:numPr>
          <w:ilvl w:val="0"/>
          <w:numId w:val="2"/>
        </w:numPr>
        <w:spacing w:before="60" w:after="60"/>
      </w:pPr>
      <w:r>
        <w:rPr>
          <w:color w:val="404040"/>
        </w:rPr>
        <w:t>Oil price rises had limited and predictable effects on credit union performance</w:t>
      </w:r>
    </w:p>
    <w:p w14:paraId="52BDC7B6" w14:textId="77777777" w:rsidR="00F96E97" w:rsidRDefault="00F96E97">
      <w:pPr>
        <w:spacing w:after="120"/>
      </w:pPr>
    </w:p>
    <w:p w14:paraId="55A36137" w14:textId="77777777" w:rsidR="00F96E97" w:rsidRDefault="00000000">
      <w:pPr>
        <w:pStyle w:val="Heading3"/>
      </w:pPr>
      <w:r>
        <w:t>After 2015 — The Exposed System</w:t>
      </w:r>
    </w:p>
    <w:p w14:paraId="77D55B7C" w14:textId="77777777" w:rsidR="00F96E97" w:rsidRDefault="00000000">
      <w:pPr>
        <w:pStyle w:val="ListParagraph"/>
        <w:numPr>
          <w:ilvl w:val="0"/>
          <w:numId w:val="2"/>
        </w:numPr>
        <w:spacing w:before="60" w:after="60"/>
      </w:pPr>
      <w:r>
        <w:rPr>
          <w:color w:val="404040"/>
        </w:rPr>
        <w:t>The Fed regained the ability and willingness to respond to oil-driven inflation with rate hikes — fully activating the funding cost channel for the first time</w:t>
      </w:r>
    </w:p>
    <w:p w14:paraId="4F23A273" w14:textId="77777777" w:rsidR="00F96E97" w:rsidRDefault="00000000">
      <w:pPr>
        <w:pStyle w:val="ListParagraph"/>
        <w:numPr>
          <w:ilvl w:val="0"/>
          <w:numId w:val="2"/>
        </w:numPr>
        <w:spacing w:before="60" w:after="60"/>
      </w:pPr>
      <w:r>
        <w:rPr>
          <w:color w:val="404040"/>
        </w:rPr>
        <w:t>The deposit buffer broke down as members gained access to competitive alternatives: money market funds, online banks, Treasury bills</w:t>
      </w:r>
    </w:p>
    <w:p w14:paraId="251C001A" w14:textId="77777777" w:rsidR="00F96E97" w:rsidRDefault="00000000">
      <w:pPr>
        <w:pStyle w:val="ListParagraph"/>
        <w:numPr>
          <w:ilvl w:val="0"/>
          <w:numId w:val="2"/>
        </w:numPr>
        <w:spacing w:before="60" w:after="60"/>
      </w:pPr>
      <w:r>
        <w:rPr>
          <w:color w:val="404040"/>
        </w:rPr>
        <w:t>Every major financial metric reversed direction in its relationship with oil prices</w:t>
      </w:r>
    </w:p>
    <w:p w14:paraId="3E3CB59E" w14:textId="77777777" w:rsidR="00F96E97" w:rsidRDefault="00F96E97">
      <w:pPr>
        <w:spacing w:after="120"/>
      </w:pPr>
    </w:p>
    <w:p w14:paraId="3A1055E0" w14:textId="77777777" w:rsidR="00F96E97" w:rsidRDefault="00000000">
      <w:pPr>
        <w:spacing w:before="80" w:after="100"/>
        <w:jc w:val="both"/>
      </w:pPr>
      <w:r>
        <w:rPr>
          <w:rFonts w:cs="Arial"/>
          <w:color w:val="404040"/>
        </w:rPr>
        <w:t>The four slope reversals in Figure 07 tell this story precisely. Delinquency’s relationship with oil reversed sign. NIM’s relationship reversed sign. Cost of funds went from flat to steeply positive. Deposit growth went from positive to negative.</w:t>
      </w:r>
    </w:p>
    <w:p w14:paraId="1FBB464C" w14:textId="77777777" w:rsidR="00F96E97" w:rsidRDefault="00F96E97">
      <w:pPr>
        <w:spacing w:after="120"/>
      </w:pPr>
    </w:p>
    <w:p w14:paraId="6E8495DE" w14:textId="77777777" w:rsidR="00F96E97" w:rsidRDefault="00000000">
      <w:pPr>
        <w:pBdr>
          <w:left w:val="single" w:sz="12" w:space="12" w:color="2E75B6"/>
        </w:pBdr>
        <w:spacing w:before="120" w:after="120"/>
        <w:ind w:left="720" w:right="720"/>
        <w:jc w:val="both"/>
      </w:pPr>
      <w:r>
        <w:rPr>
          <w:rFonts w:cs="Arial"/>
          <w:i/>
          <w:iCs/>
          <w:color w:val="17375E"/>
        </w:rPr>
        <w:t>The pre-2015 credit union system was buffered from oil shocks by zero interest rates and deposit inflows. The post-2015 system is exposed to oil shocks through rate response and deposit outflows. Any stress testing framework that pools data across both eras without accounting for this break is measuring the average of two fundamentally different regimes.</w:t>
      </w:r>
    </w:p>
    <w:p w14:paraId="6F7651B1" w14:textId="77777777" w:rsidR="00F96E97" w:rsidRDefault="00F96E97">
      <w:pPr>
        <w:spacing w:after="120"/>
      </w:pPr>
    </w:p>
    <w:p w14:paraId="2928F0A8" w14:textId="77777777" w:rsidR="00F96E97" w:rsidRDefault="00000000">
      <w:pPr>
        <w:spacing w:before="80" w:after="80"/>
      </w:pPr>
      <w:r>
        <w:rPr>
          <w:rFonts w:cs="Arial"/>
          <w:i/>
          <w:iCs/>
          <w:color w:val="666666"/>
          <w:sz w:val="20"/>
          <w:szCs w:val="20"/>
        </w:rPr>
        <w:t>Supporting chart: Figure 07 — Structural Break: Oil-CU Relationship Pre vs Post Shale Era (2015Q1)</w:t>
      </w:r>
    </w:p>
    <w:p w14:paraId="22A53287" w14:textId="77777777" w:rsidR="00F96E97" w:rsidRDefault="00F96E97">
      <w:pPr>
        <w:spacing w:after="120"/>
      </w:pPr>
    </w:p>
    <w:p w14:paraId="3690222F" w14:textId="77777777" w:rsidR="00F96E97" w:rsidRDefault="00000000">
      <w:pPr>
        <w:pStyle w:val="Heading2"/>
      </w:pPr>
      <w:r>
        <w:t>4.  Credit Risk for Small Credit Unions</w:t>
      </w:r>
    </w:p>
    <w:p w14:paraId="527C474E" w14:textId="77777777" w:rsidR="00F96E97" w:rsidRDefault="00000000">
      <w:pPr>
        <w:spacing w:before="80" w:after="100"/>
        <w:jc w:val="both"/>
      </w:pPr>
      <w:r>
        <w:rPr>
          <w:rFonts w:cs="Arial"/>
          <w:color w:val="404040"/>
        </w:rPr>
        <w:t>Small credit unions — those under $100 million in assets — face a fundamentally different risk profile than their larger counterparts.</w:t>
      </w:r>
    </w:p>
    <w:p w14:paraId="04C85A33" w14:textId="77777777" w:rsidR="00F96E97" w:rsidRDefault="00F96E97">
      <w:pPr>
        <w:spacing w:after="120"/>
      </w:pPr>
    </w:p>
    <w:p w14:paraId="1539085C" w14:textId="77777777" w:rsidR="00F96E97" w:rsidRDefault="00000000">
      <w:pPr>
        <w:spacing w:before="80" w:after="100"/>
        <w:jc w:val="both"/>
      </w:pPr>
      <w:r>
        <w:rPr>
          <w:rFonts w:cs="Arial"/>
          <w:color w:val="404040"/>
        </w:rPr>
        <w:t>Figure 06 makes the scale of this difference undeniable. During the COVID stress episode, credit unions in the $10 million to $100 million asset tier reached delinquency rates above 20%. Credit unions over $1 billion barely moved above 2%. That is a ten times difference in bad loan rates between institutions facing the exact same economic shock.</w:t>
      </w:r>
    </w:p>
    <w:p w14:paraId="48025CE1" w14:textId="77777777" w:rsidR="00F96E97" w:rsidRDefault="00F96E97">
      <w:pPr>
        <w:spacing w:after="120"/>
      </w:pPr>
    </w:p>
    <w:p w14:paraId="1DB20B11" w14:textId="77777777" w:rsidR="00F96E97" w:rsidRDefault="00000000">
      <w:pPr>
        <w:spacing w:before="80" w:after="100"/>
        <w:jc w:val="both"/>
      </w:pPr>
      <w:r>
        <w:rPr>
          <w:rFonts w:cs="Arial"/>
          <w:color w:val="404040"/>
        </w:rPr>
        <w:t>The explanation lies in concentration. A small credit union serving a single employer, a single town, or a single industry has no diversification against a localized economic shock. When the oil refinery lays off workers or the agricultural cooperative struggles, a significant portion of the entire loan book may be at risk simultaneously.</w:t>
      </w:r>
    </w:p>
    <w:p w14:paraId="525F5128" w14:textId="77777777" w:rsidR="00F96E97" w:rsidRDefault="00F96E97">
      <w:pPr>
        <w:spacing w:after="120"/>
      </w:pPr>
    </w:p>
    <w:p w14:paraId="2DB95E66" w14:textId="77777777" w:rsidR="00F96E97" w:rsidRDefault="00000000">
      <w:pPr>
        <w:spacing w:before="80" w:after="100"/>
        <w:jc w:val="both"/>
      </w:pPr>
      <w:r>
        <w:rPr>
          <w:rFonts w:cs="Arial"/>
          <w:color w:val="404040"/>
        </w:rPr>
        <w:t>At the same time, small credit unions lack the tools that large institutions use to manage the resulting funding pressure:</w:t>
      </w:r>
    </w:p>
    <w:p w14:paraId="3B6733FD" w14:textId="77777777" w:rsidR="00F96E97" w:rsidRDefault="00000000">
      <w:pPr>
        <w:pStyle w:val="ListParagraph"/>
        <w:numPr>
          <w:ilvl w:val="0"/>
          <w:numId w:val="2"/>
        </w:numPr>
        <w:spacing w:before="60" w:after="60"/>
      </w:pPr>
      <w:r>
        <w:rPr>
          <w:color w:val="404040"/>
        </w:rPr>
        <w:t>They cannot easily offer competitive certificate rates to retain deposits</w:t>
      </w:r>
    </w:p>
    <w:p w14:paraId="01424EF3" w14:textId="77777777" w:rsidR="00F96E97" w:rsidRDefault="00000000">
      <w:pPr>
        <w:pStyle w:val="ListParagraph"/>
        <w:numPr>
          <w:ilvl w:val="0"/>
          <w:numId w:val="2"/>
        </w:numPr>
        <w:spacing w:before="60" w:after="60"/>
      </w:pPr>
      <w:r>
        <w:rPr>
          <w:color w:val="404040"/>
        </w:rPr>
        <w:t>They cannot access wholesale funding markets when deposit balances fall</w:t>
      </w:r>
    </w:p>
    <w:p w14:paraId="67DB722D" w14:textId="77777777" w:rsidR="00F96E97" w:rsidRDefault="00000000">
      <w:pPr>
        <w:pStyle w:val="ListParagraph"/>
        <w:numPr>
          <w:ilvl w:val="0"/>
          <w:numId w:val="2"/>
        </w:numPr>
        <w:spacing w:before="60" w:after="60"/>
      </w:pPr>
      <w:r>
        <w:rPr>
          <w:color w:val="404040"/>
        </w:rPr>
        <w:t>They cannot absorb sustained periods of negative net interest margin through fee income and operational scale</w:t>
      </w:r>
    </w:p>
    <w:p w14:paraId="68B82780"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E97" w14:paraId="039414CA" w14:textId="77777777">
        <w:tblPrEx>
          <w:tblCellMar>
            <w:top w:w="0" w:type="dxa"/>
            <w:bottom w:w="0" w:type="dxa"/>
          </w:tblCellMar>
        </w:tblPrEx>
        <w:tc>
          <w:tcPr>
            <w:tcW w:w="9360" w:type="dxa"/>
            <w:tcBorders>
              <w:top w:val="single" w:sz="12" w:space="0" w:color="C55A11"/>
              <w:left w:val="single" w:sz="12" w:space="0" w:color="C55A11"/>
              <w:bottom w:val="single" w:sz="4" w:space="0" w:color="D9D9D9"/>
              <w:right w:val="single" w:sz="4" w:space="0" w:color="D9D9D9"/>
            </w:tcBorders>
            <w:shd w:val="clear" w:color="auto" w:fill="FFF3E0"/>
            <w:tcMar>
              <w:top w:w="120" w:type="dxa"/>
              <w:left w:w="180" w:type="dxa"/>
              <w:bottom w:w="120" w:type="dxa"/>
              <w:right w:w="180" w:type="dxa"/>
            </w:tcMar>
          </w:tcPr>
          <w:p w14:paraId="7BD0482A" w14:textId="77777777" w:rsidR="00F96E97" w:rsidRDefault="00000000">
            <w:pPr>
              <w:spacing w:after="60"/>
            </w:pPr>
            <w:r>
              <w:rPr>
                <w:rFonts w:cs="Arial"/>
                <w:b/>
                <w:bCs/>
                <w:color w:val="C55A11"/>
              </w:rPr>
              <w:t>Bottom Line for Small CUs</w:t>
            </w:r>
          </w:p>
          <w:p w14:paraId="006D7E54" w14:textId="77777777" w:rsidR="00F96E97" w:rsidRDefault="00000000">
            <w:pPr>
              <w:jc w:val="both"/>
            </w:pPr>
            <w:r>
              <w:rPr>
                <w:rFonts w:cs="Arial"/>
                <w:i/>
                <w:iCs/>
                <w:color w:val="404040"/>
                <w:sz w:val="21"/>
                <w:szCs w:val="21"/>
              </w:rPr>
              <w:t>When oil prices shock the economy, large credit unions face a funding cost problem they can manage. Small credit unions face a survival problem they often cannot. The decline of the credit union industry from over 8,000 institutions to under 5,000 over this study period is in large part the story of small credit unions that could not withstand these combined pressures.</w:t>
            </w:r>
          </w:p>
        </w:tc>
      </w:tr>
    </w:tbl>
    <w:p w14:paraId="62EE4CAB" w14:textId="77777777" w:rsidR="00F96E97" w:rsidRDefault="00F96E97">
      <w:pPr>
        <w:spacing w:after="120"/>
      </w:pPr>
    </w:p>
    <w:p w14:paraId="6B0025CE" w14:textId="77777777" w:rsidR="00F96E97" w:rsidRDefault="00000000">
      <w:pPr>
        <w:spacing w:before="80" w:after="80"/>
      </w:pPr>
      <w:r>
        <w:rPr>
          <w:rFonts w:cs="Arial"/>
          <w:i/>
          <w:iCs/>
          <w:color w:val="666666"/>
          <w:sz w:val="20"/>
          <w:szCs w:val="20"/>
        </w:rPr>
        <w:t>Supporting chart: Figure 06 — CU Outcomes by Asset Tier (2005–2025)</w:t>
      </w:r>
    </w:p>
    <w:p w14:paraId="7FB744B8" w14:textId="77777777" w:rsidR="00F96E97" w:rsidRDefault="00F96E97">
      <w:pPr>
        <w:spacing w:after="120"/>
      </w:pPr>
    </w:p>
    <w:p w14:paraId="34D454D5" w14:textId="77777777" w:rsidR="00F96E97" w:rsidRDefault="00000000">
      <w:pPr>
        <w:pStyle w:val="Heading2"/>
      </w:pPr>
      <w:r>
        <w:t>5.  Direct vs. Indirect Effect vs. Spillover</w:t>
      </w:r>
    </w:p>
    <w:p w14:paraId="50C7514F" w14:textId="77777777" w:rsidR="00F96E97" w:rsidRDefault="00000000">
      <w:pPr>
        <w:spacing w:before="80" w:after="100"/>
        <w:jc w:val="both"/>
      </w:pPr>
      <w:r>
        <w:rPr>
          <w:rFonts w:cs="Arial"/>
          <w:color w:val="404040"/>
        </w:rPr>
        <w:t>Not all credit unions experience oil shocks through the same channel. This analysis classifies credit unions into three exposure tiers:</w:t>
      </w:r>
    </w:p>
    <w:p w14:paraId="09872D0D"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F96E97" w14:paraId="06D417D3"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1D80E09" w14:textId="77777777" w:rsidR="00F96E97" w:rsidRDefault="00000000">
            <w:pPr>
              <w:jc w:val="center"/>
            </w:pPr>
            <w:r>
              <w:rPr>
                <w:rFonts w:cs="Arial"/>
                <w:b/>
                <w:bCs/>
                <w:color w:val="FFFFFF"/>
                <w:sz w:val="20"/>
                <w:szCs w:val="20"/>
              </w:rPr>
              <w:t>Exposure Type</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89F3F97" w14:textId="77777777" w:rsidR="00F96E97" w:rsidRDefault="00000000">
            <w:pPr>
              <w:jc w:val="center"/>
            </w:pPr>
            <w:r>
              <w:rPr>
                <w:rFonts w:cs="Arial"/>
                <w:b/>
                <w:bCs/>
                <w:color w:val="FFFFFF"/>
                <w:sz w:val="20"/>
                <w:szCs w:val="20"/>
              </w:rPr>
              <w:t>Definition</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0577945" w14:textId="77777777" w:rsidR="00F96E97" w:rsidRDefault="00000000">
            <w:pPr>
              <w:jc w:val="center"/>
            </w:pPr>
            <w:r>
              <w:rPr>
                <w:rFonts w:cs="Arial"/>
                <w:b/>
                <w:bCs/>
                <w:color w:val="FFFFFF"/>
                <w:sz w:val="20"/>
                <w:szCs w:val="20"/>
              </w:rPr>
              <w:t>Model Term</w:t>
            </w:r>
          </w:p>
        </w:tc>
      </w:tr>
      <w:tr w:rsidR="00F96E97" w14:paraId="21A96FB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A29F45" w14:textId="77777777" w:rsidR="00F96E97" w:rsidRDefault="00000000">
            <w:r>
              <w:rPr>
                <w:rFonts w:cs="Arial"/>
                <w:color w:val="404040"/>
                <w:sz w:val="20"/>
                <w:szCs w:val="20"/>
              </w:rPr>
              <w:t>Direct</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C4D496" w14:textId="77777777" w:rsidR="00F96E97" w:rsidRDefault="00000000">
            <w:pPr>
              <w:jc w:val="center"/>
            </w:pPr>
            <w:r>
              <w:rPr>
                <w:rFonts w:cs="Arial"/>
                <w:color w:val="404040"/>
                <w:sz w:val="20"/>
                <w:szCs w:val="20"/>
              </w:rPr>
              <w:t>CU headquartered in a state where mining and extraction employment exceeds 3% of total state employment. Members’ income and local real estate directly tied to oil.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1C5302" w14:textId="77777777" w:rsidR="00F96E97" w:rsidRDefault="00000000">
            <w:pPr>
              <w:jc w:val="center"/>
            </w:pPr>
            <w:r>
              <w:rPr>
                <w:rFonts w:cs="Arial"/>
                <w:color w:val="404040"/>
                <w:sz w:val="20"/>
                <w:szCs w:val="20"/>
              </w:rPr>
              <w:t xml:space="preserve">β₂: </w:t>
            </w:r>
            <w:proofErr w:type="spellStart"/>
            <w:r>
              <w:rPr>
                <w:rFonts w:cs="Arial"/>
                <w:color w:val="404040"/>
                <w:sz w:val="20"/>
                <w:szCs w:val="20"/>
              </w:rPr>
              <w:t>oil_x_brent</w:t>
            </w:r>
            <w:proofErr w:type="spellEnd"/>
          </w:p>
        </w:tc>
      </w:tr>
      <w:tr w:rsidR="00F96E97" w14:paraId="1AE4793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304A5F" w14:textId="77777777" w:rsidR="00F96E97" w:rsidRDefault="00000000">
            <w:r>
              <w:rPr>
                <w:rFonts w:cs="Arial"/>
                <w:color w:val="404040"/>
                <w:sz w:val="20"/>
                <w:szCs w:val="20"/>
              </w:rPr>
              <w:t>Indirect</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A21EDD" w14:textId="77777777" w:rsidR="00F96E97" w:rsidRDefault="00000000">
            <w:pPr>
              <w:jc w:val="center"/>
            </w:pPr>
            <w:r>
              <w:rPr>
                <w:rFonts w:cs="Arial"/>
                <w:color w:val="404040"/>
                <w:sz w:val="20"/>
                <w:szCs w:val="20"/>
              </w:rPr>
              <w:t>Every other CU in the country. Feels oil prices through national macro channels: inflation, unemployment, Fed rate decisions.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86E3F8" w14:textId="77777777" w:rsidR="00F96E97" w:rsidRDefault="00000000">
            <w:pPr>
              <w:jc w:val="center"/>
            </w:pPr>
            <w:r>
              <w:rPr>
                <w:rFonts w:cs="Arial"/>
                <w:color w:val="404040"/>
                <w:sz w:val="20"/>
                <w:szCs w:val="20"/>
              </w:rPr>
              <w:t xml:space="preserve">β₁: </w:t>
            </w:r>
            <w:proofErr w:type="spellStart"/>
            <w:r>
              <w:rPr>
                <w:rFonts w:cs="Arial"/>
                <w:color w:val="404040"/>
                <w:sz w:val="20"/>
                <w:szCs w:val="20"/>
              </w:rPr>
              <w:t>macro_base_yoy_oil</w:t>
            </w:r>
            <w:proofErr w:type="spellEnd"/>
          </w:p>
        </w:tc>
      </w:tr>
      <w:tr w:rsidR="00F96E97" w14:paraId="273F7B5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0AD778" w14:textId="77777777" w:rsidR="00F96E97" w:rsidRDefault="00000000">
            <w:r>
              <w:rPr>
                <w:rFonts w:cs="Arial"/>
                <w:color w:val="404040"/>
                <w:sz w:val="20"/>
                <w:szCs w:val="20"/>
              </w:rPr>
              <w:t>Spillover</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F9020B" w14:textId="77777777" w:rsidR="00F96E97" w:rsidRDefault="00000000">
            <w:pPr>
              <w:jc w:val="center"/>
            </w:pPr>
            <w:r>
              <w:rPr>
                <w:rFonts w:cs="Arial"/>
                <w:color w:val="404040"/>
                <w:sz w:val="20"/>
                <w:szCs w:val="20"/>
              </w:rPr>
              <w:t>CUs in states bordering major oil-producing states. Absorbs oil shock effects through regional supply chains and labor mobility without full concentration risk.</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D0259B" w14:textId="77777777" w:rsidR="00F96E97" w:rsidRDefault="00000000">
            <w:pPr>
              <w:jc w:val="center"/>
            </w:pPr>
            <w:r>
              <w:rPr>
                <w:rFonts w:cs="Arial"/>
                <w:color w:val="404040"/>
                <w:sz w:val="20"/>
                <w:szCs w:val="20"/>
              </w:rPr>
              <w:t xml:space="preserve">β₃: </w:t>
            </w:r>
            <w:proofErr w:type="spellStart"/>
            <w:r>
              <w:rPr>
                <w:rFonts w:cs="Arial"/>
                <w:color w:val="404040"/>
                <w:sz w:val="20"/>
                <w:szCs w:val="20"/>
              </w:rPr>
              <w:t>spillover_x_brent</w:t>
            </w:r>
            <w:proofErr w:type="spellEnd"/>
          </w:p>
        </w:tc>
      </w:tr>
    </w:tbl>
    <w:p w14:paraId="496B456B" w14:textId="77777777" w:rsidR="00F96E97" w:rsidRDefault="00F96E97">
      <w:pPr>
        <w:spacing w:after="120"/>
      </w:pPr>
    </w:p>
    <w:p w14:paraId="3352F609" w14:textId="77777777" w:rsidR="00F96E97" w:rsidRDefault="00000000">
      <w:pPr>
        <w:spacing w:before="80" w:after="100"/>
        <w:jc w:val="both"/>
      </w:pPr>
      <w:r>
        <w:rPr>
          <w:rFonts w:cs="Arial"/>
          <w:color w:val="404040"/>
        </w:rPr>
        <w:t>Figure 04 shows that in normal times, being an oil-state credit union does not make an institution dramatically different from any other credit union. The lines for direct and indirect CUs track each other closely across nearly every financial metric over 20 years. The one consistent exception is the loan-to-share ratio — oil-state credit unions run systematically higher, consistent with stronger local economic activity in energy regions driving loan demand.</w:t>
      </w:r>
    </w:p>
    <w:p w14:paraId="10B57AC8" w14:textId="77777777" w:rsidR="00F96E97" w:rsidRDefault="00F96E97">
      <w:pPr>
        <w:spacing w:after="120"/>
      </w:pPr>
    </w:p>
    <w:p w14:paraId="1D341763" w14:textId="77777777" w:rsidR="00F96E97" w:rsidRDefault="00000000">
      <w:pPr>
        <w:spacing w:before="80" w:after="100"/>
        <w:jc w:val="both"/>
      </w:pPr>
      <w:r>
        <w:rPr>
          <w:rFonts w:cs="Arial"/>
          <w:color w:val="404040"/>
        </w:rPr>
        <w:t>Figure 08 confirms that the spillover channel is real and measurable. Credit unions in states with strong economic linkages to oil regions — Kansas bordering Oklahoma, Montana bordering North Dakota — behave measurably differently from credit unions in economically isolated states. Importantly, the highest spillover credit unions went from the most stressed group during the GFC to among the least stressed group post-shale, reflecting the maturation and diversification of oil-state economies over time.</w:t>
      </w:r>
    </w:p>
    <w:p w14:paraId="7271E470" w14:textId="77777777" w:rsidR="00F96E97" w:rsidRDefault="00F96E97">
      <w:pPr>
        <w:spacing w:after="120"/>
      </w:pPr>
    </w:p>
    <w:p w14:paraId="165594BA" w14:textId="77777777" w:rsidR="00F96E97" w:rsidRDefault="00000000">
      <w:pPr>
        <w:spacing w:before="80" w:after="80"/>
      </w:pPr>
      <w:r>
        <w:rPr>
          <w:rFonts w:cs="Arial"/>
          <w:i/>
          <w:iCs/>
          <w:color w:val="666666"/>
          <w:sz w:val="20"/>
          <w:szCs w:val="20"/>
        </w:rPr>
        <w:t>Supporting charts: Figure 04 — Direct vs Indirect | Figure 08 — Spillover Terciles</w:t>
      </w:r>
    </w:p>
    <w:p w14:paraId="6C375698" w14:textId="77777777" w:rsidR="00F96E97" w:rsidRDefault="00F96E97">
      <w:pPr>
        <w:spacing w:after="120"/>
      </w:pPr>
    </w:p>
    <w:p w14:paraId="2201F9CF" w14:textId="77777777" w:rsidR="00F96E97" w:rsidRDefault="00000000">
      <w:pPr>
        <w:pStyle w:val="Heading2"/>
      </w:pPr>
      <w:r>
        <w:t>6.  Past Experiences from 2008 and 2011</w:t>
      </w:r>
    </w:p>
    <w:p w14:paraId="40D945F4" w14:textId="77777777" w:rsidR="00F96E97" w:rsidRDefault="00000000">
      <w:pPr>
        <w:spacing w:before="80" w:after="100"/>
        <w:jc w:val="both"/>
      </w:pPr>
      <w:r>
        <w:rPr>
          <w:rFonts w:cs="Arial"/>
          <w:color w:val="404040"/>
        </w:rPr>
        <w:t xml:space="preserve">The comparison of two nearly identical oil price peaks — $116 per barrel in 2008 and $117 per barrel in 2011 — provides the clearest natural experiment available in this dataset for understanding what oil prices </w:t>
      </w:r>
      <w:proofErr w:type="gramStart"/>
      <w:r>
        <w:rPr>
          <w:rFonts w:cs="Arial"/>
          <w:color w:val="404040"/>
        </w:rPr>
        <w:t>actually do</w:t>
      </w:r>
      <w:proofErr w:type="gramEnd"/>
      <w:r>
        <w:rPr>
          <w:rFonts w:cs="Arial"/>
          <w:color w:val="404040"/>
        </w:rPr>
        <w:t xml:space="preserve"> to credit unions when other factors are controlled.</w:t>
      </w:r>
    </w:p>
    <w:p w14:paraId="6A5D6D9E" w14:textId="77777777" w:rsidR="00F96E97" w:rsidRDefault="00F96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F96E97" w14:paraId="7DF8F7D9"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D432748" w14:textId="77777777" w:rsidR="00F96E97" w:rsidRDefault="00000000">
            <w:pPr>
              <w:jc w:val="center"/>
            </w:pPr>
            <w:r>
              <w:rPr>
                <w:rFonts w:cs="Arial"/>
                <w:b/>
                <w:bCs/>
                <w:color w:val="FFFFFF"/>
                <w:sz w:val="20"/>
                <w:szCs w:val="20"/>
              </w:rPr>
              <w:t>Condition</w:t>
            </w:r>
          </w:p>
        </w:tc>
        <w:tc>
          <w:tcPr>
            <w:tcW w:w="32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46C9AD" w14:textId="77777777" w:rsidR="00F96E97" w:rsidRDefault="00000000">
            <w:pPr>
              <w:jc w:val="center"/>
            </w:pPr>
            <w:r>
              <w:rPr>
                <w:rFonts w:cs="Arial"/>
                <w:b/>
                <w:bCs/>
                <w:color w:val="FFFFFF"/>
                <w:sz w:val="20"/>
                <w:szCs w:val="20"/>
              </w:rPr>
              <w:t>2008 Episode</w:t>
            </w:r>
          </w:p>
        </w:tc>
        <w:tc>
          <w:tcPr>
            <w:tcW w:w="32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AB3C77E" w14:textId="77777777" w:rsidR="00F96E97" w:rsidRDefault="00000000">
            <w:pPr>
              <w:jc w:val="center"/>
            </w:pPr>
            <w:r>
              <w:rPr>
                <w:rFonts w:cs="Arial"/>
                <w:b/>
                <w:bCs/>
                <w:color w:val="FFFFFF"/>
                <w:sz w:val="20"/>
                <w:szCs w:val="20"/>
              </w:rPr>
              <w:t>2011 Episode</w:t>
            </w:r>
          </w:p>
        </w:tc>
      </w:tr>
      <w:tr w:rsidR="00F96E97" w14:paraId="58EC8E12"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49402F" w14:textId="77777777" w:rsidR="00F96E97" w:rsidRDefault="00000000">
            <w:r>
              <w:rPr>
                <w:rFonts w:cs="Arial"/>
                <w:color w:val="404040"/>
                <w:sz w:val="20"/>
                <w:szCs w:val="20"/>
              </w:rPr>
              <w:t>Oil price peak</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302AC2" w14:textId="77777777" w:rsidR="00F96E97" w:rsidRDefault="00000000">
            <w:pPr>
              <w:jc w:val="center"/>
            </w:pPr>
            <w:r>
              <w:rPr>
                <w:rFonts w:cs="Arial"/>
                <w:color w:val="404040"/>
                <w:sz w:val="20"/>
                <w:szCs w:val="20"/>
              </w:rPr>
              <w:t>$116/</w:t>
            </w:r>
            <w:proofErr w:type="spellStart"/>
            <w:r>
              <w:rPr>
                <w:rFonts w:cs="Arial"/>
                <w:color w:val="404040"/>
                <w:sz w:val="20"/>
                <w:szCs w:val="20"/>
              </w:rPr>
              <w:t>bbl</w:t>
            </w:r>
            <w:proofErr w:type="spellEnd"/>
            <w:r>
              <w:rPr>
                <w:rFonts w:cs="Arial"/>
                <w:color w:val="404040"/>
                <w:sz w:val="20"/>
                <w:szCs w:val="20"/>
              </w:rPr>
              <w:t xml:space="preserve"> (2008Q3 — </w:t>
            </w:r>
            <w:proofErr w:type="gramStart"/>
            <w:r>
              <w:rPr>
                <w:rFonts w:cs="Arial"/>
                <w:color w:val="404040"/>
                <w:sz w:val="20"/>
                <w:szCs w:val="20"/>
              </w:rPr>
              <w:t>all-time record</w:t>
            </w:r>
            <w:proofErr w:type="gramEnd"/>
            <w:r>
              <w:rPr>
                <w:rFonts w:cs="Arial"/>
                <w:color w:val="404040"/>
                <w:sz w:val="20"/>
                <w:szCs w:val="20"/>
              </w:rPr>
              <w:t>)</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E52C98" w14:textId="77777777" w:rsidR="00F96E97" w:rsidRDefault="00000000">
            <w:pPr>
              <w:jc w:val="center"/>
            </w:pPr>
            <w:r>
              <w:rPr>
                <w:rFonts w:cs="Arial"/>
                <w:color w:val="404040"/>
                <w:sz w:val="20"/>
                <w:szCs w:val="20"/>
              </w:rPr>
              <w:t>$117/</w:t>
            </w:r>
            <w:proofErr w:type="spellStart"/>
            <w:r>
              <w:rPr>
                <w:rFonts w:cs="Arial"/>
                <w:color w:val="404040"/>
                <w:sz w:val="20"/>
                <w:szCs w:val="20"/>
              </w:rPr>
              <w:t>bbl</w:t>
            </w:r>
            <w:proofErr w:type="spellEnd"/>
            <w:r>
              <w:rPr>
                <w:rFonts w:cs="Arial"/>
                <w:color w:val="404040"/>
                <w:sz w:val="20"/>
                <w:szCs w:val="20"/>
              </w:rPr>
              <w:t xml:space="preserve"> (2011Q2 — Arab Spring)</w:t>
            </w:r>
          </w:p>
        </w:tc>
      </w:tr>
      <w:tr w:rsidR="00F96E97" w14:paraId="50694F25"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1333FD" w14:textId="77777777" w:rsidR="00F96E97" w:rsidRDefault="00000000">
            <w:r>
              <w:rPr>
                <w:rFonts w:cs="Arial"/>
                <w:color w:val="404040"/>
                <w:sz w:val="20"/>
                <w:szCs w:val="20"/>
              </w:rPr>
              <w:lastRenderedPageBreak/>
              <w:t>Fed Funds Rate</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BE3685" w14:textId="77777777" w:rsidR="00F96E97" w:rsidRDefault="00000000">
            <w:pPr>
              <w:jc w:val="center"/>
            </w:pPr>
            <w:r>
              <w:rPr>
                <w:rFonts w:cs="Arial"/>
                <w:color w:val="404040"/>
                <w:sz w:val="20"/>
                <w:szCs w:val="20"/>
              </w:rPr>
              <w:t>Cutting 5.25% → 0.25%</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3E5C58" w14:textId="77777777" w:rsidR="00F96E97" w:rsidRDefault="00000000">
            <w:pPr>
              <w:jc w:val="center"/>
            </w:pPr>
            <w:r>
              <w:rPr>
                <w:rFonts w:cs="Arial"/>
                <w:color w:val="404040"/>
                <w:sz w:val="20"/>
                <w:szCs w:val="20"/>
              </w:rPr>
              <w:t>Already at ZIRP floor (0.25%)</w:t>
            </w:r>
          </w:p>
        </w:tc>
      </w:tr>
      <w:tr w:rsidR="00F96E97" w14:paraId="4A16F4A3"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0E1A9A" w14:textId="77777777" w:rsidR="00F96E97" w:rsidRDefault="00000000">
            <w:r>
              <w:rPr>
                <w:rFonts w:cs="Arial"/>
                <w:color w:val="404040"/>
                <w:sz w:val="20"/>
                <w:szCs w:val="20"/>
              </w:rPr>
              <w:t>Unemployment</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1F7B48" w14:textId="77777777" w:rsidR="00F96E97" w:rsidRDefault="00000000">
            <w:pPr>
              <w:jc w:val="center"/>
            </w:pPr>
            <w:r>
              <w:rPr>
                <w:rFonts w:cs="Arial"/>
                <w:color w:val="404040"/>
                <w:sz w:val="20"/>
                <w:szCs w:val="20"/>
              </w:rPr>
              <w:t>Rising sharply to 10%</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C9643A" w14:textId="77777777" w:rsidR="00F96E97" w:rsidRDefault="00000000">
            <w:pPr>
              <w:jc w:val="center"/>
            </w:pPr>
            <w:r>
              <w:rPr>
                <w:rFonts w:cs="Arial"/>
                <w:color w:val="404040"/>
                <w:sz w:val="20"/>
                <w:szCs w:val="20"/>
              </w:rPr>
              <w:t>Elevated but stabilizing ~9%</w:t>
            </w:r>
          </w:p>
        </w:tc>
      </w:tr>
      <w:tr w:rsidR="00F96E97" w14:paraId="7FD05321"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B3FCE2" w14:textId="77777777" w:rsidR="00F96E97" w:rsidRDefault="00000000">
            <w:r>
              <w:rPr>
                <w:rFonts w:cs="Arial"/>
                <w:color w:val="404040"/>
                <w:sz w:val="20"/>
                <w:szCs w:val="20"/>
              </w:rPr>
              <w:t>Yield curve</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F96AFB" w14:textId="77777777" w:rsidR="00F96E97" w:rsidRDefault="00000000">
            <w:pPr>
              <w:jc w:val="center"/>
            </w:pPr>
            <w:r>
              <w:rPr>
                <w:rFonts w:cs="Arial"/>
                <w:color w:val="404040"/>
                <w:sz w:val="20"/>
                <w:szCs w:val="20"/>
              </w:rPr>
              <w:t>Flattening → NIM headwind</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89E2D7" w14:textId="77777777" w:rsidR="00F96E97" w:rsidRDefault="00000000">
            <w:pPr>
              <w:jc w:val="center"/>
            </w:pPr>
            <w:r>
              <w:rPr>
                <w:rFonts w:cs="Arial"/>
                <w:color w:val="404040"/>
                <w:sz w:val="20"/>
                <w:szCs w:val="20"/>
              </w:rPr>
              <w:t>Steep → NIM tailwind</w:t>
            </w:r>
          </w:p>
        </w:tc>
      </w:tr>
      <w:tr w:rsidR="00F96E97" w14:paraId="5B17D503"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1210F2" w14:textId="77777777" w:rsidR="00F96E97" w:rsidRDefault="00000000">
            <w:r>
              <w:rPr>
                <w:rFonts w:cs="Arial"/>
                <w:color w:val="404040"/>
                <w:sz w:val="20"/>
                <w:szCs w:val="20"/>
              </w:rPr>
              <w:t>Delinquency</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210CC6" w14:textId="77777777" w:rsidR="00F96E97" w:rsidRDefault="00000000">
            <w:pPr>
              <w:jc w:val="center"/>
            </w:pPr>
            <w:r>
              <w:rPr>
                <w:rFonts w:cs="Arial"/>
                <w:color w:val="404040"/>
                <w:sz w:val="20"/>
                <w:szCs w:val="20"/>
              </w:rPr>
              <w:t>Rose sharply — GFC driven</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F3E152" w14:textId="77777777" w:rsidR="00F96E97" w:rsidRDefault="00000000">
            <w:pPr>
              <w:jc w:val="center"/>
            </w:pPr>
            <w:r>
              <w:rPr>
                <w:rFonts w:cs="Arial"/>
                <w:color w:val="404040"/>
                <w:sz w:val="20"/>
                <w:szCs w:val="20"/>
              </w:rPr>
              <w:t>Declined steadily throughout</w:t>
            </w:r>
          </w:p>
        </w:tc>
      </w:tr>
      <w:tr w:rsidR="00F96E97" w14:paraId="13711306"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53C635" w14:textId="77777777" w:rsidR="00F96E97" w:rsidRDefault="00000000">
            <w:r>
              <w:rPr>
                <w:rFonts w:cs="Arial"/>
                <w:color w:val="404040"/>
                <w:sz w:val="20"/>
                <w:szCs w:val="20"/>
              </w:rPr>
              <w:t>NIM</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E7AB3A" w14:textId="77777777" w:rsidR="00F96E97" w:rsidRDefault="00000000">
            <w:pPr>
              <w:jc w:val="center"/>
            </w:pPr>
            <w:r>
              <w:rPr>
                <w:rFonts w:cs="Arial"/>
                <w:color w:val="404040"/>
                <w:sz w:val="20"/>
                <w:szCs w:val="20"/>
              </w:rPr>
              <w:t>Collapsed to ~3.5%</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A0D750" w14:textId="77777777" w:rsidR="00F96E97" w:rsidRDefault="00000000">
            <w:pPr>
              <w:jc w:val="center"/>
            </w:pPr>
            <w:r>
              <w:rPr>
                <w:rFonts w:cs="Arial"/>
                <w:color w:val="404040"/>
                <w:sz w:val="20"/>
                <w:szCs w:val="20"/>
              </w:rPr>
              <w:t>Stable throughout</w:t>
            </w:r>
          </w:p>
        </w:tc>
      </w:tr>
      <w:tr w:rsidR="00F96E97" w14:paraId="3E3DE696"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F38380" w14:textId="77777777" w:rsidR="00F96E97" w:rsidRDefault="00000000">
            <w:r>
              <w:rPr>
                <w:rFonts w:cs="Arial"/>
                <w:color w:val="404040"/>
                <w:sz w:val="20"/>
                <w:szCs w:val="20"/>
              </w:rPr>
              <w:t>Deposit growth</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08B9C9" w14:textId="77777777" w:rsidR="00F96E97" w:rsidRDefault="00000000">
            <w:pPr>
              <w:jc w:val="center"/>
            </w:pPr>
            <w:r>
              <w:rPr>
                <w:rFonts w:cs="Arial"/>
                <w:color w:val="404040"/>
                <w:sz w:val="20"/>
                <w:szCs w:val="20"/>
              </w:rPr>
              <w:t>Spiked to 12% (panic inflow)</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CC50A0" w14:textId="77777777" w:rsidR="00F96E97" w:rsidRDefault="00000000">
            <w:pPr>
              <w:jc w:val="center"/>
            </w:pPr>
            <w:r>
              <w:rPr>
                <w:rFonts w:cs="Arial"/>
                <w:color w:val="404040"/>
                <w:sz w:val="20"/>
                <w:szCs w:val="20"/>
              </w:rPr>
              <w:t>Modest, decelerating</w:t>
            </w:r>
          </w:p>
        </w:tc>
      </w:tr>
      <w:tr w:rsidR="00F96E97" w14:paraId="61F13E43"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C3E7E0" w14:textId="77777777" w:rsidR="00F96E97" w:rsidRDefault="00000000">
            <w:r>
              <w:rPr>
                <w:rFonts w:cs="Arial"/>
                <w:color w:val="404040"/>
                <w:sz w:val="20"/>
                <w:szCs w:val="20"/>
              </w:rPr>
              <w:t>Cost of funds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A35EFB" w14:textId="77777777" w:rsidR="00F96E97" w:rsidRDefault="00000000">
            <w:pPr>
              <w:jc w:val="center"/>
            </w:pPr>
            <w:r>
              <w:rPr>
                <w:rFonts w:cs="Arial"/>
                <w:color w:val="404040"/>
                <w:sz w:val="20"/>
                <w:szCs w:val="20"/>
              </w:rPr>
              <w:t>Fell rapidly (Fed cuts)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7F9E85" w14:textId="77777777" w:rsidR="00F96E97" w:rsidRDefault="00000000">
            <w:pPr>
              <w:jc w:val="center"/>
            </w:pPr>
            <w:r>
              <w:rPr>
                <w:rFonts w:cs="Arial"/>
                <w:color w:val="404040"/>
                <w:sz w:val="20"/>
                <w:szCs w:val="20"/>
              </w:rPr>
              <w:t>Already near zero, flat</w:t>
            </w:r>
          </w:p>
        </w:tc>
      </w:tr>
      <w:tr w:rsidR="00F96E97" w14:paraId="49E1F5B0"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EE8A65" w14:textId="77777777" w:rsidR="00F96E97" w:rsidRDefault="00000000">
            <w:r>
              <w:rPr>
                <w:rFonts w:cs="Arial"/>
                <w:color w:val="404040"/>
                <w:sz w:val="20"/>
                <w:szCs w:val="20"/>
              </w:rPr>
              <w:t>Verdict</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4040C6" w14:textId="77777777" w:rsidR="00F96E97" w:rsidRDefault="00000000">
            <w:pPr>
              <w:jc w:val="center"/>
            </w:pPr>
            <w:r>
              <w:rPr>
                <w:rFonts w:cs="Arial"/>
                <w:color w:val="404040"/>
                <w:sz w:val="20"/>
                <w:szCs w:val="20"/>
              </w:rPr>
              <w:t>🔴 Severe stress — but NOT oil-driven</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01BDFA" w14:textId="77777777" w:rsidR="00F96E97" w:rsidRDefault="00000000">
            <w:pPr>
              <w:jc w:val="center"/>
            </w:pPr>
            <w:r>
              <w:rPr>
                <w:rFonts w:cs="Arial"/>
                <w:color w:val="404040"/>
                <w:sz w:val="20"/>
                <w:szCs w:val="20"/>
              </w:rPr>
              <w:t>🟢 Largely fine despite same oil price</w:t>
            </w:r>
          </w:p>
        </w:tc>
      </w:tr>
    </w:tbl>
    <w:p w14:paraId="7C9B40EB" w14:textId="77777777" w:rsidR="00F96E97" w:rsidRDefault="00F96E97">
      <w:pPr>
        <w:spacing w:after="120"/>
      </w:pPr>
    </w:p>
    <w:p w14:paraId="6B166B5C" w14:textId="77777777" w:rsidR="00F96E97" w:rsidRDefault="00000000">
      <w:pPr>
        <w:spacing w:before="80" w:after="100"/>
        <w:jc w:val="both"/>
      </w:pPr>
      <w:r>
        <w:rPr>
          <w:rFonts w:cs="Arial"/>
          <w:color w:val="404040"/>
        </w:rPr>
        <w:t xml:space="preserve">In 2008, credit union variables told a distressing story: bad loans rising, margins falling, balance sheets under severe stress. But that was not oil. It was the simultaneous financial crisis happening at </w:t>
      </w:r>
      <w:proofErr w:type="gramStart"/>
      <w:r>
        <w:rPr>
          <w:rFonts w:cs="Arial"/>
          <w:color w:val="404040"/>
        </w:rPr>
        <w:t>exactly the same</w:t>
      </w:r>
      <w:proofErr w:type="gramEnd"/>
      <w:r>
        <w:rPr>
          <w:rFonts w:cs="Arial"/>
          <w:color w:val="404040"/>
        </w:rPr>
        <w:t xml:space="preserve"> time as the oil price peak.</w:t>
      </w:r>
    </w:p>
    <w:p w14:paraId="56218927" w14:textId="77777777" w:rsidR="00F96E97" w:rsidRDefault="00F96E97">
      <w:pPr>
        <w:spacing w:after="120"/>
      </w:pPr>
    </w:p>
    <w:p w14:paraId="5F978A30" w14:textId="77777777" w:rsidR="00F96E97" w:rsidRDefault="00000000">
      <w:pPr>
        <w:spacing w:before="80" w:after="100"/>
        <w:jc w:val="both"/>
      </w:pPr>
      <w:r>
        <w:rPr>
          <w:rFonts w:cs="Arial"/>
          <w:color w:val="404040"/>
        </w:rPr>
        <w:t>In 2011, oil was almost as expensive, but credit unions were largely fine. Deposits grew modestly in oil-dependent regions. Loan quality held. Margins were stable. The Federal Reserve was already at zero and could not respond to oil-driven inflation with rate hikes — so the rate channel that does the real damage remained dormant.</w:t>
      </w:r>
    </w:p>
    <w:p w14:paraId="539D384A" w14:textId="77777777" w:rsidR="00F96E97" w:rsidRDefault="00F96E97">
      <w:pPr>
        <w:spacing w:after="120"/>
      </w:pPr>
    </w:p>
    <w:p w14:paraId="51855B74" w14:textId="77777777" w:rsidR="00F96E97" w:rsidRDefault="00000000">
      <w:pPr>
        <w:pBdr>
          <w:left w:val="single" w:sz="12" w:space="12" w:color="2E75B6"/>
        </w:pBdr>
        <w:spacing w:before="120" w:after="120"/>
        <w:ind w:left="720" w:right="720"/>
        <w:jc w:val="both"/>
      </w:pPr>
      <w:r>
        <w:rPr>
          <w:rFonts w:cs="Arial"/>
          <w:i/>
          <w:iCs/>
          <w:color w:val="17375E"/>
        </w:rPr>
        <w:t>Same oil price. Completely different outcome. The difference is the macro backdrop — not oil. Oil prices themselves are manageable for credit unions. What makes them dangerous is when a rate-hiking Federal Reserve or a financial crisis hits at the same time.</w:t>
      </w:r>
    </w:p>
    <w:p w14:paraId="0412528D" w14:textId="77777777" w:rsidR="00F96E97" w:rsidRDefault="00F96E97">
      <w:pPr>
        <w:spacing w:after="120"/>
      </w:pPr>
    </w:p>
    <w:p w14:paraId="4DF5A3CB" w14:textId="77777777" w:rsidR="00F96E97" w:rsidRDefault="00000000">
      <w:pPr>
        <w:spacing w:before="80" w:after="100"/>
        <w:jc w:val="both"/>
      </w:pPr>
      <w:r>
        <w:rPr>
          <w:rFonts w:cs="Arial"/>
          <w:color w:val="404040"/>
        </w:rPr>
        <w:t>This comparison carries a direct implication for today. The 2022 oil surge — where prices rose from $20 to over $120 per barrel in 26 months — occurred when the Fed had substantial room to respond. It did respond, raising rates 525 basis points in 18 months. That combination — oil-driven inflation plus an active Federal Reserve — is what made 2022 look far more like 2008 than 2011.</w:t>
      </w:r>
    </w:p>
    <w:p w14:paraId="639981E7" w14:textId="77777777" w:rsidR="00F96E97" w:rsidRDefault="00F96E97">
      <w:pPr>
        <w:spacing w:after="120"/>
      </w:pPr>
    </w:p>
    <w:p w14:paraId="13196EFC" w14:textId="77777777" w:rsidR="00F96E97" w:rsidRDefault="00000000">
      <w:pPr>
        <w:spacing w:before="80" w:after="80"/>
      </w:pPr>
      <w:r>
        <w:rPr>
          <w:rFonts w:cs="Arial"/>
          <w:i/>
          <w:iCs/>
          <w:color w:val="666666"/>
          <w:sz w:val="20"/>
          <w:szCs w:val="20"/>
        </w:rPr>
        <w:t xml:space="preserve">Supporting charts: Figure 2c-04 — 2008 vs 2011 </w:t>
      </w:r>
      <w:proofErr w:type="spellStart"/>
      <w:r>
        <w:rPr>
          <w:rFonts w:cs="Arial"/>
          <w:i/>
          <w:iCs/>
          <w:color w:val="666666"/>
          <w:sz w:val="20"/>
          <w:szCs w:val="20"/>
        </w:rPr>
        <w:t>Normalised</w:t>
      </w:r>
      <w:proofErr w:type="spellEnd"/>
      <w:r>
        <w:rPr>
          <w:rFonts w:cs="Arial"/>
          <w:i/>
          <w:iCs/>
          <w:color w:val="666666"/>
          <w:sz w:val="20"/>
          <w:szCs w:val="20"/>
        </w:rPr>
        <w:t xml:space="preserve"> Comparison | Figure 2c-06 — Macro Backdrop</w:t>
      </w:r>
    </w:p>
    <w:p w14:paraId="51C37AE2" w14:textId="77777777" w:rsidR="00F96E97" w:rsidRDefault="00F96E97">
      <w:pPr>
        <w:spacing w:after="240"/>
      </w:pPr>
    </w:p>
    <w:p w14:paraId="534E18ED" w14:textId="77777777" w:rsidR="00F96E97" w:rsidRDefault="00F96E97">
      <w:pPr>
        <w:pBdr>
          <w:bottom w:val="single" w:sz="6" w:space="1" w:color="2E75B6"/>
        </w:pBdr>
        <w:spacing w:before="160" w:after="160"/>
      </w:pPr>
    </w:p>
    <w:p w14:paraId="761F1A5B" w14:textId="77777777" w:rsidR="00F96E97" w:rsidRDefault="00F96E97">
      <w:pPr>
        <w:spacing w:after="120"/>
      </w:pPr>
    </w:p>
    <w:p w14:paraId="2243023B" w14:textId="77777777" w:rsidR="00F96E97" w:rsidRDefault="00000000">
      <w:pPr>
        <w:spacing w:after="60"/>
        <w:jc w:val="center"/>
      </w:pPr>
      <w:r>
        <w:rPr>
          <w:rFonts w:cs="Arial"/>
          <w:b/>
          <w:bCs/>
          <w:color w:val="404040"/>
        </w:rPr>
        <w:t>Data Sources</w:t>
      </w:r>
    </w:p>
    <w:p w14:paraId="7FB95DEF" w14:textId="77777777" w:rsidR="00F96E97" w:rsidRDefault="00000000">
      <w:pPr>
        <w:spacing w:after="60"/>
        <w:jc w:val="center"/>
      </w:pPr>
      <w:r>
        <w:rPr>
          <w:rFonts w:cs="Arial"/>
          <w:i/>
          <w:iCs/>
          <w:color w:val="888888"/>
          <w:sz w:val="18"/>
          <w:szCs w:val="18"/>
        </w:rPr>
        <w:t>NCUA Form 5300 Call Reports 2005Q1–2025Q4 | FRB CCAR 2026 Baseline and Severely Adverse Macro Scenarios</w:t>
      </w:r>
    </w:p>
    <w:p w14:paraId="05558520" w14:textId="77777777" w:rsidR="00F96E97" w:rsidRDefault="00000000">
      <w:pPr>
        <w:jc w:val="center"/>
      </w:pPr>
      <w:r>
        <w:rPr>
          <w:rFonts w:cs="Arial"/>
          <w:i/>
          <w:iCs/>
          <w:color w:val="888888"/>
          <w:sz w:val="18"/>
          <w:szCs w:val="18"/>
        </w:rPr>
        <w:lastRenderedPageBreak/>
        <w:t>BLS Quarterly Census of Employment and Wages (QCEW) for oil exposure classification</w:t>
      </w:r>
    </w:p>
    <w:sectPr w:rsidR="00F96E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443"/>
    <w:multiLevelType w:val="hybridMultilevel"/>
    <w:tmpl w:val="70F87730"/>
    <w:lvl w:ilvl="0" w:tplc="CD8E3C9E">
      <w:start w:val="1"/>
      <w:numFmt w:val="decimal"/>
      <w:lvlText w:val="%1."/>
      <w:lvlJc w:val="left"/>
      <w:pPr>
        <w:ind w:left="720" w:hanging="360"/>
      </w:pPr>
    </w:lvl>
    <w:lvl w:ilvl="1" w:tplc="DC5662F2">
      <w:numFmt w:val="decimal"/>
      <w:lvlText w:val=""/>
      <w:lvlJc w:val="left"/>
    </w:lvl>
    <w:lvl w:ilvl="2" w:tplc="4580C9FC">
      <w:numFmt w:val="decimal"/>
      <w:lvlText w:val=""/>
      <w:lvlJc w:val="left"/>
    </w:lvl>
    <w:lvl w:ilvl="3" w:tplc="72803A7C">
      <w:numFmt w:val="decimal"/>
      <w:lvlText w:val=""/>
      <w:lvlJc w:val="left"/>
    </w:lvl>
    <w:lvl w:ilvl="4" w:tplc="FBF0BE2A">
      <w:numFmt w:val="decimal"/>
      <w:lvlText w:val=""/>
      <w:lvlJc w:val="left"/>
    </w:lvl>
    <w:lvl w:ilvl="5" w:tplc="D51C13A6">
      <w:numFmt w:val="decimal"/>
      <w:lvlText w:val=""/>
      <w:lvlJc w:val="left"/>
    </w:lvl>
    <w:lvl w:ilvl="6" w:tplc="170EDEC4">
      <w:numFmt w:val="decimal"/>
      <w:lvlText w:val=""/>
      <w:lvlJc w:val="left"/>
    </w:lvl>
    <w:lvl w:ilvl="7" w:tplc="9A3A44E2">
      <w:numFmt w:val="decimal"/>
      <w:lvlText w:val=""/>
      <w:lvlJc w:val="left"/>
    </w:lvl>
    <w:lvl w:ilvl="8" w:tplc="E2D225BA">
      <w:numFmt w:val="decimal"/>
      <w:lvlText w:val=""/>
      <w:lvlJc w:val="left"/>
    </w:lvl>
  </w:abstractNum>
  <w:abstractNum w:abstractNumId="1" w15:restartNumberingAfterBreak="0">
    <w:nsid w:val="0EA32447"/>
    <w:multiLevelType w:val="hybridMultilevel"/>
    <w:tmpl w:val="C1F80006"/>
    <w:lvl w:ilvl="0" w:tplc="4CB2D58A">
      <w:start w:val="1"/>
      <w:numFmt w:val="bullet"/>
      <w:lvlText w:val="●"/>
      <w:lvlJc w:val="left"/>
      <w:pPr>
        <w:ind w:left="720" w:hanging="360"/>
      </w:pPr>
    </w:lvl>
    <w:lvl w:ilvl="1" w:tplc="8BA4AE8E">
      <w:start w:val="1"/>
      <w:numFmt w:val="bullet"/>
      <w:lvlText w:val="○"/>
      <w:lvlJc w:val="left"/>
      <w:pPr>
        <w:ind w:left="1440" w:hanging="360"/>
      </w:pPr>
    </w:lvl>
    <w:lvl w:ilvl="2" w:tplc="073A98E2">
      <w:start w:val="1"/>
      <w:numFmt w:val="bullet"/>
      <w:lvlText w:val="■"/>
      <w:lvlJc w:val="left"/>
      <w:pPr>
        <w:ind w:left="2160" w:hanging="360"/>
      </w:pPr>
    </w:lvl>
    <w:lvl w:ilvl="3" w:tplc="9CAE41B2">
      <w:start w:val="1"/>
      <w:numFmt w:val="bullet"/>
      <w:lvlText w:val="●"/>
      <w:lvlJc w:val="left"/>
      <w:pPr>
        <w:ind w:left="2880" w:hanging="360"/>
      </w:pPr>
    </w:lvl>
    <w:lvl w:ilvl="4" w:tplc="A954747C">
      <w:start w:val="1"/>
      <w:numFmt w:val="bullet"/>
      <w:lvlText w:val="○"/>
      <w:lvlJc w:val="left"/>
      <w:pPr>
        <w:ind w:left="3600" w:hanging="360"/>
      </w:pPr>
    </w:lvl>
    <w:lvl w:ilvl="5" w:tplc="23F84794">
      <w:start w:val="1"/>
      <w:numFmt w:val="bullet"/>
      <w:lvlText w:val="■"/>
      <w:lvlJc w:val="left"/>
      <w:pPr>
        <w:ind w:left="4320" w:hanging="360"/>
      </w:pPr>
    </w:lvl>
    <w:lvl w:ilvl="6" w:tplc="64300DF6">
      <w:start w:val="1"/>
      <w:numFmt w:val="bullet"/>
      <w:lvlText w:val="●"/>
      <w:lvlJc w:val="left"/>
      <w:pPr>
        <w:ind w:left="5040" w:hanging="360"/>
      </w:pPr>
    </w:lvl>
    <w:lvl w:ilvl="7" w:tplc="DD023E24">
      <w:start w:val="1"/>
      <w:numFmt w:val="bullet"/>
      <w:lvlText w:val="●"/>
      <w:lvlJc w:val="left"/>
      <w:pPr>
        <w:ind w:left="5760" w:hanging="360"/>
      </w:pPr>
    </w:lvl>
    <w:lvl w:ilvl="8" w:tplc="7FDC9B6A">
      <w:start w:val="1"/>
      <w:numFmt w:val="bullet"/>
      <w:lvlText w:val="●"/>
      <w:lvlJc w:val="left"/>
      <w:pPr>
        <w:ind w:left="6480" w:hanging="360"/>
      </w:pPr>
    </w:lvl>
  </w:abstractNum>
  <w:abstractNum w:abstractNumId="2" w15:restartNumberingAfterBreak="0">
    <w:nsid w:val="73E31DF2"/>
    <w:multiLevelType w:val="hybridMultilevel"/>
    <w:tmpl w:val="1C625652"/>
    <w:lvl w:ilvl="0" w:tplc="E2A42FF4">
      <w:start w:val="1"/>
      <w:numFmt w:val="bullet"/>
      <w:lvlText w:val="•"/>
      <w:lvlJc w:val="left"/>
      <w:pPr>
        <w:ind w:left="720" w:hanging="360"/>
      </w:pPr>
    </w:lvl>
    <w:lvl w:ilvl="1" w:tplc="0518A90C">
      <w:numFmt w:val="decimal"/>
      <w:lvlText w:val=""/>
      <w:lvlJc w:val="left"/>
    </w:lvl>
    <w:lvl w:ilvl="2" w:tplc="CF94E336">
      <w:numFmt w:val="decimal"/>
      <w:lvlText w:val=""/>
      <w:lvlJc w:val="left"/>
    </w:lvl>
    <w:lvl w:ilvl="3" w:tplc="09704E96">
      <w:numFmt w:val="decimal"/>
      <w:lvlText w:val=""/>
      <w:lvlJc w:val="left"/>
    </w:lvl>
    <w:lvl w:ilvl="4" w:tplc="37B44BAC">
      <w:numFmt w:val="decimal"/>
      <w:lvlText w:val=""/>
      <w:lvlJc w:val="left"/>
    </w:lvl>
    <w:lvl w:ilvl="5" w:tplc="92A43B6C">
      <w:numFmt w:val="decimal"/>
      <w:lvlText w:val=""/>
      <w:lvlJc w:val="left"/>
    </w:lvl>
    <w:lvl w:ilvl="6" w:tplc="2BA847B0">
      <w:numFmt w:val="decimal"/>
      <w:lvlText w:val=""/>
      <w:lvlJc w:val="left"/>
    </w:lvl>
    <w:lvl w:ilvl="7" w:tplc="ABB82CBA">
      <w:numFmt w:val="decimal"/>
      <w:lvlText w:val=""/>
      <w:lvlJc w:val="left"/>
    </w:lvl>
    <w:lvl w:ilvl="8" w:tplc="30767BE4">
      <w:numFmt w:val="decimal"/>
      <w:lvlText w:val=""/>
      <w:lvlJc w:val="left"/>
    </w:lvl>
  </w:abstractNum>
  <w:abstractNum w:abstractNumId="3" w15:restartNumberingAfterBreak="0">
    <w:nsid w:val="79F912D6"/>
    <w:multiLevelType w:val="hybridMultilevel"/>
    <w:tmpl w:val="7BC4966C"/>
    <w:lvl w:ilvl="0" w:tplc="3680239C">
      <w:start w:val="1"/>
      <w:numFmt w:val="bullet"/>
      <w:lvlText w:val="◦"/>
      <w:lvlJc w:val="left"/>
      <w:pPr>
        <w:ind w:left="1080" w:hanging="360"/>
      </w:pPr>
    </w:lvl>
    <w:lvl w:ilvl="1" w:tplc="6C78B7E2">
      <w:numFmt w:val="decimal"/>
      <w:lvlText w:val=""/>
      <w:lvlJc w:val="left"/>
    </w:lvl>
    <w:lvl w:ilvl="2" w:tplc="DC8EB246">
      <w:numFmt w:val="decimal"/>
      <w:lvlText w:val=""/>
      <w:lvlJc w:val="left"/>
    </w:lvl>
    <w:lvl w:ilvl="3" w:tplc="B5C60540">
      <w:numFmt w:val="decimal"/>
      <w:lvlText w:val=""/>
      <w:lvlJc w:val="left"/>
    </w:lvl>
    <w:lvl w:ilvl="4" w:tplc="B44EBFDE">
      <w:numFmt w:val="decimal"/>
      <w:lvlText w:val=""/>
      <w:lvlJc w:val="left"/>
    </w:lvl>
    <w:lvl w:ilvl="5" w:tplc="5E321402">
      <w:numFmt w:val="decimal"/>
      <w:lvlText w:val=""/>
      <w:lvlJc w:val="left"/>
    </w:lvl>
    <w:lvl w:ilvl="6" w:tplc="E1AADA62">
      <w:numFmt w:val="decimal"/>
      <w:lvlText w:val=""/>
      <w:lvlJc w:val="left"/>
    </w:lvl>
    <w:lvl w:ilvl="7" w:tplc="76120118">
      <w:numFmt w:val="decimal"/>
      <w:lvlText w:val=""/>
      <w:lvlJc w:val="left"/>
    </w:lvl>
    <w:lvl w:ilvl="8" w:tplc="523C3F3C">
      <w:numFmt w:val="decimal"/>
      <w:lvlText w:val=""/>
      <w:lvlJc w:val="left"/>
    </w:lvl>
  </w:abstractNum>
  <w:num w:numId="1" w16cid:durableId="1858805269">
    <w:abstractNumId w:val="1"/>
    <w:lvlOverride w:ilvl="0">
      <w:startOverride w:val="1"/>
    </w:lvlOverride>
  </w:num>
  <w:num w:numId="2" w16cid:durableId="10167323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E97"/>
    <w:rsid w:val="00AE24B8"/>
    <w:rsid w:val="00EB0584"/>
    <w:rsid w:val="00F96E9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1F452777"/>
  <w15:docId w15:val="{1F0D6803-CF60-3240-94B5-879AACB51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737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2071</Words>
  <Characters>11230</Characters>
  <Application>Microsoft Office Word</Application>
  <DocSecurity>0</DocSecurity>
  <Lines>287</Lines>
  <Paragraphs>146</Paragraphs>
  <ScaleCrop>false</ScaleCrop>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Datta</cp:lastModifiedBy>
  <cp:revision>2</cp:revision>
  <dcterms:created xsi:type="dcterms:W3CDTF">2026-03-24T15:32:00Z</dcterms:created>
  <dcterms:modified xsi:type="dcterms:W3CDTF">2026-03-24T15:36:00Z</dcterms:modified>
</cp:coreProperties>
</file>