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88888"/>
          <w:sz w:val="20"/>
          <w:szCs w:val="20"/>
        </w:rPr>
        <w:t xml:space="preserve">EXECUTIVE SUMMARY</w:t>
      </w:r>
    </w:p>
    <w:p>
      <w:pPr>
        <w:spacing w:after="40"/>
        <w:jc w:val="center"/>
      </w:pPr>
      <w:r>
        <w:rPr>
          <w:b/>
          <w:bCs/>
          <w:color w:val="1A56DB"/>
          <w:sz w:val="34"/>
          <w:szCs w:val="34"/>
        </w:rPr>
        <w:t xml:space="preserve">Shipping Route Efficiency Analysis</w:t>
      </w:r>
    </w:p>
    <w:p>
      <w:pPr>
        <w:spacing w:after="240"/>
        <w:jc w:val="center"/>
      </w:pPr>
      <w:r>
        <w:rPr>
          <w:i/>
          <w:iCs/>
          <w:color w:val="555555"/>
          <w:sz w:val="22"/>
          <w:szCs w:val="22"/>
        </w:rPr>
        <w:t xml:space="preserve">Nassau Candy Distributor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4F7FC" w:val="clear"/>
            <w:tcMar>
              <w:top w:type="dxa" w:w="160"/>
              <w:left w:type="dxa" w:w="100"/>
              <w:bottom w:type="dxa" w:w="160"/>
              <w:right w:type="dxa" w:w="100"/>
            </w:tcMar>
          </w:tcPr>
          <w:p>
            <w:pPr>
              <w:spacing w:after="40"/>
              <w:jc w:val="center"/>
            </w:pPr>
            <w:r>
              <w:rPr>
                <w:b/>
                <w:bCs/>
                <w:color w:val="1A56DB"/>
                <w:sz w:val="32"/>
                <w:szCs w:val="32"/>
              </w:rPr>
              <w:t xml:space="preserve">10,194</w:t>
            </w:r>
          </w:p>
          <w:p>
            <w:pPr>
              <w:jc w:val="center"/>
            </w:pPr>
            <w:r>
              <w:rPr>
                <w:color w:val="555555"/>
                <w:sz w:val="17"/>
                <w:szCs w:val="17"/>
              </w:rPr>
              <w:t xml:space="preserve">Shipments Analyzed</w:t>
            </w:r>
          </w:p>
        </w:tc>
        <w:tc>
          <w:tcPr>
            <w:tcW w:type="dxa" w:w="2340"/>
            <w:tcBorders>
              <w:top w:val="single" w:color="CCCCCC" w:sz="1"/>
              <w:left w:val="single" w:color="CCCCCC" w:sz="1"/>
              <w:bottom w:val="single" w:color="CCCCCC" w:sz="1"/>
              <w:right w:val="single" w:color="CCCCCC" w:sz="1"/>
            </w:tcBorders>
            <w:shd w:fill="F4F7FC" w:val="clear"/>
            <w:tcMar>
              <w:top w:type="dxa" w:w="160"/>
              <w:left w:type="dxa" w:w="100"/>
              <w:bottom w:type="dxa" w:w="160"/>
              <w:right w:type="dxa" w:w="100"/>
            </w:tcMar>
          </w:tcPr>
          <w:p>
            <w:pPr>
              <w:spacing w:after="40"/>
              <w:jc w:val="center"/>
            </w:pPr>
            <w:r>
              <w:rPr>
                <w:b/>
                <w:bCs/>
                <w:color w:val="1A56DB"/>
                <w:sz w:val="32"/>
                <w:szCs w:val="32"/>
              </w:rPr>
              <w:t xml:space="preserve">5</w:t>
            </w:r>
          </w:p>
          <w:p>
            <w:pPr>
              <w:jc w:val="center"/>
            </w:pPr>
            <w:r>
              <w:rPr>
                <w:color w:val="555555"/>
                <w:sz w:val="17"/>
                <w:szCs w:val="17"/>
              </w:rPr>
              <w:t xml:space="preserve">Factories</w:t>
            </w:r>
          </w:p>
        </w:tc>
        <w:tc>
          <w:tcPr>
            <w:tcW w:type="dxa" w:w="2340"/>
            <w:tcBorders>
              <w:top w:val="single" w:color="CCCCCC" w:sz="1"/>
              <w:left w:val="single" w:color="CCCCCC" w:sz="1"/>
              <w:bottom w:val="single" w:color="CCCCCC" w:sz="1"/>
              <w:right w:val="single" w:color="CCCCCC" w:sz="1"/>
            </w:tcBorders>
            <w:shd w:fill="F4F7FC" w:val="clear"/>
            <w:tcMar>
              <w:top w:type="dxa" w:w="160"/>
              <w:left w:type="dxa" w:w="100"/>
              <w:bottom w:type="dxa" w:w="160"/>
              <w:right w:type="dxa" w:w="100"/>
            </w:tcMar>
          </w:tcPr>
          <w:p>
            <w:pPr>
              <w:spacing w:after="40"/>
              <w:jc w:val="center"/>
            </w:pPr>
            <w:r>
              <w:rPr>
                <w:b/>
                <w:bCs/>
                <w:color w:val="1A56DB"/>
                <w:sz w:val="32"/>
                <w:szCs w:val="32"/>
              </w:rPr>
              <w:t xml:space="preserve">20</w:t>
            </w:r>
          </w:p>
          <w:p>
            <w:pPr>
              <w:jc w:val="center"/>
            </w:pPr>
            <w:r>
              <w:rPr>
                <w:color w:val="555555"/>
                <w:sz w:val="17"/>
                <w:szCs w:val="17"/>
              </w:rPr>
              <w:t xml:space="preserve">Factory-Region Routes</w:t>
            </w:r>
          </w:p>
        </w:tc>
        <w:tc>
          <w:tcPr>
            <w:tcW w:type="dxa" w:w="2340"/>
            <w:tcBorders>
              <w:top w:val="single" w:color="CCCCCC" w:sz="1"/>
              <w:left w:val="single" w:color="CCCCCC" w:sz="1"/>
              <w:bottom w:val="single" w:color="CCCCCC" w:sz="1"/>
              <w:right w:val="single" w:color="CCCCCC" w:sz="1"/>
            </w:tcBorders>
            <w:shd w:fill="F4F7FC" w:val="clear"/>
            <w:tcMar>
              <w:top w:type="dxa" w:w="160"/>
              <w:left w:type="dxa" w:w="100"/>
              <w:bottom w:type="dxa" w:w="160"/>
              <w:right w:type="dxa" w:w="100"/>
            </w:tcMar>
          </w:tcPr>
          <w:p>
            <w:pPr>
              <w:spacing w:after="40"/>
              <w:jc w:val="center"/>
            </w:pPr>
            <w:r>
              <w:rPr>
                <w:b/>
                <w:bCs/>
                <w:color w:val="1A56DB"/>
                <w:sz w:val="32"/>
                <w:szCs w:val="32"/>
              </w:rPr>
              <w:t xml:space="preserve">17</w:t>
            </w:r>
          </w:p>
          <w:p>
            <w:pPr>
              <w:jc w:val="center"/>
            </w:pPr>
            <w:r>
              <w:rPr>
                <w:color w:val="555555"/>
                <w:sz w:val="17"/>
                <w:szCs w:val="17"/>
              </w:rPr>
              <w:t xml:space="preserve">Bottleneck States Found</w:t>
            </w:r>
          </w:p>
        </w:tc>
      </w:tr>
    </w:tbl>
    <w:p>
      <w:pPr>
        <w:spacing w:after="120"/>
      </w:pPr>
    </w:p>
    <w:p>
      <w:pPr>
        <w:pStyle w:val="Heading1"/>
      </w:pPr>
      <w:r>
        <w:t xml:space="preserve">The Situation</w:t>
      </w:r>
    </w:p>
    <w:p>
      <w:pPr>
        <w:spacing w:after="160"/>
      </w:pPr>
      <w:r>
        <w:t xml:space="preserve">Nassau Candy Distributor ships products from 5 factories to customers across the United States. Until now, the company had no clear, data-driven way to see which shipping routes work well and which routes cause delays. This analysis reviewed over 10,000 shipment records to identify the most and least efficient routes and to recommend where to focus improvement efforts.</w:t>
      </w:r>
    </w:p>
    <w:p>
      <w:pPr>
        <w:pStyle w:val="Heading1"/>
      </w:pPr>
      <w:r>
        <w:t xml:space="preserve">What We Found</w:t>
      </w:r>
    </w:p>
    <w:p>
      <w:pPr>
        <w:pStyle w:val="ListParagraph"/>
        <w:numPr>
          <w:ilvl w:val="0"/>
          <w:numId w:val="2"/>
        </w:numPr>
        <w:spacing w:after="100"/>
      </w:pPr>
      <w:r>
        <w:t xml:space="preserve">Two of the five factories (Lot's O' Nuts and Wicked Choccy's) handle over 96% of all shipments. Performance across their main shipping lanes is fairly consistent, with no single route standing out as a severe problem.</w:t>
      </w:r>
    </w:p>
    <w:p>
      <w:pPr>
        <w:pStyle w:val="ListParagraph"/>
        <w:numPr>
          <w:ilvl w:val="0"/>
          <w:numId w:val="2"/>
        </w:numPr>
        <w:spacing w:after="100"/>
      </w:pPr>
      <w:r>
        <w:t xml:space="preserve">Among the busiest shipping lanes, the Atlantic region combines the highest shipment volume with the slowest average delivery performance of the four regions tracked — meaning more customers are affected by delays here than anywhere else.</w:t>
      </w:r>
    </w:p>
    <w:p>
      <w:pPr>
        <w:pStyle w:val="ListParagraph"/>
        <w:numPr>
          <w:ilvl w:val="0"/>
          <w:numId w:val="2"/>
        </w:numPr>
        <w:spacing w:after="100"/>
      </w:pPr>
      <w:r>
        <w:t xml:space="preserve">17 states — including New York, Pennsylvania, Washington, Illinois, and Ohio — combine high shipment volume with slower-than-average delivery, making them priority areas for improvement.</w:t>
      </w:r>
    </w:p>
    <w:p>
      <w:pPr>
        <w:pStyle w:val="ListParagraph"/>
        <w:numPr>
          <w:ilvl w:val="0"/>
          <w:numId w:val="2"/>
        </w:numPr>
        <w:spacing w:after="100"/>
      </w:pPr>
      <w:r>
        <w:t xml:space="preserve">Paying for faster shipping options (Second Class, First Class, Same Day) did not show a clear delivery-time advantage over Standard Class shipping in this data.</w:t>
      </w:r>
    </w:p>
    <w:p>
      <w:pPr>
        <w:pStyle w:val="Heading1"/>
      </w:pPr>
      <w:r>
        <w:t xml:space="preserve">What We Recommend</w:t>
      </w:r>
    </w:p>
    <w:p>
      <w:pPr>
        <w:pStyle w:val="ListParagraph"/>
        <w:numPr>
          <w:ilvl w:val="0"/>
          <w:numId w:val="2"/>
        </w:numPr>
        <w:spacing w:after="100"/>
      </w:pPr>
      <w:r>
        <w:t xml:space="preserve">Focus improvement efforts first on the Atlantic region and the New York / Pennsylvania / Illinois / Ohio corridor, since fixes there will benefit the largest number of customers.</w:t>
      </w:r>
    </w:p>
    <w:p>
      <w:pPr>
        <w:pStyle w:val="ListParagraph"/>
        <w:numPr>
          <w:ilvl w:val="0"/>
          <w:numId w:val="2"/>
        </w:numPr>
        <w:spacing w:after="100"/>
      </w:pPr>
      <w:r>
        <w:t xml:space="preserve">Hold off on paying premiums for expedited shipping tiers until shipment date tracking (see note below) is corrected and can confirm whether those tiers actually deliver faster.</w:t>
      </w:r>
    </w:p>
    <w:p>
      <w:pPr>
        <w:pStyle w:val="ListParagraph"/>
        <w:numPr>
          <w:ilvl w:val="0"/>
          <w:numId w:val="2"/>
        </w:numPr>
        <w:spacing w:after="100"/>
      </w:pPr>
      <w:r>
        <w:t xml:space="preserve">Review what makes the best-performing shipping lanes work well, and apply those practices to the lower-performing ones.</w:t>
      </w:r>
    </w:p>
    <w:p>
      <w:pPr>
        <w:pStyle w:val="ListParagraph"/>
        <w:numPr>
          <w:ilvl w:val="0"/>
          <w:numId w:val="2"/>
        </w:numPr>
        <w:spacing w:after="100"/>
      </w:pPr>
      <w:r>
        <w:t xml:space="preserve">Correct a data tracking issue (below) so that future analyses can report exact delivery times with full confidence.</w:t>
      </w:r>
    </w:p>
    <w:p>
      <w:pPr>
        <w:pStyle w:val="Heading1"/>
      </w:pPr>
      <w:r>
        <w:t xml:space="preserve">A Note on Data Quality</w:t>
      </w:r>
    </w:p>
    <w:p>
      <w:pPr>
        <w:spacing w:after="160"/>
      </w:pPr>
      <w:r>
        <w:t xml:space="preserve">During this analysis, we discovered an inconsistency in how shipment dates were recorded, which affects the precision of exact day-counts in this report. This does not affect our ability to compare routes against each other, which is the core purpose of this analysis, but we recommend reviewing the shipment date logging process as a follow-up action. A full technical explanation is available in the accompanying Research Paper.</w:t>
      </w:r>
    </w:p>
    <w:p>
      <w:pPr>
        <w:spacing w:after="120"/>
      </w:pPr>
    </w:p>
    <w:p>
      <w:pPr>
        <w:pBdr>
          <w:top w:val="single" w:color="CCCCCC" w:sz="6" w:space="8"/>
        </w:pBdr>
        <w:spacing w:before="200"/>
      </w:pPr>
      <w:r>
        <w:rPr>
          <w:i/>
          <w:iCs/>
          <w:color w:val="777777"/>
          <w:sz w:val="18"/>
          <w:szCs w:val="18"/>
        </w:rPr>
        <w:t xml:space="preserve">Full findings, methodology, and the interactive dashboard are available in the accompanying Research Paper and Streamlit application.</w:t>
      </w:r>
    </w:p>
    <w:sectPr>
      <w:head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AAAAA"/>
        <w:sz w:val="16"/>
        <w:szCs w:val="16"/>
      </w:rPr>
      <w:t xml:space="preserve">Prepared for government stakeholder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2026-06-20T11:13:27.785Z</dcterms:created>
  <dcterms:modified xsi:type="dcterms:W3CDTF">2026-06-20T11:13:27.785Z</dcterms:modified>
</cp:coreProperties>
</file>

<file path=docProps/custom.xml><?xml version="1.0" encoding="utf-8"?>
<Properties xmlns="http://schemas.openxmlformats.org/officeDocument/2006/custom-properties" xmlns:vt="http://schemas.openxmlformats.org/officeDocument/2006/docPropsVTypes"/>
</file>