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C6E"/>
          <w:sz w:val="40"/>
          <w:szCs w:val="40"/>
        </w:rPr>
        <w:t xml:space="preserve">Comprehensive Evaluation Report</w:t>
      </w:r>
    </w:p>
    <w:p>
      <w:pPr>
        <w:spacing w:after="100"/>
        <w:jc w:val="center"/>
      </w:pPr>
      <w:r>
        <w:rPr>
          <w:rFonts w:ascii="Arial" w:cs="Arial" w:eastAsia="Arial" w:hAnsi="Arial"/>
          <w:color w:val="2E5090"/>
          <w:sz w:val="28"/>
          <w:szCs w:val="28"/>
        </w:rPr>
        <w:t xml:space="preserve">METAGENE-1 Metagenomic Foundation Model</w:t>
      </w:r>
    </w:p>
    <w:p>
      <w:pPr>
        <w:spacing w:after="100"/>
        <w:jc w:val="center"/>
      </w:pPr>
      <w:r>
        <w:rPr>
          <w:rFonts w:ascii="Arial" w:cs="Arial" w:eastAsia="Arial" w:hAnsi="Arial"/>
          <w:color w:val="555555"/>
          <w:sz w:val="24"/>
          <w:szCs w:val="24"/>
        </w:rPr>
        <w:t xml:space="preserve">for 16S rRNA V4 Amplicon Analysis of Indian Wastewater</w:t>
      </w:r>
    </w:p>
    <w:p>
      <w:pPr>
        <w:spacing w:before="600" w:after="200"/>
        <w:jc w:val="center"/>
      </w:pPr>
      <w:r>
        <w:rPr>
          <w:rFonts w:ascii="Arial" w:cs="Arial" w:eastAsia="Arial" w:hAnsi="Arial"/>
          <w:sz w:val="22"/>
          <w:szCs w:val="22"/>
        </w:rPr>
        <w:t xml:space="preserve">Study Design: 4 Cities × 24 Sites × 4 Seasons × 505 Samples</w:t>
      </w:r>
    </w:p>
    <w:p>
      <w:pPr>
        <w:jc w:val="center"/>
      </w:pPr>
      <w:r>
        <w:rPr>
          <w:rFonts w:ascii="Arial" w:cs="Arial" w:eastAsia="Arial" w:hAnsi="Arial"/>
          <w:sz w:val="22"/>
          <w:szCs w:val="22"/>
        </w:rPr>
        <w:t xml:space="preserve">Gujarat, India — Ahmedabad, Gandhinagar, Rajkot, Vadodara</w:t>
      </w:r>
    </w:p>
    <w:p>
      <w:pPr>
        <w:spacing w:before="400"/>
        <w:jc w:val="center"/>
      </w:pPr>
      <w:r>
        <w:rPr>
          <w:rFonts w:ascii="Arial" w:cs="Arial" w:eastAsia="Arial" w:hAnsi="Arial"/>
          <w:color w:val="777777"/>
          <w:sz w:val="20"/>
          <w:szCs w:val="20"/>
        </w:rPr>
        <w:t xml:space="preserve">Primers: 515F / 806R (V4 region, ~253 bp)</w:t>
      </w:r>
    </w:p>
    <w:p>
      <w:pPr>
        <w:spacing w:before="100"/>
        <w:jc w:val="center"/>
      </w:pPr>
      <w:r>
        <w:rPr>
          <w:rFonts w:ascii="Arial" w:cs="Arial" w:eastAsia="Arial" w:hAnsi="Arial"/>
          <w:color w:val="777777"/>
          <w:sz w:val="20"/>
          <w:szCs w:val="20"/>
        </w:rPr>
        <w:t xml:space="preserve">Total ASVs: 371,775 | Total Reads: 107,962,810</w:t>
      </w:r>
    </w:p>
    <w:p>
      <w:r>
        <w:br w:type="page"/>
      </w:r>
    </w:p>
    <w:p>
      <w:pPr>
        <w:pStyle w:val="Heading1"/>
        <w:spacing w:before="400" w:after="200"/>
      </w:pPr>
      <w:r>
        <w:rPr>
          <w:rFonts w:ascii="Arial" w:cs="Arial" w:eastAsia="Arial" w:hAnsi="Arial"/>
          <w:b/>
          <w:bCs/>
          <w:color w:val="1A3C6E"/>
          <w:sz w:val="30"/>
          <w:szCs w:val="30"/>
        </w:rPr>
        <w:t xml:space="preserve">Table of Contents</w:t>
      </w:r>
    </w:p>
    <w:p>
      <w:pPr>
        <w:spacing w:after="160" w:line="276"/>
      </w:pPr>
      <w:r>
        <w:rPr>
          <w:rFonts w:ascii="Arial" w:cs="Arial" w:eastAsia="Arial" w:hAnsi="Arial"/>
          <w:sz w:val="21"/>
          <w:szCs w:val="21"/>
        </w:rPr>
        <w:t xml:space="preserve">1. Study Overview and Rationale</w:t>
      </w:r>
    </w:p>
    <w:p>
      <w:pPr>
        <w:spacing w:after="160" w:line="276"/>
      </w:pPr>
      <w:r>
        <w:rPr>
          <w:rFonts w:ascii="Arial" w:cs="Arial" w:eastAsia="Arial" w:hAnsi="Arial"/>
          <w:sz w:val="21"/>
          <w:szCs w:val="21"/>
        </w:rPr>
        <w:t xml:space="preserve">2. Phase 1: Feasibility Assessment — In-Distribution Analysis</w:t>
      </w:r>
    </w:p>
    <w:p>
      <w:pPr>
        <w:spacing w:after="160" w:line="276"/>
      </w:pPr>
      <w:r>
        <w:rPr>
          <w:rFonts w:ascii="Arial" w:cs="Arial" w:eastAsia="Arial" w:hAnsi="Arial"/>
          <w:sz w:val="21"/>
          <w:szCs w:val="21"/>
        </w:rPr>
        <w:t xml:space="preserve">   2.1 Initial Classification (n=200 per group)</w:t>
      </w:r>
    </w:p>
    <w:p>
      <w:pPr>
        <w:spacing w:after="160" w:line="276"/>
      </w:pPr>
      <w:r>
        <w:rPr>
          <w:rFonts w:ascii="Arial" w:cs="Arial" w:eastAsia="Arial" w:hAnsi="Arial"/>
          <w:sz w:val="21"/>
          <w:szCs w:val="21"/>
        </w:rPr>
        <w:t xml:space="preserve">   2.2 Primer-Controlled Validation (4-group test)</w:t>
      </w:r>
    </w:p>
    <w:p>
      <w:pPr>
        <w:spacing w:after="160" w:line="276"/>
      </w:pPr>
      <w:r>
        <w:rPr>
          <w:rFonts w:ascii="Arial" w:cs="Arial" w:eastAsia="Arial" w:hAnsi="Arial"/>
          <w:sz w:val="21"/>
          <w:szCs w:val="21"/>
        </w:rPr>
        <w:t xml:space="preserve">   2.3 Dark Matter Sequence Profiling (n=50,000)</w:t>
      </w:r>
    </w:p>
    <w:p>
      <w:pPr>
        <w:spacing w:after="160" w:line="276"/>
      </w:pPr>
      <w:r>
        <w:rPr>
          <w:rFonts w:ascii="Arial" w:cs="Arial" w:eastAsia="Arial" w:hAnsi="Arial"/>
          <w:sz w:val="21"/>
          <w:szCs w:val="21"/>
        </w:rPr>
        <w:t xml:space="preserve">   2.4 Fuzzy Primer Re-categorization (6 categories)</w:t>
      </w:r>
    </w:p>
    <w:p>
      <w:pPr>
        <w:spacing w:after="160" w:line="276"/>
      </w:pPr>
      <w:r>
        <w:rPr>
          <w:rFonts w:ascii="Arial" w:cs="Arial" w:eastAsia="Arial" w:hAnsi="Arial"/>
          <w:sz w:val="21"/>
          <w:szCs w:val="21"/>
        </w:rPr>
        <w:t xml:space="preserve">3. Phase 2: Embedding Extraction</w:t>
      </w:r>
    </w:p>
    <w:p>
      <w:pPr>
        <w:spacing w:after="160" w:line="276"/>
      </w:pPr>
      <w:r>
        <w:rPr>
          <w:rFonts w:ascii="Arial" w:cs="Arial" w:eastAsia="Arial" w:hAnsi="Arial"/>
          <w:sz w:val="21"/>
          <w:szCs w:val="21"/>
        </w:rPr>
        <w:t xml:space="preserve">4. Phase 3: Ecological Analysis Comparison</w:t>
      </w:r>
    </w:p>
    <w:p>
      <w:pPr>
        <w:spacing w:after="160" w:line="276"/>
      </w:pPr>
      <w:r>
        <w:rPr>
          <w:rFonts w:ascii="Arial" w:cs="Arial" w:eastAsia="Arial" w:hAnsi="Arial"/>
          <w:sz w:val="21"/>
          <w:szCs w:val="21"/>
        </w:rPr>
        <w:t xml:space="preserve">   4.1 ASV-Level Taxonomy Recovery (Mantel Test)</w:t>
      </w:r>
    </w:p>
    <w:p>
      <w:pPr>
        <w:spacing w:after="160" w:line="276"/>
      </w:pPr>
      <w:r>
        <w:rPr>
          <w:rFonts w:ascii="Arial" w:cs="Arial" w:eastAsia="Arial" w:hAnsi="Arial"/>
          <w:sz w:val="21"/>
          <w:szCs w:val="21"/>
        </w:rPr>
        <w:t xml:space="preserve">   4.2 Sample-Level Ordination (PERMANOVA)</w:t>
      </w:r>
    </w:p>
    <w:p>
      <w:pPr>
        <w:spacing w:after="160" w:line="276"/>
      </w:pPr>
      <w:r>
        <w:rPr>
          <w:rFonts w:ascii="Arial" w:cs="Arial" w:eastAsia="Arial" w:hAnsi="Arial"/>
          <w:sz w:val="21"/>
          <w:szCs w:val="21"/>
        </w:rPr>
        <w:t xml:space="preserve">   4.3 Classification Accuracy (Random Forest)</w:t>
      </w:r>
    </w:p>
    <w:p>
      <w:pPr>
        <w:spacing w:after="160" w:line="276"/>
      </w:pPr>
      <w:r>
        <w:rPr>
          <w:rFonts w:ascii="Arial" w:cs="Arial" w:eastAsia="Arial" w:hAnsi="Arial"/>
          <w:sz w:val="21"/>
          <w:szCs w:val="21"/>
        </w:rPr>
        <w:t xml:space="preserve">5. Phase 4: Taxonomy Assignment Validation</w:t>
      </w:r>
    </w:p>
    <w:p>
      <w:pPr>
        <w:spacing w:after="160" w:line="276"/>
      </w:pPr>
      <w:r>
        <w:rPr>
          <w:rFonts w:ascii="Arial" w:cs="Arial" w:eastAsia="Arial" w:hAnsi="Arial"/>
          <w:sz w:val="21"/>
          <w:szCs w:val="21"/>
        </w:rPr>
        <w:t xml:space="preserve">   5.1 Standard Cross-Validation (inflated baseline)</w:t>
      </w:r>
    </w:p>
    <w:p>
      <w:pPr>
        <w:spacing w:after="160" w:line="276"/>
      </w:pPr>
      <w:r>
        <w:rPr>
          <w:rFonts w:ascii="Arial" w:cs="Arial" w:eastAsia="Arial" w:hAnsi="Arial"/>
          <w:sz w:val="21"/>
          <w:szCs w:val="21"/>
        </w:rPr>
        <w:t xml:space="preserve">   5.2 Genus-Holdout Cross-Validation (rigorous test)</w:t>
      </w:r>
    </w:p>
    <w:p>
      <w:pPr>
        <w:spacing w:after="160" w:line="276"/>
      </w:pPr>
      <w:r>
        <w:rPr>
          <w:rFonts w:ascii="Arial" w:cs="Arial" w:eastAsia="Arial" w:hAnsi="Arial"/>
          <w:sz w:val="21"/>
          <w:szCs w:val="21"/>
        </w:rPr>
        <w:t xml:space="preserve">   5.3 Family-Holdout Cross-Validation</w:t>
      </w:r>
    </w:p>
    <w:p>
      <w:pPr>
        <w:spacing w:after="160" w:line="276"/>
      </w:pPr>
      <w:r>
        <w:rPr>
          <w:rFonts w:ascii="Arial" w:cs="Arial" w:eastAsia="Arial" w:hAnsi="Arial"/>
          <w:sz w:val="21"/>
          <w:szCs w:val="21"/>
        </w:rPr>
        <w:t xml:space="preserve">6. Phase 4: Dark Matter Taxonomy Assignment</w:t>
      </w:r>
    </w:p>
    <w:p>
      <w:pPr>
        <w:spacing w:after="160" w:line="276"/>
      </w:pPr>
      <w:r>
        <w:rPr>
          <w:rFonts w:ascii="Arial" w:cs="Arial" w:eastAsia="Arial" w:hAnsi="Arial"/>
          <w:sz w:val="21"/>
          <w:szCs w:val="21"/>
        </w:rPr>
        <w:t xml:space="preserve">7. SILVA vs METAGENE-1 Comparison</w:t>
      </w:r>
    </w:p>
    <w:p>
      <w:pPr>
        <w:spacing w:after="160" w:line="276"/>
      </w:pPr>
      <w:r>
        <w:rPr>
          <w:rFonts w:ascii="Arial" w:cs="Arial" w:eastAsia="Arial" w:hAnsi="Arial"/>
          <w:sz w:val="21"/>
          <w:szCs w:val="21"/>
        </w:rPr>
        <w:t xml:space="preserve">   7.1 Overall Composition</w:t>
      </w:r>
    </w:p>
    <w:p>
      <w:pPr>
        <w:spacing w:after="160" w:line="276"/>
      </w:pPr>
      <w:r>
        <w:rPr>
          <w:rFonts w:ascii="Arial" w:cs="Arial" w:eastAsia="Arial" w:hAnsi="Arial"/>
          <w:sz w:val="21"/>
          <w:szCs w:val="21"/>
        </w:rPr>
        <w:t xml:space="preserve">   7.2 Composition by City</w:t>
      </w:r>
    </w:p>
    <w:p>
      <w:pPr>
        <w:spacing w:after="160" w:line="276"/>
      </w:pPr>
      <w:r>
        <w:rPr>
          <w:rFonts w:ascii="Arial" w:cs="Arial" w:eastAsia="Arial" w:hAnsi="Arial"/>
          <w:sz w:val="21"/>
          <w:szCs w:val="21"/>
        </w:rPr>
        <w:t xml:space="preserve">   7.3 Composition by Season</w:t>
      </w:r>
    </w:p>
    <w:p>
      <w:pPr>
        <w:spacing w:after="160" w:line="276"/>
      </w:pPr>
      <w:r>
        <w:rPr>
          <w:rFonts w:ascii="Arial" w:cs="Arial" w:eastAsia="Arial" w:hAnsi="Arial"/>
          <w:sz w:val="21"/>
          <w:szCs w:val="21"/>
        </w:rPr>
        <w:t xml:space="preserve">   7.4 SILVA Classification Depth</w:t>
      </w:r>
    </w:p>
    <w:p>
      <w:pPr>
        <w:spacing w:after="160" w:line="276"/>
      </w:pPr>
      <w:r>
        <w:rPr>
          <w:rFonts w:ascii="Arial" w:cs="Arial" w:eastAsia="Arial" w:hAnsi="Arial"/>
          <w:sz w:val="21"/>
          <w:szCs w:val="21"/>
        </w:rPr>
        <w:t xml:space="preserve">   7.5 Combined Read Accounting</w:t>
      </w:r>
    </w:p>
    <w:p>
      <w:pPr>
        <w:spacing w:after="160" w:line="276"/>
      </w:pPr>
      <w:r>
        <w:rPr>
          <w:rFonts w:ascii="Arial" w:cs="Arial" w:eastAsia="Arial" w:hAnsi="Arial"/>
          <w:sz w:val="21"/>
          <w:szCs w:val="21"/>
        </w:rPr>
        <w:t xml:space="preserve">8. Summary of Findings</w:t>
      </w:r>
    </w:p>
    <w:p>
      <w:r>
        <w:br w:type="page"/>
      </w:r>
    </w:p>
    <w:p>
      <w:pPr>
        <w:pStyle w:val="Heading1"/>
        <w:spacing w:before="400" w:after="200"/>
      </w:pPr>
      <w:r>
        <w:rPr>
          <w:rFonts w:ascii="Arial" w:cs="Arial" w:eastAsia="Arial" w:hAnsi="Arial"/>
          <w:b/>
          <w:bCs/>
          <w:color w:val="1A3C6E"/>
          <w:sz w:val="30"/>
          <w:szCs w:val="30"/>
        </w:rPr>
        <w:t xml:space="preserve">1. Study Overview and Rationale</w:t>
      </w:r>
    </w:p>
    <w:p>
      <w:pPr>
        <w:spacing w:after="160" w:line="276"/>
      </w:pPr>
      <w:r>
        <w:rPr>
          <w:rFonts w:ascii="Arial" w:cs="Arial" w:eastAsia="Arial" w:hAnsi="Arial"/>
          <w:sz w:val="21"/>
          <w:szCs w:val="21"/>
        </w:rPr>
        <w:t xml:space="preserve">METAGENE-1 is a 7-billion parameter autoregressive transformer model pretrained on &gt;1.5 trillion base pairs of DNA and RNA sequences from US wastewater shotgun metagenomics (Liu et al., 2025, arXiv:2501.02045). The model was designed for pandemic monitoring and pathogen detection, achieving state-of-the-art results on genomic benchmarks including pathogen detection (MCC = 92.96), genomic embedding (Gene-MTEB global average = 0.590), and anomaly detection from wastewater.</w:t>
      </w:r>
    </w:p>
    <w:p>
      <w:pPr>
        <w:spacing w:after="160" w:line="276"/>
      </w:pPr>
      <w:r>
        <w:rPr>
          <w:rFonts w:ascii="Arial" w:cs="Arial" w:eastAsia="Arial" w:hAnsi="Arial"/>
          <w:sz w:val="21"/>
          <w:szCs w:val="21"/>
        </w:rPr>
        <w:t xml:space="preserve">This report documents a systematic evaluation of whether METAGENE-1 can add value to standard 16S rRNA V4 amplicon analysis of Indian wastewater. The evaluation followed a phased approach, with each phase serving as a go/no-go checkpoint before proceeding to the next.</w:t>
      </w:r>
    </w:p>
    <w:p>
      <w:pPr>
        <w:pStyle w:val="Heading3"/>
        <w:spacing w:before="200" w:after="120"/>
      </w:pPr>
      <w:r>
        <w:rPr>
          <w:rFonts w:ascii="Arial" w:cs="Arial" w:eastAsia="Arial" w:hAnsi="Arial"/>
          <w:b/>
          <w:bCs/>
          <w:color w:val="3A6BB5"/>
          <w:sz w:val="22"/>
          <w:szCs w:val="22"/>
        </w:rPr>
        <w:t xml:space="preserve">Key Questions</w:t>
      </w:r>
    </w:p>
    <w:p>
      <w:pPr>
        <w:spacing w:after="160" w:line="276"/>
      </w:pPr>
      <w:r>
        <w:rPr>
          <w:rFonts w:ascii="Arial" w:cs="Arial" w:eastAsia="Arial" w:hAnsi="Arial"/>
          <w:sz w:val="21"/>
          <w:szCs w:val="21"/>
        </w:rPr>
        <w:t xml:space="preserve">1. Can METAGENE-1, trained on US shotgun metagenomics, process Indian 16S V4 amplicon sequences? (Phase 1)</w:t>
      </w:r>
    </w:p>
    <w:p>
      <w:pPr>
        <w:spacing w:after="160" w:line="276"/>
      </w:pPr>
      <w:r>
        <w:rPr>
          <w:rFonts w:ascii="Arial" w:cs="Arial" w:eastAsia="Arial" w:hAnsi="Arial"/>
          <w:sz w:val="21"/>
          <w:szCs w:val="21"/>
        </w:rPr>
        <w:t xml:space="preserve">2. Do the model's embeddings capture meaningful biological structure? (Phase 2–3)</w:t>
      </w:r>
    </w:p>
    <w:p>
      <w:pPr>
        <w:spacing w:after="160" w:line="276"/>
      </w:pPr>
      <w:r>
        <w:rPr>
          <w:rFonts w:ascii="Arial" w:cs="Arial" w:eastAsia="Arial" w:hAnsi="Arial"/>
          <w:sz w:val="21"/>
          <w:szCs w:val="21"/>
        </w:rPr>
        <w:t xml:space="preserve">3. Do embedding-based distances improve ecological analysis over standard methods? (Phase 3)</w:t>
      </w:r>
    </w:p>
    <w:p>
      <w:pPr>
        <w:spacing w:after="160" w:line="276"/>
      </w:pPr>
      <w:r>
        <w:rPr>
          <w:rFonts w:ascii="Arial" w:cs="Arial" w:eastAsia="Arial" w:hAnsi="Arial"/>
          <w:sz w:val="21"/>
          <w:szCs w:val="21"/>
        </w:rPr>
        <w:t xml:space="preserve">4. Can embeddings assign taxonomy to unclassified (dark matter) ASVs? (Phase 4)</w:t>
      </w:r>
    </w:p>
    <w:p>
      <w:pPr>
        <w:pStyle w:val="Heading3"/>
        <w:spacing w:before="200" w:after="120"/>
      </w:pPr>
      <w:r>
        <w:rPr>
          <w:rFonts w:ascii="Arial" w:cs="Arial" w:eastAsia="Arial" w:hAnsi="Arial"/>
          <w:b/>
          <w:bCs/>
          <w:color w:val="3A6BB5"/>
          <w:sz w:val="22"/>
          <w:szCs w:val="22"/>
        </w:rPr>
        <w:t xml:space="preserve">Study Design</w:t>
      </w:r>
    </w:p>
    <w:p>
      <w:pPr>
        <w:spacing w:after="100"/>
      </w:pPr>
      <w:r>
        <w:rPr>
          <w:rFonts w:ascii="Arial" w:cs="Arial" w:eastAsia="Arial" w:hAnsi="Arial"/>
          <w:i/>
          <w:iCs/>
          <w:color w:val="555555"/>
          <w:sz w:val="18"/>
          <w:szCs w:val="18"/>
        </w:rPr>
        <w:t xml:space="preserve">Table 1. Study design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Parameter</w:t>
            </w:r>
          </w:p>
        </w:tc>
        <w:tc>
          <w:tcPr>
            <w:tcW w:type="dxa" w:w="636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Cities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Ahmedabad, Gandhinagar, Rajkot, Vadodara (Gujarat, India)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Sites</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24 (6 per city)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Seasons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Pre-Winter, Winter, Summer, Monsoon</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Timepoints</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24 (bimonthly over 1 year)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Total samples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505</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Target region</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16S rRNA V4 (515F / 806R)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Amplicon length</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~253 bp (after primer trimming)</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Total ASVs</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371,775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Total reads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107,962,810</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Taxonomy classifier</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SILVA 138.2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SILVA classified ASVs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87,398 (23.5%) at Family; 59,223 (15.9%) at Genus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Dark matter ASVs</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284,377 (76.5%) — no Phylum assignment</w:t>
            </w:r>
          </w:p>
        </w:tc>
      </w:tr>
    </w:tbl>
    <w:p>
      <w:r>
        <w:br w:type="page"/>
      </w:r>
    </w:p>
    <w:p>
      <w:pPr>
        <w:pStyle w:val="Heading1"/>
        <w:spacing w:before="400" w:after="200"/>
      </w:pPr>
      <w:r>
        <w:rPr>
          <w:rFonts w:ascii="Arial" w:cs="Arial" w:eastAsia="Arial" w:hAnsi="Arial"/>
          <w:b/>
          <w:bCs/>
          <w:color w:val="1A3C6E"/>
          <w:sz w:val="30"/>
          <w:szCs w:val="30"/>
        </w:rPr>
        <w:t xml:space="preserve">2. Phase 1: Feasibility Assessment</w:t>
      </w:r>
    </w:p>
    <w:p>
      <w:pPr>
        <w:spacing w:after="160" w:line="276"/>
      </w:pPr>
      <w:r>
        <w:rPr>
          <w:rFonts w:ascii="Arial" w:cs="Arial" w:eastAsia="Arial" w:hAnsi="Arial"/>
          <w:sz w:val="21"/>
          <w:szCs w:val="21"/>
        </w:rPr>
        <w:t xml:space="preserve">The first phase determined whether METAGENE-1 treats 16S V4 amplicon reads as in-distribution (similar to its training data) or out-of-distribution. This was assessed using length-normalized cross-entropy loss, following the methodology of Section 5.5 of the original paper, where a threshold of 3.0 separates in-distribution metagenomic sequences from out-of-distribution genomic sequences.</w:t>
      </w:r>
    </w:p>
    <w:p>
      <w:pPr>
        <w:pStyle w:val="Heading2"/>
        <w:spacing w:before="300" w:after="150"/>
      </w:pPr>
      <w:r>
        <w:rPr>
          <w:rFonts w:ascii="Arial" w:cs="Arial" w:eastAsia="Arial" w:hAnsi="Arial"/>
          <w:b/>
          <w:bCs/>
          <w:color w:val="2E5090"/>
          <w:sz w:val="26"/>
          <w:szCs w:val="26"/>
        </w:rPr>
        <w:t xml:space="preserve">2.1 Initial Classification</w:t>
      </w:r>
    </w:p>
    <w:p>
      <w:pPr>
        <w:spacing w:after="160" w:line="276"/>
      </w:pPr>
      <w:r>
        <w:rPr>
          <w:rFonts w:ascii="Arial" w:cs="Arial" w:eastAsia="Arial" w:hAnsi="Arial"/>
          <w:sz w:val="21"/>
          <w:szCs w:val="21"/>
        </w:rPr>
        <w:t xml:space="preserve">200 ASVs per group (classified, dark matter, random control) were evaluated after primer trimming. Classified ASVs showed a mean loss of </w:t>
      </w:r>
      <w:r>
        <w:rPr>
          <w:rFonts w:ascii="Arial" w:cs="Arial" w:eastAsia="Arial" w:hAnsi="Arial"/>
          <w:b/>
          <w:bCs/>
          <w:sz w:val="21"/>
          <w:szCs w:val="21"/>
        </w:rPr>
        <w:t xml:space="preserve">1.465</w:t>
      </w:r>
      <w:r>
        <w:rPr>
          <w:rFonts w:ascii="Arial" w:cs="Arial" w:eastAsia="Arial" w:hAnsi="Arial"/>
          <w:sz w:val="21"/>
          <w:szCs w:val="21"/>
        </w:rPr>
        <w:t xml:space="preserve"> (94.0% in-distribution), remarkably close to the paper's metagenomics mean of 1.24. Dark matter ASVs showed mean loss of </w:t>
      </w:r>
      <w:r>
        <w:rPr>
          <w:rFonts w:ascii="Arial" w:cs="Arial" w:eastAsia="Arial" w:hAnsi="Arial"/>
          <w:b/>
          <w:bCs/>
          <w:sz w:val="21"/>
          <w:szCs w:val="21"/>
        </w:rPr>
        <w:t xml:space="preserve">4.773</w:t>
      </w:r>
      <w:r>
        <w:rPr>
          <w:rFonts w:ascii="Arial" w:cs="Arial" w:eastAsia="Arial" w:hAnsi="Arial"/>
          <w:sz w:val="21"/>
          <w:szCs w:val="21"/>
        </w:rPr>
        <w:t xml:space="preserve"> (11.5% in-distribution), while random sequences showed </w:t>
      </w:r>
      <w:r>
        <w:rPr>
          <w:rFonts w:ascii="Arial" w:cs="Arial" w:eastAsia="Arial" w:hAnsi="Arial"/>
          <w:b/>
          <w:bCs/>
          <w:sz w:val="21"/>
          <w:szCs w:val="21"/>
        </w:rPr>
        <w:t xml:space="preserve">5.937</w:t>
      </w:r>
      <w:r>
        <w:rPr>
          <w:rFonts w:ascii="Arial" w:cs="Arial" w:eastAsia="Arial" w:hAnsi="Arial"/>
          <w:sz w:val="21"/>
          <w:szCs w:val="21"/>
        </w:rPr>
        <w:t xml:space="preserve"> (0% in-distribution).</w:t>
      </w:r>
    </w:p>
    <w:p>
      <w:pPr>
        <w:spacing w:after="100"/>
      </w:pPr>
      <w:r>
        <w:rPr>
          <w:rFonts w:ascii="Arial" w:cs="Arial" w:eastAsia="Arial" w:hAnsi="Arial"/>
          <w:i/>
          <w:iCs/>
          <w:color w:val="555555"/>
          <w:sz w:val="18"/>
          <w:szCs w:val="18"/>
        </w:rPr>
        <w:t xml:space="preserve">Table 2. Phase 1 initial results (n=200 per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360"/>
      </w:tblGrid>
      <w:tr>
        <w:tc>
          <w:tcPr>
            <w:tcW w:type="dxa" w:w="20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Category</w:t>
            </w:r>
          </w:p>
        </w:tc>
        <w:tc>
          <w:tcPr>
            <w:tcW w:type="dxa" w:w="15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Mean</w:t>
            </w:r>
          </w:p>
        </w:tc>
        <w:tc>
          <w:tcPr>
            <w:tcW w:type="dxa" w:w="15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Median</w:t>
            </w:r>
          </w:p>
        </w:tc>
        <w:tc>
          <w:tcPr>
            <w:tcW w:type="dxa" w:w="15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Std</w:t>
            </w:r>
          </w:p>
        </w:tc>
        <w:tc>
          <w:tcPr>
            <w:tcW w:type="dxa" w:w="15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In-dist%</w:t>
            </w:r>
          </w:p>
        </w:tc>
        <w:tc>
          <w:tcPr>
            <w:tcW w:type="dxa" w:w="136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Paper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Classified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1.465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1.195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0.904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94.0%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1.240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Dark Matter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4.773</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5.234</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1.258</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11.5%</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5.22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Random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5.937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5.870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0.358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0.0%</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5.83</w:t>
            </w:r>
          </w:p>
        </w:tc>
      </w:tr>
    </w:tbl>
    <w:p>
      <w:pPr>
        <w:spacing w:after="160" w:line="276"/>
      </w:pPr>
      <w:r>
        <w:rPr>
          <w:rFonts w:ascii="Arial" w:cs="Arial" w:eastAsia="Arial" w:hAnsi="Arial"/>
          <w:sz w:val="21"/>
          <w:szCs w:val="21"/>
        </w:rPr>
        <w:t xml:space="preserve">Mann-Whitney U test: Classified vs Dark Matter p = 4.66 × 10⁻⁵². This initial result suggested dark matter ASVs were out-of-distribution, but further investigation was warranted.</w:t>
      </w:r>
    </w:p>
    <w:p>
      <w:pPr>
        <w:pStyle w:val="Heading2"/>
        <w:spacing w:before="300" w:after="150"/>
      </w:pPr>
      <w:r>
        <w:rPr>
          <w:rFonts w:ascii="Arial" w:cs="Arial" w:eastAsia="Arial" w:hAnsi="Arial"/>
          <w:b/>
          <w:bCs/>
          <w:color w:val="2E5090"/>
          <w:sz w:val="26"/>
          <w:szCs w:val="26"/>
        </w:rPr>
        <w:t xml:space="preserve">2.2 Primer-Controlled Validation</w:t>
      </w:r>
    </w:p>
    <w:p>
      <w:pPr>
        <w:spacing w:after="160" w:line="276"/>
      </w:pPr>
      <w:r>
        <w:rPr>
          <w:rFonts w:ascii="Arial" w:cs="Arial" w:eastAsia="Arial" w:hAnsi="Arial"/>
          <w:sz w:val="21"/>
          <w:szCs w:val="21"/>
        </w:rPr>
        <w:t xml:space="preserve">The initial dark matter OOD result required validation because primer trimming analysis revealed that </w:t>
      </w:r>
      <w:r>
        <w:rPr>
          <w:rFonts w:ascii="Arial" w:cs="Arial" w:eastAsia="Arial" w:hAnsi="Arial"/>
          <w:b/>
          <w:bCs/>
          <w:sz w:val="21"/>
          <w:szCs w:val="21"/>
        </w:rPr>
        <w:t xml:space="preserve">89.4% of dark matter ASVs lacked both 515F and 806R primer binding sites</w:t>
      </w:r>
      <w:r>
        <w:rPr>
          <w:rFonts w:ascii="Arial" w:cs="Arial" w:eastAsia="Arial" w:hAnsi="Arial"/>
          <w:sz w:val="21"/>
          <w:szCs w:val="21"/>
        </w:rPr>
        <w:t xml:space="preserve">, suggesting they were not proper V4 amplicons. A 4-group controlled experiment was designed to isolate the effect of primer status from sequence content.</w:t>
      </w:r>
    </w:p>
    <w:p>
      <w:pPr>
        <w:spacing w:after="100"/>
      </w:pPr>
      <w:r>
        <w:rPr>
          <w:rFonts w:ascii="Arial" w:cs="Arial" w:eastAsia="Arial" w:hAnsi="Arial"/>
          <w:i/>
          <w:iCs/>
          <w:color w:val="555555"/>
          <w:sz w:val="18"/>
          <w:szCs w:val="18"/>
        </w:rPr>
        <w:t xml:space="preserve">Table 3. Primer-controlled 4-group validation (n=100 per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c>
          <w:tcPr>
            <w:tcW w:type="dxa" w:w="26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Group</w:t>
            </w:r>
          </w:p>
        </w:tc>
        <w:tc>
          <w:tcPr>
            <w:tcW w:type="dxa" w:w="17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Mean Loss</w:t>
            </w:r>
          </w:p>
        </w:tc>
        <w:tc>
          <w:tcPr>
            <w:tcW w:type="dxa" w:w="17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Median</w:t>
            </w:r>
          </w:p>
        </w:tc>
        <w:tc>
          <w:tcPr>
            <w:tcW w:type="dxa" w:w="17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In-dist%</w:t>
            </w:r>
          </w:p>
        </w:tc>
        <w:tc>
          <w:tcPr>
            <w:tcW w:type="dxa" w:w="166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 vs Classified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Classified (trimmed)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1.287</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1.140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98.0%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Dark Matter (trimmed)</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1.729</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1.584</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94.0%</w:t>
            </w:r>
          </w:p>
        </w:tc>
        <w:tc>
          <w:tcPr>
            <w:tcW w:type="dxa" w:w="1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2.23×10⁻⁵</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Dark Matter (no primers)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5.204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5.300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3.0%</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&lt;10⁻¹⁰</w:t>
            </w:r>
          </w:p>
        </w:tc>
      </w:tr>
      <w:tr>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Random Control</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5.938</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5.872</w:t>
            </w:r>
          </w:p>
        </w:tc>
        <w:tc>
          <w:tcPr>
            <w:tcW w:type="dxa" w:w="1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0.0%</w:t>
            </w:r>
          </w:p>
        </w:tc>
        <w:tc>
          <w:tcPr>
            <w:tcW w:type="dxa" w:w="1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&lt;10⁻¹⁰</w:t>
            </w:r>
          </w:p>
        </w:tc>
      </w:tr>
    </w:tbl>
    <w:p>
      <w:pPr>
        <w:spacing w:after="160" w:line="276"/>
      </w:pPr>
      <w:r>
        <w:rPr>
          <w:rFonts w:ascii="Arial" w:cs="Arial" w:eastAsia="Arial" w:hAnsi="Arial"/>
          <w:sz w:val="21"/>
          <w:szCs w:val="21"/>
        </w:rPr>
        <w:t xml:space="preserve"/>
      </w:r>
      <w:r>
        <w:rPr>
          <w:rFonts w:ascii="Arial" w:cs="Arial" w:eastAsia="Arial" w:hAnsi="Arial"/>
          <w:b/>
          <w:bCs/>
          <w:sz w:val="21"/>
          <w:szCs w:val="21"/>
        </w:rPr>
        <w:t xml:space="preserve">Critical finding:</w:t>
      </w:r>
      <w:r>
        <w:rPr>
          <w:rFonts w:ascii="Arial" w:cs="Arial" w:eastAsia="Arial" w:hAnsi="Arial"/>
          <w:sz w:val="21"/>
          <w:szCs w:val="21"/>
        </w:rPr>
        <w:t xml:space="preserve"> The initial dark matter OOD result was OVERTURNED. Properly-trimmed dark matter V4 amplicons (mean loss 1.729) are clearly in-distribution, with 94% below the OOD threshold. The earlier high loss was driven entirely by sequences lacking primer binding sites.</w:t>
      </w:r>
    </w:p>
    <w:p>
      <w:pPr>
        <w:pStyle w:val="Heading2"/>
        <w:spacing w:before="300" w:after="150"/>
      </w:pPr>
      <w:r>
        <w:rPr>
          <w:rFonts w:ascii="Arial" w:cs="Arial" w:eastAsia="Arial" w:hAnsi="Arial"/>
          <w:b/>
          <w:bCs/>
          <w:color w:val="2E5090"/>
          <w:sz w:val="26"/>
          <w:szCs w:val="26"/>
        </w:rPr>
        <w:t xml:space="preserve">2.3 Dark Matter Sequence Profiling</w:t>
      </w:r>
    </w:p>
    <w:p>
      <w:pPr>
        <w:spacing w:after="160" w:line="276"/>
      </w:pPr>
      <w:r>
        <w:rPr>
          <w:rFonts w:ascii="Arial" w:cs="Arial" w:eastAsia="Arial" w:hAnsi="Arial"/>
          <w:sz w:val="21"/>
          <w:szCs w:val="21"/>
        </w:rPr>
        <w:t xml:space="preserve">Detailed profiling of 50,000 subsampled sequences from the 262K primer-absent dark matter revealed their composition:</w:t>
      </w:r>
    </w:p>
    <w:p>
      <w:pPr>
        <w:spacing w:after="100"/>
      </w:pPr>
      <w:r>
        <w:rPr>
          <w:rFonts w:ascii="Arial" w:cs="Arial" w:eastAsia="Arial" w:hAnsi="Arial"/>
          <w:i/>
          <w:iCs/>
          <w:color w:val="555555"/>
          <w:sz w:val="18"/>
          <w:szCs w:val="18"/>
        </w:rPr>
        <w:t xml:space="preserve">Table 4. Profile of dark matter sequences lacking primer binding sites (n=50,000).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Characteristic</w:t>
            </w:r>
          </w:p>
        </w:tc>
        <w:tc>
          <w:tcPr>
            <w:tcW w:type="dxa" w:w="243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Value</w:t>
            </w:r>
          </w:p>
        </w:tc>
        <w:tc>
          <w:tcPr>
            <w:tcW w:type="dxa" w:w="243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Expected V4</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Partial 515F primer match (first 8-10 bp)</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74.2%</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100%</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No primer signal at all</w:t>
            </w:r>
          </w:p>
        </w:tc>
        <w:tc>
          <w:tcPr>
            <w:tcW w:type="dxa" w:w="2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25.8%</w:t>
            </w:r>
          </w:p>
        </w:tc>
        <w:tc>
          <w:tcPr>
            <w:tcW w:type="dxa" w:w="2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Mean GC content</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59.5%</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50-55%</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Exactly 253 bp (expected V4 length)</w:t>
            </w:r>
          </w:p>
        </w:tc>
        <w:tc>
          <w:tcPr>
            <w:tcW w:type="dxa" w:w="2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0.4%</w:t>
            </w:r>
          </w:p>
        </w:tc>
        <w:tc>
          <w:tcPr>
            <w:tcW w:type="dxa" w:w="2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~100%</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Length range</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190-398 bp</w:t>
            </w:r>
          </w:p>
        </w:tc>
        <w:tc>
          <w:tcPr>
            <w:tcW w:type="dxa" w:w="24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~253 bp</w:t>
            </w:r>
          </w:p>
        </w:tc>
      </w:tr>
      <w:tr>
        <w:tc>
          <w:tcPr>
            <w:tcW w:type="dxa" w:w="4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Clear artifacts (adapter/chimera/homopolymer)</w:t>
            </w:r>
          </w:p>
        </w:tc>
        <w:tc>
          <w:tcPr>
            <w:tcW w:type="dxa" w:w="2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5.1%</w:t>
            </w:r>
          </w:p>
        </w:tc>
        <w:tc>
          <w:tcPr>
            <w:tcW w:type="dxa" w:w="2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bl>
    <w:p>
      <w:pPr>
        <w:spacing w:after="160" w:line="276"/>
      </w:pPr>
      <w:r>
        <w:rPr>
          <w:rFonts w:ascii="Arial" w:cs="Arial" w:eastAsia="Arial" w:hAnsi="Arial"/>
          <w:sz w:val="21"/>
          <w:szCs w:val="21"/>
        </w:rPr>
        <w:t xml:space="preserve">Conclusion: The majority are non-16S genomic sequences that share partial complementarity with the 515F primer binding site, resulting in non-specific amplification. The elevated GC content (59.5% vs 50-55%) and variable lengths support non-ribosomal origin.</w:t>
      </w:r>
    </w:p>
    <w:p>
      <w:pPr>
        <w:pStyle w:val="Heading2"/>
        <w:spacing w:before="300" w:after="150"/>
      </w:pPr>
      <w:r>
        <w:rPr>
          <w:rFonts w:ascii="Arial" w:cs="Arial" w:eastAsia="Arial" w:hAnsi="Arial"/>
          <w:b/>
          <w:bCs/>
          <w:color w:val="2E5090"/>
          <w:sz w:val="26"/>
          <w:szCs w:val="26"/>
        </w:rPr>
        <w:t xml:space="preserve">2.4 Fuzzy Primer Re-categorization</w:t>
      </w:r>
    </w:p>
    <w:p>
      <w:pPr>
        <w:spacing w:after="160" w:line="276"/>
      </w:pPr>
      <w:r>
        <w:rPr>
          <w:rFonts w:ascii="Arial" w:cs="Arial" w:eastAsia="Arial" w:hAnsi="Arial"/>
          <w:sz w:val="21"/>
          <w:szCs w:val="21"/>
        </w:rPr>
        <w:t xml:space="preserve">Relaxed primer matching (≤3 mismatches) was applied to all 284,377 dark matter ASVs, followed by METAGENE-1 loss evaluation of 100 sequences per category.</w:t>
      </w:r>
    </w:p>
    <w:p>
      <w:pPr>
        <w:spacing w:after="100"/>
      </w:pPr>
      <w:r>
        <w:rPr>
          <w:rFonts w:ascii="Arial" w:cs="Arial" w:eastAsia="Arial" w:hAnsi="Arial"/>
          <w:i/>
          <w:iCs/>
          <w:color w:val="555555"/>
          <w:sz w:val="18"/>
          <w:szCs w:val="18"/>
        </w:rPr>
        <w:t xml:space="preserve">Table 5. Six-category re-categorization with METAGENE-1 loss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1200"/>
        <w:gridCol w:w="1200"/>
        <w:gridCol w:w="1200"/>
        <w:gridCol w:w="1260"/>
      </w:tblGrid>
      <w:tr>
        <w:tc>
          <w:tcPr>
            <w:tcW w:type="dxa" w:w="22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Category</w:t>
            </w:r>
          </w:p>
        </w:tc>
        <w:tc>
          <w:tcPr>
            <w:tcW w:type="dxa" w:w="12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w:t>
            </w:r>
          </w:p>
        </w:tc>
        <w:tc>
          <w:tcPr>
            <w:tcW w:type="dxa" w:w="11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 DM</w:t>
            </w:r>
          </w:p>
        </w:tc>
        <w:tc>
          <w:tcPr>
            <w:tcW w:type="dxa" w:w="12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Mean Loss</w:t>
            </w:r>
          </w:p>
        </w:tc>
        <w:tc>
          <w:tcPr>
            <w:tcW w:type="dxa" w:w="12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In-dist%</w:t>
            </w:r>
          </w:p>
        </w:tc>
        <w:tc>
          <w:tcPr>
            <w:tcW w:type="dxa" w:w="12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Embeddable</w:t>
            </w:r>
          </w:p>
        </w:tc>
        <w:tc>
          <w:tcPr>
            <w:tcW w:type="dxa" w:w="126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Verdict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Strict primer match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22,119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1.764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98.0%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Real 16S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Reverse oriented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356</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1.781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88.0%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sz w:val="18"/>
                <w:szCs w:val="18"/>
              </w:rPr>
              <w:t xml:space="preserve">Yes</w:t>
            </w:r>
          </w:p>
        </w:tc>
        <w:tc>
          <w:tcPr>
            <w:tcW w:type="dxa" w:w="1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Real 16S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Fuzzy 16S forward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44,433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15.6%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4.898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No</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Non-16S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Non-specific amplif.</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27,083</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9.5%</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5.147</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No</w:t>
            </w:r>
          </w:p>
        </w:tc>
        <w:tc>
          <w:tcPr>
            <w:tcW w:type="dxa" w:w="1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Non-16S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No primer signal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183,612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64.6%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5.236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No</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Non-target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Artifacts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6,774</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4.991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No</w:t>
            </w:r>
          </w:p>
        </w:tc>
        <w:tc>
          <w:tcPr>
            <w:tcW w:type="dxa" w:w="1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Artifact</w:t>
            </w:r>
          </w:p>
        </w:tc>
      </w:tr>
    </w:tbl>
    <w:p>
      <w:pPr>
        <w:spacing w:after="160" w:line="276"/>
      </w:pPr>
      <w:r>
        <w:rPr>
          <w:rFonts w:ascii="Arial" w:cs="Arial" w:eastAsia="Arial" w:hAnsi="Arial"/>
          <w:sz w:val="21"/>
          <w:szCs w:val="21"/>
        </w:rPr>
        <w:t xml:space="preserve"/>
      </w:r>
      <w:r>
        <w:rPr>
          <w:rFonts w:ascii="Arial" w:cs="Arial" w:eastAsia="Arial" w:hAnsi="Arial"/>
          <w:b/>
          <w:bCs/>
          <w:sz w:val="21"/>
          <w:szCs w:val="21"/>
        </w:rPr>
        <w:t xml:space="preserve">Phase 1 conclusion:</w:t>
      </w:r>
      <w:r>
        <w:rPr>
          <w:rFonts w:ascii="Arial" w:cs="Arial" w:eastAsia="Arial" w:hAnsi="Arial"/>
          <w:sz w:val="21"/>
          <w:szCs w:val="21"/>
        </w:rPr>
        <w:t xml:space="preserve"> 22,475 dark matter ASVs (7.9%) are genuine 16S V4 amplicons suitable for embedding analysis. The remaining 261,902 (92.1%) are non-target amplification products, non-16S sequences, or artifacts and should be excluded from downstream analysis.</w:t>
      </w:r>
    </w:p>
    <w:p>
      <w:r>
        <w:br w:type="page"/>
      </w:r>
    </w:p>
    <w:p>
      <w:pPr>
        <w:pStyle w:val="Heading1"/>
        <w:spacing w:before="400" w:after="200"/>
      </w:pPr>
      <w:r>
        <w:rPr>
          <w:rFonts w:ascii="Arial" w:cs="Arial" w:eastAsia="Arial" w:hAnsi="Arial"/>
          <w:b/>
          <w:bCs/>
          <w:color w:val="1A3C6E"/>
          <w:sz w:val="30"/>
          <w:szCs w:val="30"/>
        </w:rPr>
        <w:t xml:space="preserve">3. Phase 2: Embedding Extraction</w:t>
      </w:r>
    </w:p>
    <w:p>
      <w:pPr>
        <w:spacing w:after="160" w:line="276"/>
      </w:pPr>
      <w:r>
        <w:rPr>
          <w:rFonts w:ascii="Arial" w:cs="Arial" w:eastAsia="Arial" w:hAnsi="Arial"/>
          <w:sz w:val="21"/>
          <w:szCs w:val="21"/>
        </w:rPr>
        <w:t xml:space="preserve">Mean-pooled last hidden state embeddings (4,096 dimensions) were extracted for 8,243 ASVs representing 95% of total sequencing reads, following the Gene-MTEB methodology (Section 5.3 of the METAGENE-1 paper). The model was loaded in float32 on CPU (NVIDIA T1000 8GB GPU insufficient for the 7B parameter model). Extraction took 7.3 hours at 0.3 sequences/second with batch size 14.</w:t>
      </w:r>
    </w:p>
    <w:p>
      <w:pPr>
        <w:spacing w:after="100"/>
      </w:pPr>
      <w:r>
        <w:rPr>
          <w:rFonts w:ascii="Arial" w:cs="Arial" w:eastAsia="Arial" w:hAnsi="Arial"/>
          <w:i/>
          <w:iCs/>
          <w:color w:val="555555"/>
          <w:sz w:val="18"/>
          <w:szCs w:val="18"/>
        </w:rPr>
        <w:t xml:space="preserve">Table 6. Embedding extraction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Parameter</w:t>
            </w:r>
          </w:p>
        </w:tc>
        <w:tc>
          <w:tcPr>
            <w:tcW w:type="dxa" w:w="468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ASVs embedded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8,243 (top 95% by read abundance)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Embedding dimensions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4,096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Method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Mean pooling of last hidden state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Embedding norm (mean ± std)</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14.69 ± 1.73 (range: 8.23–16.82)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Zero embeddings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0 (all valid)</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Classified ASVs</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7,915 (with Phylum assignment)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Dark matter ASVs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328 (in top 95% by abundance)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Processing time</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7.3 hours (CPU, float32)</w:t>
            </w:r>
          </w:p>
        </w:tc>
      </w:tr>
    </w:tbl>
    <w:p>
      <w:r>
        <w:br w:type="page"/>
      </w:r>
    </w:p>
    <w:p>
      <w:pPr>
        <w:pStyle w:val="Heading1"/>
        <w:spacing w:before="400" w:after="200"/>
      </w:pPr>
      <w:r>
        <w:rPr>
          <w:rFonts w:ascii="Arial" w:cs="Arial" w:eastAsia="Arial" w:hAnsi="Arial"/>
          <w:b/>
          <w:bCs/>
          <w:color w:val="1A3C6E"/>
          <w:sz w:val="30"/>
          <w:szCs w:val="30"/>
        </w:rPr>
        <w:t xml:space="preserve">4. Phase 3: Ecological Analysis Comparison</w:t>
      </w:r>
    </w:p>
    <w:p>
      <w:pPr>
        <w:pStyle w:val="Heading2"/>
        <w:spacing w:before="300" w:after="150"/>
      </w:pPr>
      <w:r>
        <w:rPr>
          <w:rFonts w:ascii="Arial" w:cs="Arial" w:eastAsia="Arial" w:hAnsi="Arial"/>
          <w:b/>
          <w:bCs/>
          <w:color w:val="2E5090"/>
          <w:sz w:val="26"/>
          <w:szCs w:val="26"/>
        </w:rPr>
        <w:t xml:space="preserve">4.1 ASV-Level Taxonomy Recovery</w:t>
      </w:r>
    </w:p>
    <w:p>
      <w:pPr>
        <w:spacing w:after="160" w:line="276"/>
      </w:pPr>
      <w:r>
        <w:rPr>
          <w:rFonts w:ascii="Arial" w:cs="Arial" w:eastAsia="Arial" w:hAnsi="Arial"/>
          <w:sz w:val="21"/>
          <w:szCs w:val="21"/>
        </w:rPr>
        <w:t xml:space="preserve">A Mantel test was performed comparing pairwise cosine distances in embedding space against taxonomic distances (computed as the lowest shared taxonomic rank) for 2,000 randomly subsampled classified ASVs.</w:t>
      </w:r>
    </w:p>
    <w:p>
      <w:pPr>
        <w:spacing w:after="160" w:line="276"/>
      </w:pPr>
      <w:r>
        <w:rPr>
          <w:rFonts w:ascii="Arial" w:cs="Arial" w:eastAsia="Arial" w:hAnsi="Arial"/>
          <w:sz w:val="21"/>
          <w:szCs w:val="21"/>
        </w:rPr>
        <w:t xml:space="preserve">Result: </w:t>
      </w:r>
      <w:r>
        <w:rPr>
          <w:rFonts w:ascii="Arial" w:cs="Arial" w:eastAsia="Arial" w:hAnsi="Arial"/>
          <w:b/>
          <w:bCs/>
          <w:sz w:val="21"/>
          <w:szCs w:val="21"/>
        </w:rPr>
        <w:t xml:space="preserve">Mantel r = 0.309, p = 0.001</w:t>
      </w:r>
      <w:r>
        <w:rPr>
          <w:rFonts w:ascii="Arial" w:cs="Arial" w:eastAsia="Arial" w:hAnsi="Arial"/>
          <w:sz w:val="21"/>
          <w:szCs w:val="21"/>
        </w:rPr>
        <w:t xml:space="preserve"> (999 permutations). The embeddings significantly recover taxonomic structure, indicating the model learned biologically meaningful representations from the 16S V4 sequences.</w:t>
      </w:r>
    </w:p>
    <w:p>
      <w:pPr>
        <w:pStyle w:val="Heading2"/>
        <w:spacing w:before="300" w:after="150"/>
      </w:pPr>
      <w:r>
        <w:rPr>
          <w:rFonts w:ascii="Arial" w:cs="Arial" w:eastAsia="Arial" w:hAnsi="Arial"/>
          <w:b/>
          <w:bCs/>
          <w:color w:val="2E5090"/>
          <w:sz w:val="26"/>
          <w:szCs w:val="26"/>
        </w:rPr>
        <w:t xml:space="preserve">4.2 Sample-Level Distance Comparison (PERMANOVA)</w:t>
      </w:r>
    </w:p>
    <w:p>
      <w:pPr>
        <w:spacing w:after="160" w:line="276"/>
      </w:pPr>
      <w:r>
        <w:rPr>
          <w:rFonts w:ascii="Arial" w:cs="Arial" w:eastAsia="Arial" w:hAnsi="Arial"/>
          <w:sz w:val="21"/>
          <w:szCs w:val="21"/>
        </w:rPr>
        <w:t xml:space="preserve">Sample-level embedding vectors were computed as abundance-weighted averages of ASV embeddings. Pairwise cosine distances were compared against Bray-Curtis dissimilarity using PERMANOVA with 999 permutations.</w:t>
      </w:r>
    </w:p>
    <w:p>
      <w:pPr>
        <w:spacing w:after="100"/>
      </w:pPr>
      <w:r>
        <w:rPr>
          <w:rFonts w:ascii="Arial" w:cs="Arial" w:eastAsia="Arial" w:hAnsi="Arial"/>
          <w:i/>
          <w:iCs/>
          <w:color w:val="555555"/>
          <w:sz w:val="18"/>
          <w:szCs w:val="18"/>
        </w:rPr>
        <w:t xml:space="preserve">Table 7. PERMANOVA R² comparison: Bray-Curtis vs METAGENE-1 embedding distances.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Factor</w:t>
            </w:r>
          </w:p>
        </w:tc>
        <w:tc>
          <w:tcPr>
            <w:tcW w:type="dxa" w:w="234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Bray-Curtis R²</w:t>
            </w:r>
          </w:p>
        </w:tc>
        <w:tc>
          <w:tcPr>
            <w:tcW w:type="dxa" w:w="234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Embedding R²</w:t>
            </w:r>
          </w:p>
        </w:tc>
        <w:tc>
          <w:tcPr>
            <w:tcW w:type="dxa" w:w="234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Winner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City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0.0215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0.0114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Bray-Curtis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Season</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0.0896</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0.0297</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Bray-Curtis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Site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0.0780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0.0408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Bray-Curtis</w:t>
            </w:r>
          </w:p>
        </w:tc>
      </w:tr>
    </w:tbl>
    <w:p>
      <w:pPr>
        <w:spacing w:after="160" w:line="276"/>
      </w:pPr>
      <w:r>
        <w:rPr>
          <w:rFonts w:ascii="Arial" w:cs="Arial" w:eastAsia="Arial" w:hAnsi="Arial"/>
          <w:sz w:val="21"/>
          <w:szCs w:val="21"/>
        </w:rPr>
        <w:t xml:space="preserve">Bray-Curtis consistently explained approximately 2× more variance than embedding-based distances across all factors. This indicates that abundance-weighted averaging of ASV embeddings loses the compositional information critical for community-level ecological comparisons.</w:t>
      </w:r>
    </w:p>
    <w:p>
      <w:pPr>
        <w:pStyle w:val="Heading2"/>
        <w:spacing w:before="300" w:after="150"/>
      </w:pPr>
      <w:r>
        <w:rPr>
          <w:rFonts w:ascii="Arial" w:cs="Arial" w:eastAsia="Arial" w:hAnsi="Arial"/>
          <w:b/>
          <w:bCs/>
          <w:color w:val="2E5090"/>
          <w:sz w:val="26"/>
          <w:szCs w:val="26"/>
        </w:rPr>
        <w:t xml:space="preserve">4.3 Classification Accuracy</w:t>
      </w:r>
    </w:p>
    <w:p>
      <w:pPr>
        <w:spacing w:after="160" w:line="276"/>
      </w:pPr>
      <w:r>
        <w:rPr>
          <w:rFonts w:ascii="Arial" w:cs="Arial" w:eastAsia="Arial" w:hAnsi="Arial"/>
          <w:sz w:val="21"/>
          <w:szCs w:val="21"/>
        </w:rPr>
        <w:t xml:space="preserve">Random forest classifiers (100 trees, 5-fold stratified CV) were trained to predict City and Season from three feature sets: Bray-Curtis relative abundance, sample embeddings, and genus-level aggregated abundance.</w:t>
      </w:r>
    </w:p>
    <w:p>
      <w:pPr>
        <w:spacing w:after="100"/>
      </w:pPr>
      <w:r>
        <w:rPr>
          <w:rFonts w:ascii="Arial" w:cs="Arial" w:eastAsia="Arial" w:hAnsi="Arial"/>
          <w:i/>
          <w:iCs/>
          <w:color w:val="555555"/>
          <w:sz w:val="18"/>
          <w:szCs w:val="18"/>
        </w:rPr>
        <w:t xml:space="preserve">Table 8. Classification accuracy (5-fold CV,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Task</w:t>
            </w:r>
          </w:p>
        </w:tc>
        <w:tc>
          <w:tcPr>
            <w:tcW w:type="dxa" w:w="234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Bray-Curtis</w:t>
            </w:r>
          </w:p>
        </w:tc>
        <w:tc>
          <w:tcPr>
            <w:tcW w:type="dxa" w:w="234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Embedding</w:t>
            </w:r>
          </w:p>
        </w:tc>
        <w:tc>
          <w:tcPr>
            <w:tcW w:type="dxa" w:w="234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Taxonomy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City prediction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50.3%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58.4%</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Season prediction</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81.0%</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62.8%</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79.6%</w:t>
            </w:r>
          </w:p>
        </w:tc>
      </w:tr>
    </w:tbl>
    <w:p>
      <w:pPr>
        <w:spacing w:after="160" w:line="276"/>
      </w:pPr>
      <w:r>
        <w:rPr>
          <w:rFonts w:ascii="Arial" w:cs="Arial" w:eastAsia="Arial" w:hAnsi="Arial"/>
          <w:sz w:val="21"/>
          <w:szCs w:val="21"/>
        </w:rPr>
        <w:t xml:space="preserve"/>
      </w:r>
      <w:r>
        <w:rPr>
          <w:rFonts w:ascii="Arial" w:cs="Arial" w:eastAsia="Arial" w:hAnsi="Arial"/>
          <w:b/>
          <w:bCs/>
          <w:sz w:val="21"/>
          <w:szCs w:val="21"/>
        </w:rPr>
        <w:t xml:space="preserve">Phase 3 conclusion:</w:t>
      </w:r>
      <w:r>
        <w:rPr>
          <w:rFonts w:ascii="Arial" w:cs="Arial" w:eastAsia="Arial" w:hAnsi="Arial"/>
          <w:sz w:val="21"/>
          <w:szCs w:val="21"/>
        </w:rPr>
        <w:t xml:space="preserve"> METAGENE-1 embeddings capture genuine biological signal at the individual sequence level (Mantel r = 0.31) but do not improve community-level ecological analysis compared to standard Bray-Curtis dissimilarity.</w:t>
      </w:r>
    </w:p>
    <w:p>
      <w:r>
        <w:br w:type="page"/>
      </w:r>
    </w:p>
    <w:p>
      <w:pPr>
        <w:pStyle w:val="Heading1"/>
        <w:spacing w:before="400" w:after="200"/>
      </w:pPr>
      <w:r>
        <w:rPr>
          <w:rFonts w:ascii="Arial" w:cs="Arial" w:eastAsia="Arial" w:hAnsi="Arial"/>
          <w:b/>
          <w:bCs/>
          <w:color w:val="1A3C6E"/>
          <w:sz w:val="30"/>
          <w:szCs w:val="30"/>
        </w:rPr>
        <w:t xml:space="preserve">5. Phase 4: Taxonomy Assignment Validation</w:t>
      </w:r>
    </w:p>
    <w:p>
      <w:pPr>
        <w:pStyle w:val="Heading2"/>
        <w:spacing w:before="300" w:after="150"/>
      </w:pPr>
      <w:r>
        <w:rPr>
          <w:rFonts w:ascii="Arial" w:cs="Arial" w:eastAsia="Arial" w:hAnsi="Arial"/>
          <w:b/>
          <w:bCs/>
          <w:color w:val="2E5090"/>
          <w:sz w:val="26"/>
          <w:szCs w:val="26"/>
        </w:rPr>
        <w:t xml:space="preserve">5.1 Standard Cross-Validation (Baseline)</w:t>
      </w:r>
    </w:p>
    <w:p>
      <w:pPr>
        <w:spacing w:after="160" w:line="276"/>
      </w:pPr>
      <w:r>
        <w:rPr>
          <w:rFonts w:ascii="Arial" w:cs="Arial" w:eastAsia="Arial" w:hAnsi="Arial"/>
          <w:sz w:val="21"/>
          <w:szCs w:val="21"/>
        </w:rPr>
        <w:t xml:space="preserve">Initial 5-fold cross-validation on classified ASVs showed extremely high accuracy (98.0% at Genus, 99.7% at Phylum). However, analysis of the embedding distance distribution revealed that </w:t>
      </w:r>
      <w:r>
        <w:rPr>
          <w:rFonts w:ascii="Arial" w:cs="Arial" w:eastAsia="Arial" w:hAnsi="Arial"/>
          <w:b/>
          <w:bCs/>
          <w:sz w:val="21"/>
          <w:szCs w:val="21"/>
        </w:rPr>
        <w:t xml:space="preserve">83.2% of all ASV pairs had cosine distance &lt; 0.05</w:t>
      </w:r>
      <w:r>
        <w:rPr>
          <w:rFonts w:ascii="Arial" w:cs="Arial" w:eastAsia="Arial" w:hAnsi="Arial"/>
          <w:sz w:val="21"/>
          <w:szCs w:val="21"/>
        </w:rPr>
        <w:t xml:space="preserve">, with near-zero distance pairs differing by only 1–2 nucleotides. This inflated accuracy reflects near-duplicate matching rather than genuine generalization.</w:t>
      </w:r>
    </w:p>
    <w:p>
      <w:pPr>
        <w:pStyle w:val="Heading2"/>
        <w:spacing w:before="300" w:after="150"/>
      </w:pPr>
      <w:r>
        <w:rPr>
          <w:rFonts w:ascii="Arial" w:cs="Arial" w:eastAsia="Arial" w:hAnsi="Arial"/>
          <w:b/>
          <w:bCs/>
          <w:color w:val="2E5090"/>
          <w:sz w:val="26"/>
          <w:szCs w:val="26"/>
        </w:rPr>
        <w:t xml:space="preserve">5.2 Genus-Holdout Cross-Validation</w:t>
      </w:r>
    </w:p>
    <w:p>
      <w:pPr>
        <w:spacing w:after="160" w:line="276"/>
      </w:pPr>
      <w:r>
        <w:rPr>
          <w:rFonts w:ascii="Arial" w:cs="Arial" w:eastAsia="Arial" w:hAnsi="Arial"/>
          <w:sz w:val="21"/>
          <w:szCs w:val="21"/>
        </w:rPr>
        <w:t xml:space="preserve">To properly assess generalization, each genus was sequentially held out, and higher-level taxonomy was predicted from remaining ASVs via K=5 nearest neighbor majority vote.</w:t>
      </w:r>
    </w:p>
    <w:p>
      <w:pPr>
        <w:spacing w:after="100"/>
      </w:pPr>
      <w:r>
        <w:rPr>
          <w:rFonts w:ascii="Arial" w:cs="Arial" w:eastAsia="Arial" w:hAnsi="Arial"/>
          <w:i/>
          <w:iCs/>
          <w:color w:val="555555"/>
          <w:sz w:val="18"/>
          <w:szCs w:val="18"/>
        </w:rPr>
        <w:t xml:space="preserve">Table 9. Genus-holdout taxonomy prediction accuracy (K=5, 377 genera, 5,599 ASVs).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Predicted Level</w:t>
            </w:r>
          </w:p>
        </w:tc>
        <w:tc>
          <w:tcPr>
            <w:tcW w:type="dxa" w:w="234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Accuracy</w:t>
            </w:r>
          </w:p>
        </w:tc>
        <w:tc>
          <w:tcPr>
            <w:tcW w:type="dxa" w:w="234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Correct / Total</w:t>
            </w:r>
          </w:p>
        </w:tc>
        <w:tc>
          <w:tcPr>
            <w:tcW w:type="dxa" w:w="234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Reliability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Phylum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89.0%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4,982 / 5,599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Reliable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Class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86.5%</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4,841 / 5,599</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sz w:val="18"/>
                <w:szCs w:val="18"/>
              </w:rPr>
              <w:t xml:space="preserve">Reliable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Order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70.9%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3,970 / 5,599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Putative</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Family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47.2%</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2,642 / 5,599</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Putative</w:t>
            </w:r>
          </w:p>
        </w:tc>
      </w:tr>
    </w:tbl>
    <w:p>
      <w:pPr>
        <w:pStyle w:val="Heading2"/>
        <w:spacing w:before="300" w:after="150"/>
      </w:pPr>
      <w:r>
        <w:rPr>
          <w:rFonts w:ascii="Arial" w:cs="Arial" w:eastAsia="Arial" w:hAnsi="Arial"/>
          <w:b/>
          <w:bCs/>
          <w:color w:val="2E5090"/>
          <w:sz w:val="26"/>
          <w:szCs w:val="26"/>
        </w:rPr>
        <w:t xml:space="preserve">5.3 Family-Holdout Cross-Validation</w:t>
      </w:r>
    </w:p>
    <w:p>
      <w:pPr>
        <w:spacing w:after="100"/>
      </w:pPr>
      <w:r>
        <w:rPr>
          <w:rFonts w:ascii="Arial" w:cs="Arial" w:eastAsia="Arial" w:hAnsi="Arial"/>
          <w:i/>
          <w:iCs/>
          <w:color w:val="555555"/>
          <w:sz w:val="18"/>
          <w:szCs w:val="18"/>
        </w:rPr>
        <w:t xml:space="preserve">Table 10. Family-holdout taxonomy prediction accuracy (K=5, 169 families, 5,766 ASVs).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Predicted Level</w:t>
            </w:r>
          </w:p>
        </w:tc>
        <w:tc>
          <w:tcPr>
            <w:tcW w:type="dxa" w:w="234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Accuracy</w:t>
            </w:r>
          </w:p>
        </w:tc>
        <w:tc>
          <w:tcPr>
            <w:tcW w:type="dxa" w:w="234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Correct / Total</w:t>
            </w:r>
          </w:p>
        </w:tc>
        <w:tc>
          <w:tcPr>
            <w:tcW w:type="dxa" w:w="234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Phylum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4,683 / 5,766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Consistent with genus-holdout</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Class</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76.9%</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4,433 / 5,766</w:t>
            </w:r>
          </w:p>
        </w:tc>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Consistent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Order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45.2%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2,605 / 5,766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Near chance for multi-class</w:t>
            </w:r>
          </w:p>
        </w:tc>
      </w:tr>
    </w:tbl>
    <w:p>
      <w:pPr>
        <w:spacing w:after="160" w:line="276"/>
      </w:pPr>
      <w:r>
        <w:rPr>
          <w:rFonts w:ascii="Arial" w:cs="Arial" w:eastAsia="Arial" w:hAnsi="Arial"/>
          <w:sz w:val="21"/>
          <w:szCs w:val="21"/>
        </w:rPr>
        <w:t xml:space="preserve">Nearest-neighbor distance significantly predicted accuracy: correct Family predictions had mean distance 0.0041 vs 0.0082 for incorrect (Mann-Whitney U p &lt; 10⁻¹⁰), confirming distance as a usable confidence metric.</w:t>
      </w:r>
    </w:p>
    <w:p>
      <w:r>
        <w:br w:type="page"/>
      </w:r>
    </w:p>
    <w:p>
      <w:pPr>
        <w:pStyle w:val="Heading1"/>
        <w:spacing w:before="400" w:after="200"/>
      </w:pPr>
      <w:r>
        <w:rPr>
          <w:rFonts w:ascii="Arial" w:cs="Arial" w:eastAsia="Arial" w:hAnsi="Arial"/>
          <w:b/>
          <w:bCs/>
          <w:color w:val="1A3C6E"/>
          <w:sz w:val="30"/>
          <w:szCs w:val="30"/>
        </w:rPr>
        <w:t xml:space="preserve">6. Phase 4: Dark Matter Taxonomy Assignment</w:t>
      </w:r>
    </w:p>
    <w:p>
      <w:pPr>
        <w:spacing w:after="160" w:line="276"/>
      </w:pPr>
      <w:r>
        <w:rPr>
          <w:rFonts w:ascii="Arial" w:cs="Arial" w:eastAsia="Arial" w:hAnsi="Arial"/>
          <w:sz w:val="21"/>
          <w:szCs w:val="21"/>
        </w:rPr>
        <w:t xml:space="preserve">Embeddings were extracted for 22,173 strict-match dark matter ASVs (20 hours on CPU with checkpointing every 500 sequences). Taxonomy was assigned via K=5 nearest neighbor search against 7,915 classified reference ASVs, with calibrated confidence labels based on validated accuracy at each level.</w:t>
      </w:r>
    </w:p>
    <w:p>
      <w:pPr>
        <w:spacing w:after="100"/>
      </w:pPr>
      <w:r>
        <w:rPr>
          <w:rFonts w:ascii="Arial" w:cs="Arial" w:eastAsia="Arial" w:hAnsi="Arial"/>
          <w:i/>
          <w:iCs/>
          <w:color w:val="555555"/>
          <w:sz w:val="18"/>
          <w:szCs w:val="18"/>
        </w:rPr>
        <w:t xml:space="preserve">Table 11. Dark matter taxonomy assignment results (22,173 ASVs).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200"/>
        <w:gridCol w:w="1200"/>
        <w:gridCol w:w="1400"/>
        <w:gridCol w:w="1360"/>
      </w:tblGrid>
      <w:tr>
        <w:tc>
          <w:tcPr>
            <w:tcW w:type="dxa" w:w="14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Level</w:t>
            </w:r>
          </w:p>
        </w:tc>
        <w:tc>
          <w:tcPr>
            <w:tcW w:type="dxa" w:w="14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Validated</w:t>
            </w:r>
          </w:p>
        </w:tc>
        <w:tc>
          <w:tcPr>
            <w:tcW w:type="dxa" w:w="14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Assigned</w:t>
            </w:r>
          </w:p>
        </w:tc>
        <w:tc>
          <w:tcPr>
            <w:tcW w:type="dxa" w:w="12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High</w:t>
            </w:r>
          </w:p>
        </w:tc>
        <w:tc>
          <w:tcPr>
            <w:tcW w:type="dxa" w:w="12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Moderate</w:t>
            </w:r>
          </w:p>
        </w:tc>
        <w:tc>
          <w:tcPr>
            <w:tcW w:type="dxa" w:w="14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Reads</w:t>
            </w:r>
          </w:p>
        </w:tc>
        <w:tc>
          <w:tcPr>
            <w:tcW w:type="dxa" w:w="136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Unassigned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Kingdom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Reliable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22,173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8,836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13,337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2,385,956</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Phylum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89%</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22,173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7,827</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11,834</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2,385,956</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2,512</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Class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86%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22,067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7,512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11,271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2,369,569</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3,390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Order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71%*</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21,546</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2,105,879</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627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Family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16,844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436,516</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5,329</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Genus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N/A*</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13,203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303,516</w:t>
            </w:r>
          </w:p>
        </w:tc>
        <w:tc>
          <w:tcPr>
            <w:tcW w:type="dxa" w:w="1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8,970</w:t>
            </w:r>
          </w:p>
        </w:tc>
      </w:tr>
    </w:tbl>
    <w:p>
      <w:pPr>
        <w:spacing w:after="100"/>
      </w:pPr>
      <w:r>
        <w:rPr>
          <w:rFonts w:ascii="Arial" w:cs="Arial" w:eastAsia="Arial" w:hAnsi="Arial"/>
          <w:i/>
          <w:iCs/>
          <w:color w:val="555555"/>
          <w:sz w:val="18"/>
          <w:szCs w:val="18"/>
        </w:rPr>
        <w:t xml:space="preserve">* Order/Family/Genus marked as putative/speculative due to insufficient validated accuracy.</w:t>
      </w:r>
    </w:p>
    <w:p>
      <w:r>
        <w:br w:type="page"/>
      </w:r>
    </w:p>
    <w:p>
      <w:pPr>
        <w:pStyle w:val="Heading1"/>
        <w:spacing w:before="400" w:after="200"/>
      </w:pPr>
      <w:r>
        <w:rPr>
          <w:rFonts w:ascii="Arial" w:cs="Arial" w:eastAsia="Arial" w:hAnsi="Arial"/>
          <w:b/>
          <w:bCs/>
          <w:color w:val="1A3C6E"/>
          <w:sz w:val="30"/>
          <w:szCs w:val="30"/>
        </w:rPr>
        <w:t xml:space="preserve">7. SILVA vs METAGENE-1 Comparison</w:t>
      </w:r>
    </w:p>
    <w:p>
      <w:pPr>
        <w:pStyle w:val="Heading2"/>
        <w:spacing w:before="300" w:after="150"/>
      </w:pPr>
      <w:r>
        <w:rPr>
          <w:rFonts w:ascii="Arial" w:cs="Arial" w:eastAsia="Arial" w:hAnsi="Arial"/>
          <w:b/>
          <w:bCs/>
          <w:color w:val="2E5090"/>
          <w:sz w:val="26"/>
          <w:szCs w:val="26"/>
        </w:rPr>
        <w:t xml:space="preserve">7.1 Overall Agreement on Classified ASVs</w:t>
      </w:r>
    </w:p>
    <w:p>
      <w:pPr>
        <w:spacing w:after="160" w:line="276"/>
      </w:pPr>
      <w:r>
        <w:rPr>
          <w:rFonts w:ascii="Arial" w:cs="Arial" w:eastAsia="Arial" w:hAnsi="Arial"/>
          <w:sz w:val="21"/>
          <w:szCs w:val="21"/>
        </w:rPr>
        <w:t xml:space="preserve">METAGENE-1 KNN predictions were compared against SILVA assignments for 27,019 ASVs that had both classifications available.</w:t>
      </w:r>
    </w:p>
    <w:p>
      <w:pPr>
        <w:spacing w:after="100"/>
      </w:pPr>
      <w:r>
        <w:rPr>
          <w:rFonts w:ascii="Arial" w:cs="Arial" w:eastAsia="Arial" w:hAnsi="Arial"/>
          <w:i/>
          <w:iCs/>
          <w:color w:val="555555"/>
          <w:sz w:val="18"/>
          <w:szCs w:val="18"/>
        </w:rPr>
        <w:t xml:space="preserve">Table 12. SILVA vs METAGENE-1 agreement on classified ASVs.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560"/>
        <w:gridCol w:w="2000"/>
      </w:tblGrid>
      <w:tr>
        <w:tc>
          <w:tcPr>
            <w:tcW w:type="dxa" w:w="18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Level</w:t>
            </w:r>
          </w:p>
        </w:tc>
        <w:tc>
          <w:tcPr>
            <w:tcW w:type="dxa" w:w="20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Agree</w:t>
            </w:r>
          </w:p>
        </w:tc>
        <w:tc>
          <w:tcPr>
            <w:tcW w:type="dxa" w:w="20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Total</w:t>
            </w:r>
          </w:p>
        </w:tc>
        <w:tc>
          <w:tcPr>
            <w:tcW w:type="dxa" w:w="156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Match%</w:t>
            </w:r>
          </w:p>
        </w:tc>
        <w:tc>
          <w:tcPr>
            <w:tcW w:type="dxa" w:w="20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Interpretation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Kingdom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26,813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27,019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99.2%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Excellent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Phylum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19,986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27,019</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74.0%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Moderate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Class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18,310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25,546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71.7%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Moderate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Family</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7,049</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7,276</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96.9%</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High (near-duplicates)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Genus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5,444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5,771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94.3%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High (near-duplicates)</w:t>
            </w:r>
          </w:p>
        </w:tc>
      </w:tr>
    </w:tbl>
    <w:p>
      <w:pPr>
        <w:spacing w:after="160" w:line="276"/>
      </w:pPr>
      <w:r>
        <w:rPr>
          <w:rFonts w:ascii="Arial" w:cs="Arial" w:eastAsia="Arial" w:hAnsi="Arial"/>
          <w:sz w:val="21"/>
          <w:szCs w:val="21"/>
        </w:rPr>
        <w:t xml:space="preserve">The high Family/Genus agreement (94–97%) reflects near-duplicate matching (most ASV pairs differ by 1–2 nucleotides), while the 74% Phylum agreement represents genuine classification differences. The top phylum disagreements involved Patescibacteria being reclassified to Cyanobacteriota (572 ASVs), Pseudomonadota (443), and Verrucomicrobiota (438).</w:t>
      </w:r>
    </w:p>
    <w:p>
      <w:pPr>
        <w:pStyle w:val="Heading2"/>
        <w:spacing w:before="300" w:after="150"/>
      </w:pPr>
      <w:r>
        <w:rPr>
          <w:rFonts w:ascii="Arial" w:cs="Arial" w:eastAsia="Arial" w:hAnsi="Arial"/>
          <w:b/>
          <w:bCs/>
          <w:color w:val="2E5090"/>
          <w:sz w:val="26"/>
          <w:szCs w:val="26"/>
        </w:rPr>
        <w:t xml:space="preserve">7.2 Community Composition</w:t>
      </w:r>
    </w:p>
    <w:p>
      <w:pPr>
        <w:spacing w:after="160" w:line="276"/>
      </w:pPr>
      <w:r>
        <w:rPr>
          <w:rFonts w:ascii="Arial" w:cs="Arial" w:eastAsia="Arial" w:hAnsi="Arial"/>
          <w:sz w:val="21"/>
          <w:szCs w:val="21"/>
        </w:rPr>
        <w:t xml:space="preserve">Despite individual ASV-level disagreements, overall community composition was remarkably consistent between methods across all cities and seasons. The top three phyla maintained nearly identical proportions: Pseudomonadota (SILVA 45.6% vs METAGENE-1 46.0%), Bacteroidota (19.0% vs 19.1%), and Campylobacterota (17.9% vs 18.4%). At genus level, METAGENE-1 reduced unclassified reads from 14.0% to 8.0%. Geographic patterns (Rajkot showing distinct composition) and seasonal patterns (Monsoon shifts) were preserved in both methods.</w:t>
      </w:r>
    </w:p>
    <w:p>
      <w:pPr>
        <w:pStyle w:val="Heading2"/>
        <w:spacing w:before="300" w:after="150"/>
      </w:pPr>
      <w:r>
        <w:rPr>
          <w:rFonts w:ascii="Arial" w:cs="Arial" w:eastAsia="Arial" w:hAnsi="Arial"/>
          <w:b/>
          <w:bCs/>
          <w:color w:val="2E5090"/>
          <w:sz w:val="26"/>
          <w:szCs w:val="26"/>
        </w:rPr>
        <w:t xml:space="preserve">7.3 SILVA Classification Depth</w:t>
      </w:r>
    </w:p>
    <w:p>
      <w:pPr>
        <w:spacing w:after="100"/>
      </w:pPr>
      <w:r>
        <w:rPr>
          <w:rFonts w:ascii="Arial" w:cs="Arial" w:eastAsia="Arial" w:hAnsi="Arial"/>
          <w:i/>
          <w:iCs/>
          <w:color w:val="555555"/>
          <w:sz w:val="18"/>
          <w:szCs w:val="18"/>
        </w:rPr>
        <w:t xml:space="preserve">Table 13. SILVA 138.2 classification depth (371,775 ASVs, 107,962,810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2280"/>
        <w:gridCol w:w="2280"/>
      </w:tblGrid>
      <w:tr>
        <w:tc>
          <w:tcPr>
            <w:tcW w:type="dxa" w:w="18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Level</w:t>
            </w:r>
          </w:p>
        </w:tc>
        <w:tc>
          <w:tcPr>
            <w:tcW w:type="dxa" w:w="15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ASVs</w:t>
            </w:r>
          </w:p>
        </w:tc>
        <w:tc>
          <w:tcPr>
            <w:tcW w:type="dxa" w:w="15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ASV %</w:t>
            </w:r>
          </w:p>
        </w:tc>
        <w:tc>
          <w:tcPr>
            <w:tcW w:type="dxa" w:w="228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Reads</w:t>
            </w:r>
          </w:p>
        </w:tc>
        <w:tc>
          <w:tcPr>
            <w:tcW w:type="dxa" w:w="228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Read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Kingdom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344,589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92.7%</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107,745,200</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99.8%</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Phylum</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115,813</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31.2%</w:t>
            </w:r>
          </w:p>
        </w:tc>
        <w:tc>
          <w:tcPr>
            <w:tcW w:type="dxa" w:w="2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105,412,549</w:t>
            </w:r>
          </w:p>
        </w:tc>
        <w:tc>
          <w:tcPr>
            <w:tcW w:type="dxa" w:w="2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97.6%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Family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87,398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23.5%</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102,835,008</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95.3%</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Genus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59,223</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15.9%</w:t>
            </w:r>
          </w:p>
        </w:tc>
        <w:tc>
          <w:tcPr>
            <w:tcW w:type="dxa" w:w="2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90,638,544</w:t>
            </w:r>
          </w:p>
        </w:tc>
        <w:tc>
          <w:tcPr>
            <w:tcW w:type="dxa" w:w="2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84.0%</w:t>
            </w:r>
          </w:p>
        </w:tc>
      </w:tr>
    </w:tbl>
    <w:p>
      <w:pPr>
        <w:pStyle w:val="Heading2"/>
        <w:spacing w:before="300" w:after="150"/>
      </w:pPr>
      <w:r>
        <w:rPr>
          <w:rFonts w:ascii="Arial" w:cs="Arial" w:eastAsia="Arial" w:hAnsi="Arial"/>
          <w:b/>
          <w:bCs/>
          <w:color w:val="2E5090"/>
          <w:sz w:val="26"/>
          <w:szCs w:val="26"/>
        </w:rPr>
        <w:t xml:space="preserve">7.4 Combined Read Accounting</w:t>
      </w:r>
    </w:p>
    <w:p>
      <w:pPr>
        <w:spacing w:after="100"/>
      </w:pPr>
      <w:r>
        <w:rPr>
          <w:rFonts w:ascii="Arial" w:cs="Arial" w:eastAsia="Arial" w:hAnsi="Arial"/>
          <w:i/>
          <w:iCs/>
          <w:color w:val="555555"/>
          <w:sz w:val="18"/>
          <w:szCs w:val="18"/>
        </w:rPr>
        <w:t xml:space="preserve">Table 14. Combined read classification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Category</w:t>
            </w:r>
          </w:p>
        </w:tc>
        <w:tc>
          <w:tcPr>
            <w:tcW w:type="dxa" w:w="258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Reads</w:t>
            </w:r>
          </w:p>
        </w:tc>
        <w:tc>
          <w:tcPr>
            <w:tcW w:type="dxa" w:w="258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Percentage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Total reads</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107,962,810</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100.0%</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SILVA classified to Genus</w:t>
            </w:r>
          </w:p>
        </w:tc>
        <w:tc>
          <w:tcPr>
            <w:tcW w:type="dxa" w:w="25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90,638,544</w:t>
            </w:r>
          </w:p>
        </w:tc>
        <w:tc>
          <w:tcPr>
            <w:tcW w:type="dxa" w:w="25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84.0%</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SILVA partial (Phylum, no Genus)</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14,774,005</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13.7%</w:t>
            </w:r>
          </w:p>
        </w:tc>
      </w:tr>
      <w:tr>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METAGENE-1 dark matter (Phylum level)</w:t>
            </w:r>
          </w:p>
        </w:tc>
        <w:tc>
          <w:tcPr>
            <w:tcW w:type="dxa" w:w="25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2,385,956</w:t>
            </w:r>
          </w:p>
        </w:tc>
        <w:tc>
          <w:tcPr>
            <w:tcW w:type="dxa" w:w="25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Unclassified by both methods</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164,305</w:t>
            </w:r>
          </w:p>
        </w:tc>
        <w:tc>
          <w:tcPr>
            <w:tcW w:type="dxa" w:w="25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0.2%</w:t>
            </w:r>
          </w:p>
        </w:tc>
      </w:tr>
    </w:tbl>
    <w:p>
      <w:r>
        <w:br w:type="page"/>
      </w:r>
    </w:p>
    <w:p>
      <w:pPr>
        <w:pStyle w:val="Heading1"/>
        <w:spacing w:before="400" w:after="200"/>
      </w:pPr>
      <w:r>
        <w:rPr>
          <w:rFonts w:ascii="Arial" w:cs="Arial" w:eastAsia="Arial" w:hAnsi="Arial"/>
          <w:b/>
          <w:bCs/>
          <w:color w:val="1A3C6E"/>
          <w:sz w:val="30"/>
          <w:szCs w:val="30"/>
        </w:rPr>
        <w:t xml:space="preserve">8. Summary of Findings</w:t>
      </w:r>
    </w:p>
    <w:p>
      <w:pPr>
        <w:spacing w:after="100"/>
      </w:pPr>
      <w:r>
        <w:rPr>
          <w:rFonts w:ascii="Arial" w:cs="Arial" w:eastAsia="Arial" w:hAnsi="Arial"/>
          <w:i/>
          <w:iCs/>
          <w:color w:val="555555"/>
          <w:sz w:val="18"/>
          <w:szCs w:val="18"/>
        </w:rPr>
        <w:t xml:space="preserve">Table 15. Summary of all tests performed and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200"/>
        <w:gridCol w:w="2960"/>
      </w:tblGrid>
      <w:tr>
        <w:tc>
          <w:tcPr>
            <w:tcW w:type="dxa" w:w="22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Test</w:t>
            </w:r>
          </w:p>
        </w:tc>
        <w:tc>
          <w:tcPr>
            <w:tcW w:type="dxa" w:w="30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Method</w:t>
            </w:r>
          </w:p>
        </w:tc>
        <w:tc>
          <w:tcPr>
            <w:tcW w:type="dxa" w:w="120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Result</w:t>
            </w:r>
          </w:p>
        </w:tc>
        <w:tc>
          <w:tcPr>
            <w:tcW w:type="dxa" w:w="2960"/>
            <w:tcBorders>
              <w:top w:val="single" w:color="CCCCCC" w:sz="1"/>
              <w:left w:val="single" w:color="CCCCCC" w:sz="1"/>
              <w:bottom w:val="single" w:color="CCCCCC" w:sz="1"/>
              <w:right w:val="single" w:color="CCCCCC" w:sz="1"/>
            </w:tcBorders>
            <w:shd w:fill="1A3C6E"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Implication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OOD detection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Cross-entropy loss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Passed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16S V4 reads recognized by model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Primer-controlled validation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4-group comparison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Passed</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Dark matter OOD driven by non-16S sequences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Sequence QC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Loss + primer profiling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Passed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262K non-target sequences identified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Taxonomy recovery</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Mantel test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r=0.31</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Embeddings capture taxonomic structure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Ordination improvement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PERMANOVA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Failed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Bray-Curtis outperforms embeddings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Classification improvement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Random Forest CV</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Failed</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Bray-Curtis outperforms embeddings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Phylum prediction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Genus-holdout CV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89%</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Reliable for dark matter assignment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Class prediction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Genus-holdout CV</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86%</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Reliable for dark matter assignment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Family prediction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Genus-holdout CV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47%</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Not reliable — putative only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SILVA agreement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Direct comparison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74%*</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Broad agreement, Patescibacteria divergence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Dark matter classification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KNN on 22K ASVs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Done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2.2% of reads newly classified to Phylum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Community composition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City/Season comparison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bCs/>
                <w:sz w:val="18"/>
                <w:szCs w:val="18"/>
              </w:rPr>
              <w:t xml:space="preserve">Consistent</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Ecological patterns preserved across methods</w:t>
            </w:r>
          </w:p>
        </w:tc>
      </w:tr>
    </w:tbl>
    <w:p>
      <w:pPr>
        <w:spacing w:after="100"/>
      </w:pPr>
      <w:r>
        <w:rPr>
          <w:rFonts w:ascii="Arial" w:cs="Arial" w:eastAsia="Arial" w:hAnsi="Arial"/>
          <w:i/>
          <w:iCs/>
          <w:color w:val="555555"/>
          <w:sz w:val="18"/>
          <w:szCs w:val="18"/>
        </w:rPr>
        <w:t xml:space="preserve">* Phylum-level agreement. Family/Genus agreement (94–97%) inflated by near-duplicate sequences.</w:t>
      </w:r>
    </w:p>
    <w:p>
      <w:pPr>
        <w:spacing w:after="160" w:line="276"/>
      </w:pPr>
      <w:r>
        <w:rPr>
          <w:rFonts w:ascii="Arial" w:cs="Arial" w:eastAsia="Arial" w:hAnsi="Arial"/>
          <w:sz w:val="21"/>
          <w:szCs w:val="21"/>
        </w:rPr>
        <w:t xml:space="preserve"/>
      </w:r>
      <w:r>
        <w:rPr>
          <w:rFonts w:ascii="Arial" w:cs="Arial" w:eastAsia="Arial" w:hAnsi="Arial"/>
          <w:b/>
          <w:bCs/>
          <w:sz w:val="21"/>
          <w:szCs w:val="21"/>
        </w:rPr>
        <w:t xml:space="preserve">Primary contribution:</w:t>
      </w:r>
      <w:r>
        <w:rPr>
          <w:rFonts w:ascii="Arial" w:cs="Arial" w:eastAsia="Arial" w:hAnsi="Arial"/>
          <w:sz w:val="21"/>
          <w:szCs w:val="21"/>
        </w:rPr>
        <w:t xml:space="preserve"> METAGENE-1 serves as an effective independent sequence quality control tool for 16S amplicon data, identifying 262K non-target sequences through loss-based anomaly detection. It provides reliable phylum/class-level taxonomy for 22K dark matter ASVs (2.2% of reads) that SILVA could not classify, reducing total unclassified reads from 2.4% to 0.2%.</w:t>
      </w:r>
    </w:p>
    <w:p>
      <w:pPr>
        <w:spacing w:after="160" w:line="276"/>
      </w:pPr>
      <w:r>
        <w:rPr>
          <w:rFonts w:ascii="Arial" w:cs="Arial" w:eastAsia="Arial" w:hAnsi="Arial"/>
          <w:sz w:val="21"/>
          <w:szCs w:val="21"/>
        </w:rPr>
        <w:t xml:space="preserve"/>
      </w:r>
      <w:r>
        <w:rPr>
          <w:rFonts w:ascii="Arial" w:cs="Arial" w:eastAsia="Arial" w:hAnsi="Arial"/>
          <w:b/>
          <w:bCs/>
          <w:sz w:val="21"/>
          <w:szCs w:val="21"/>
        </w:rPr>
        <w:t xml:space="preserve">Limitation:</w:t>
      </w:r>
      <w:r>
        <w:rPr>
          <w:rFonts w:ascii="Arial" w:cs="Arial" w:eastAsia="Arial" w:hAnsi="Arial"/>
          <w:sz w:val="21"/>
          <w:szCs w:val="21"/>
        </w:rPr>
        <w:t xml:space="preserve"> Embedding-based distances do not improve community-level ecological analysis (ordination, diversity, classification) compared to standard Bray-Curtis dissimilarity. For ecological interpretation of this wastewater surveillance study, standard phyloseq/SILVA-based methods remain the recommended approach.</w:t>
      </w:r>
    </w:p>
    <w:p>
      <w:pPr>
        <w:spacing w:after="160" w:line="276"/>
      </w:pPr>
      <w:r>
        <w:rPr>
          <w:rFonts w:ascii="Arial" w:cs="Arial" w:eastAsia="Arial" w:hAnsi="Arial"/>
          <w:sz w:val="21"/>
          <w:szCs w:val="21"/>
        </w:rPr>
        <w:t xml:space="preserve"/>
      </w:r>
      <w:r>
        <w:rPr>
          <w:rFonts w:ascii="Arial" w:cs="Arial" w:eastAsia="Arial" w:hAnsi="Arial"/>
          <w:b/>
          <w:bCs/>
          <w:sz w:val="21"/>
          <w:szCs w:val="21"/>
        </w:rPr>
        <w:t xml:space="preserve">Methodological insight:</w:t>
      </w:r>
      <w:r>
        <w:rPr>
          <w:rFonts w:ascii="Arial" w:cs="Arial" w:eastAsia="Arial" w:hAnsi="Arial"/>
          <w:sz w:val="21"/>
          <w:szCs w:val="21"/>
        </w:rPr>
        <w:t xml:space="preserve"> The high sequence conservation of the 16S V4 region (~253 bp) limits the discriminative power of foundation model embeddings at fine taxonomic resolution. The model was pretrained on diverse shotgun metagenomic reads spanning entire genomes, and the restricted sequence diversity of a single amplicon region constrains the information available for embedding-based analysis.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METAGENE-1 Evaluation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2026-03-31T05:25:42.110Z</dcterms:created>
  <dcterms:modified xsi:type="dcterms:W3CDTF">2026-03-31T05:25:42.111Z</dcterms:modified>
</cp:coreProperties>
</file>

<file path=docProps/custom.xml><?xml version="1.0" encoding="utf-8"?>
<Properties xmlns="http://schemas.openxmlformats.org/officeDocument/2006/custom-properties" xmlns:vt="http://schemas.openxmlformats.org/officeDocument/2006/docPropsVTypes"/>
</file>