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Results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Evaluation of METAGENE-1 Metagenomic Foundation Model for 16S rRNA V4 Amplicon Data from Indian Wastewater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Feasibility Assessment: In-Distribution Analysis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To determine whether METAGENE-1, a 7-billion parameter autoregressive transformer pretrained on &gt;1.5 trillion base pairs of US wastewater shotgun metagenomics, could meaningfully process 16S rRNA V4 amplicon sequences from Indian wastewater, we computed length-normalized cross-entropy loss for each ASV sequence following the methodology described in the original paper (Section 5.5). Sequences with loss below the empirically established threshold of 3.0 were classified as in-distribution, indicating the model had learned meaningful representations for such sequences during pretraining.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Analysis of 200 randomly subsampled ASVs per group revealed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taxonomy-classified ASVs (mean loss = 1.465) were strongly in-distribution</w:t>
      </w:r>
      <w:r>
        <w:rPr>
          <w:rFonts w:ascii="Arial" w:cs="Arial" w:eastAsia="Arial" w:hAnsi="Arial"/>
          <w:sz w:val="22"/>
          <w:szCs w:val="22"/>
        </w:rPr>
        <w:t xml:space="preserve">, with 94.0% falling below the OOD threshold. This was remarkably close to the paper's reported metagenomics mean of 1.24. In contrast, dark matter ASVs showed a mean loss of 4.773, with only 11.5% classified as in-distribution. Random control sequences showed a mean loss of 5.937 with 0% in-distribution, confirming the validity of the threshold (Mann-Whitney U p = 4.66 × 10⁻⁵²).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1. Length-normalized cross-entropy loss statistics by sequence category (n=200 per group).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In-dist. 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Ref.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Classified ASVs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Matter ASVs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5.22*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Paper reference values: metagenomics = 1.24, human genome = 5.22, random = 5.83.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Dark Matter Sequence Characterization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 controlled primer-matching analysis revealed that the high OOD loss of dark matter ASVs was driven primarily by sequences lacking proper V4 amplicon structure. Of 284,377 dark matter ASVs, only 7.8% (22,173) retained both 515F and 806R primer binding sites, while 89.4% (254,123) had neither primer detected. When dark matter ASVs were stratified by primer status and retested,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properly-trimmed dark matter sequences (mean loss = 1.729) were clearly in-distribution</w:t>
      </w:r>
      <w:r>
        <w:rPr>
          <w:rFonts w:ascii="Arial" w:cs="Arial" w:eastAsia="Arial" w:hAnsi="Arial"/>
          <w:sz w:val="22"/>
          <w:szCs w:val="22"/>
        </w:rPr>
        <w:t xml:space="preserve"> (94% below threshold), comparable to classified ASVs (mean loss = 1.287, p = 2.23 × 10⁻⁵). Dark matter without primers remained strongly out-of-distribution (mean loss = 5.204, 3% in-distribution).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2. Primer-controlled validation of dark matter OOD status (n=100 per group).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Loss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In-dist. 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Classified (trimmed)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1.287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1.140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62,754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Matter (trimmed)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1.729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1.584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22,173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Matter (no primers)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5.204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262,204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Control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5.938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5.872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Re-categorization of Non-Primer Dark Matter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Detailed profiling of the 262K sequences lacking primer binding sites (50,000 subsampled) revealed that 74.2% had partial 515F matches (first 8–10 bases matching but diverging thereafter), suggesting non-specific amplification from non-16S genomic regions sharing partial primer complementarity. Only 5.1% showed clear artifact signatures (adapter contamination 0.6%, low complexity 1.9%, chimeric GC-shift 1.6%, homopolymers 0.6%). The elevated mean GC content (59.5% vs. ~50–55% for typical 16S V4) and variable lengths (190–398 bp, 99.6% not the expected 253 bp) further supported non-16S origin for the majority of these sequences.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Fuzzy primer matching (allowing ≤3 mismatches) reclassified the 284K dark matter ASVs into six categories, each tested independently against METAGENE-1: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3. Re-categorization of dark matter ASVs with relaxed primer matching and METAGENE-1 loss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160"/>
        <w:gridCol w:w="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In-dist. 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Strict primer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oriented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Fuzzy 16S forward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44,433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Non-specific amplif.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27,083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primer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183,612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6,774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Embedding Quality and Taxonomic Recovery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Mean-pooled last hidden state embeddings (4,096 dimensions) were extracted for 8,243 ASVs representing 95% of total sequencing reads, following the methodology of the Gene-MTEB benchmark (Section 5.3 of the original paper). A Mantel test comparing pairwise cosine distances in embedding space against taxonomic distances revealed a significant positive correlation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 = 0.309, p = 0.001</w:t>
      </w:r>
      <w:r>
        <w:rPr>
          <w:rFonts w:ascii="Arial" w:cs="Arial" w:eastAsia="Arial" w:hAnsi="Arial"/>
          <w:sz w:val="22"/>
          <w:szCs w:val="22"/>
        </w:rPr>
        <w:t xml:space="preserve">), indicating that the embeddings capture meaningful taxonomic structure from sequence alone.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 Comparison with Standard Distance Metrics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Sample-level distance matrices were constructed by computing abundance-weighted average ASV embeddings per sample, then taking pairwise cosine distances. PERMANOVA analysis comparing embedding-based distances against Bray-Curtis dissimilarity revealed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Bray-Curtis consistently explained more variance</w:t>
      </w:r>
      <w:r>
        <w:rPr>
          <w:rFonts w:ascii="Arial" w:cs="Arial" w:eastAsia="Arial" w:hAnsi="Arial"/>
          <w:sz w:val="22"/>
          <w:szCs w:val="22"/>
        </w:rPr>
        <w:t xml:space="preserve"> across all tested factors: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4. PERMANOVA R² values comparing distance metrics across ecological factors (999 permutations).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Bray-Curtis 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Bray-Curtis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Bray-Curtis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Bray-Curtis</w:t>
            </w:r>
          </w:p>
        </w:tc>
      </w:tr>
    </w:tbl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Random forest classification using 5-fold cross-validation similarly showed Bray-Curtis features outperforming embedding features for predicting city (58.4% vs 50.3%) and season (81.0% vs 62.8%). These results indicate that while METAGENE-1 embeddings capture genuine biological signal at the individual sequence level, the abundance-weighted averaging approach loses the compositional information that makes Bray-Curtis effective for community-level comparisons.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Embedding-Based Taxonomy Assignment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3.4.1 Validation on Classified ASVs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To assess the reliability of embedding-based taxonomy prediction, we performed two cross-validation experiments. First, a genus-holdout test: each genus was sequentially removed, and the remaining ASVs were used to predict its higher-level taxonomy via K=5 nearest neighbor majority vote in embedding space. Second, a family-holdout test using the same approach at the family level.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5. Taxonomy prediction accuracy under genus-holdout and family-holdout cross-validation (K=5 nearest neighbors).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Taxonomic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Genus-Holdout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Family-Holdout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Phylum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Putative</w:t>
            </w:r>
          </w:p>
        </w:tc>
      </w:tr>
    </w:tbl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Nearest neighbor distance was significantly shorter for correct predictions than incorrect ones (Family level: mean 0.0041 vs 0.0082, Mann-Whitney U p &lt; 10⁻¹⁰), confirming that embedding distance serves as a reliable confidence metric.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3.4.2 Agreement with SILVA on Classified ASVs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When METAGENE-1 KNN predictions were compared against SILVA assignments for the same classified ASVs, agreement was highest at Kingdom level (99.2%) and decreased at finer taxonomic resolution. The most frequent phylum-level disagreements involved Patescibacteria being reassigned to Cyanobacteriota (572 ASVs), Pseudomonadota (443), or Verrucomicrobiota (438), consistent with the known taxonomic instability of this candidate phylum.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6. Agreement between METAGENE-1 embedding KNN predictions and SILVA classifier on classified ASVs.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Compared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Kingdom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26,813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Phylum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19,986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18,310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25,546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94.3%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Dark Matter Taxonomy Assignment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Calibrated taxonomy was assigned to 22,173 strict-match dark matter ASVs using K=5 nearest neighbor search against 7,915 classified reference ASVs in embedding space. Confidence labels were assigned based on the validated accuracy at each taxonomic level: reliable (Phylum/Class, ~85–89%), putative (Order/Family, ~47–71%), and speculative (Genus, not validated via holdout).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At the phylum level, 7,827 ASVs (35.3%) received high-confidence assignments and 11,834 (53.4%) moderate-confidence, with 2,512 (11.3%) remaining unassigned. The dominant predicted phyla were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Firmicutes (22.6%)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Proteobacteria (18.8%)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Bacteroidota (12.4%)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Actinobacteriota (6.3%)</w:t>
      </w:r>
      <w:r>
        <w:rPr>
          <w:rFonts w:ascii="Arial" w:cs="Arial" w:eastAsia="Arial" w:hAnsi="Arial"/>
          <w:sz w:val="22"/>
          <w:szCs w:val="22"/>
        </w:rPr>
        <w:t xml:space="preserve">, consistent with expected wastewater microbiome composition. Notable assignments included Chloroplast and Mitochondria sequences, confirming plant/eukaryotic contamination common in municipal wastewater.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Community Composition: SILVA vs METAGENE-1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Overall community composition was remarkably consistent between SILVA and METAGENE-1 predictions across all four cities (Ahmedabad, Gandhinagar, Rajkot, Vadodara) and all four seasons (Pre-Winter, Winter, Summer, Monsoon). The top three phyla—Pseudomonadota (45.6% vs 46.0%), Bacteroidota (19.0% vs 19.1%), and Campylobacterota (17.9% vs 18.4%)—maintained nearly identical proportions regardless of classification method.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At the genus level, the primary difference was a reduction in unclassified reads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14.0% (SILVA) to 8.0% (METAGENE-1)</w:t>
      </w:r>
      <w:r>
        <w:rPr>
          <w:rFonts w:ascii="Arial" w:cs="Arial" w:eastAsia="Arial" w:hAnsi="Arial"/>
          <w:sz w:val="22"/>
          <w:szCs w:val="22"/>
        </w:rPr>
        <w:t xml:space="preserve">, representing the successful placement of previously uncharacterized sequences. The top classified genera (Arcobacter, Pseudomonas, Flavobacterium, Acinetobacter) maintained consistent rankings and proportions between methods. Geographic and seasonal patterns were preserved: Rajkot showed distinctly higher Campylobacterota/Arcobacter proportions compared to other cities in both classification approaches, and monsoon samples displayed characteristic compositional shifts in both methods.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SILVA Classification Depth</w:t>
      </w:r>
    </w:p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Assessment of SILVA 138.2 classification depth revealed that while 92.7% of ASVs received Kingdom-level assignment, classification completeness decreased sharply at finer taxonomic resolution. Only 15.9% of ASVs (representing 84.0% of reads) were classified to Genus, while 68.8% of ASVs (2.4% of reads) received no Phylum assignment. This pattern reflects the dominance of a relatively small number of abundant, well-characterized taxa alongside a large tail of rare, uncharacterized ASVs.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7. SILVA 138.2 classification depth across taxonomic levels (371,775 total ASVs, 107,962,810 total reads).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28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ASV 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Kingdom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344,589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92.7%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107,745,200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Phylum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115,813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31.2%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105,412,549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113,728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30.6%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105,320,159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106,492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28.6%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104,862,425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87,398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102,835,008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59,223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15.9%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90,638,544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84.0%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Read Accounting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8. Combined read classification summary across SILVA and METAGENE-1.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reads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107,962,810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SILVA classified to Genus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90,638,544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SILVA partial (Phylum, no Genus)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14,774,005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METAGENE-1 dark matter (Phylum)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2,385,956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Unclassified by both methods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164,305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0.2%</w:t>
            </w:r>
          </w:p>
        </w:tc>
      </w:tr>
    </w:tbl>
    <w:p>
      <w:pPr>
        <w:spacing w:after="180" w:line="276"/>
      </w:pPr>
      <w:r>
        <w:rPr>
          <w:rFonts w:ascii="Arial" w:cs="Arial" w:eastAsia="Arial" w:hAnsi="Arial"/>
          <w:sz w:val="22"/>
          <w:szCs w:val="22"/>
        </w:rPr>
        <w:t xml:space="preserve">SILVA classified 84.0% of total reads to genus level, with an additional 13.7% classified to phylum but not genus. METAGENE-1 embedding-based KNN provided phylum-level classification for 2.2% of reads (2,385,956 reads from 22,173 dark matter ASVs) that SILVA could not classify at any level. After combining both methods, only 0.2% of total reads (164,305) remained unclassified, representing ASVs lacking proper V4 amplicon structure. At the phylum level, METAGENE-1 assigned 7,827 dark matter ASVs with high confidence and 11,834 with moderate confidence, with the dominant predicted phyla (Firmicutes, Proteobacteria, Bacteroidota) consistent with expected wastewater microbiome composition.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3A6B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2026-03-31T05:18:01.541Z</dcterms:created>
  <dcterms:modified xsi:type="dcterms:W3CDTF">2026-03-31T05:18:01.542Z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