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p>
      <w:pPr>
        <w:spacing w:after="80"/>
        <w:jc w:val="center"/>
      </w:pPr>
      <w:r>
        <w:rPr>
          <w:rFonts w:ascii="Times New Roman" w:cs="Times New Roman" w:eastAsia="Times New Roman" w:hAnsi="Times New Roman"/>
          <w:b/>
          <w:bCs/>
          <w:sz w:val="36"/>
          <w:szCs w:val="36"/>
        </w:rPr>
        <w:t xml:space="preserve">Geographic Transferability of Metagenomic Foundation Models:</w:t>
      </w:r>
    </w:p>
    <w:p>
      <w:pPr>
        <w:spacing w:after="480"/>
        <w:jc w:val="center"/>
      </w:pPr>
      <w:r>
        <w:rPr>
          <w:rFonts w:ascii="Times New Roman" w:cs="Times New Roman" w:eastAsia="Times New Roman" w:hAnsi="Times New Roman"/>
          <w:b/>
          <w:bCs/>
          <w:sz w:val="36"/>
          <w:szCs w:val="36"/>
        </w:rPr>
        <w:t xml:space="preserve">Evidence from Indian Urban Wastewater</w:t>
      </w:r>
    </w:p>
    <w:p>
      <w:pPr>
        <w:spacing w:after="80"/>
        <w:jc w:val="center"/>
      </w:pPr>
      <w:r>
        <w:rPr>
          <w:rFonts w:ascii="Times New Roman" w:cs="Times New Roman" w:eastAsia="Times New Roman" w:hAnsi="Times New Roman"/>
          <w:i/>
          <w:iCs/>
          <w:color w:val="888888"/>
          <w:sz w:val="24"/>
          <w:szCs w:val="24"/>
        </w:rPr>
        <w:t xml:space="preserve">[Author names and affiliations to be added]</w:t>
      </w:r>
    </w:p>
    <w:p>
      <w:pPr>
        <w:spacing w:after="240"/>
      </w:pPr>
    </w:p>
    <w:p>
      <w:pPr>
        <w:spacing w:after="80"/>
        <w:jc w:val="center"/>
      </w:pPr>
      <w:r>
        <w:rPr>
          <w:rFonts w:ascii="Times New Roman" w:cs="Times New Roman" w:eastAsia="Times New Roman" w:hAnsi="Times New Roman"/>
          <w:i/>
          <w:iCs/>
          <w:color w:val="888888"/>
          <w:sz w:val="24"/>
          <w:szCs w:val="24"/>
        </w:rPr>
        <w:t xml:space="preserve">Correspondence: [corresponding author email]</w:t>
      </w:r>
    </w:p>
    <w:p>
      <w:pPr>
        <w:spacing w:after="480"/>
      </w:pPr>
    </w:p>
    <w:p>
      <w:pPr>
        <w:pBdr>
          <w:top w:val="single" w:color="000000" w:sz="8"/>
        </w:pBdr>
        <w:spacing w:after="80" w:before="120"/>
        <w:jc w:val="center"/>
      </w:pPr>
      <w:r>
        <w:rPr>
          <w:rFonts w:ascii="Times New Roman" w:cs="Times New Roman" w:eastAsia="Times New Roman" w:hAnsi="Times New Roman"/>
          <w:b/>
          <w:bCs/>
          <w:sz w:val="24"/>
          <w:szCs w:val="24"/>
        </w:rPr>
        <w:t xml:space="preserve">ABSTRACT</w:t>
      </w:r>
    </w:p>
    <w:p>
      <w:pPr>
        <w:spacing w:after="160" w:line="360" w:lineRule="auto"/>
        <w:ind w:firstLine="0"/>
        <w:jc w:val="both"/>
      </w:pPr>
      <w:r>
        <w:rPr>
          <w:rFonts w:ascii="Times New Roman" w:cs="Times New Roman" w:eastAsia="Times New Roman" w:hAnsi="Times New Roman"/>
          <w:sz w:val="24"/>
          <w:szCs w:val="24"/>
        </w:rPr>
        <w:t xml:space="preserve">Metagenomic foundation models trained on geographically restricted datasets may fail to generalise to novel environmental contexts. We evaluated METAGENE-1, a 7-billion-parameter causal language model pre-trained exclusively on United States municipal wastewater metagenomes, against 95 shotgun metagenomic samples from four cities in Gujarat, India across four seasons. Applying identical anomaly scoring to both US wastewater (Rothman et al., 2020; n=3 facilities) and Gujarat wastewater, we observed CE losses of 4.593 ± 0.053 and 4.855 ± 0.028 respectively — a geographic gap of 0.262 CE units (t = 6.96, p = 0.020, Cohen's d = 4.92). Pipeline validity was confirmed by reproducing the Liu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(2025) human genome reference (our score: 5.490 ± 0.454 vs published 5.22, Δ = 0.27). Within Gujarat, seasonal variation explained 49.1% of anomaly score variance (two-way ANOVA: F(3,26) = 158.66, p &lt; 0.0001) and city explained 35.5% (F(3,26) = 117.97, p &lt; 0.0001), with a significant city × season interaction (F(9,26) = 8.579, p &lt; 0.0001). LoRA fine-tuning significantly reduced validation CE loss in both configurations tested (rank-8: d = 0.726, p = 0.011; rank-32: d = 1.030, p = 0.0009), with improvement scaling with adapter capacity. We demonstrate that pipeline artefact is excluded as an explanation for the geographic gap, and argue that full model fine-tuning on the complete Indian wastewater corpus would substantially reduce the distributional shift. These findings motivate geographically inclusive training corpora for next-generation metagenomic foundation models.</w:t>
      </w:r>
    </w:p>
    <w:p>
      <w:pPr>
        <w:pBdr>
          <w:bottom w:val="single" w:color="000000" w:sz="8"/>
        </w:pBdr>
        <w:spacing w:after="80" w:before="80"/>
      </w:pPr>
    </w:p>
    <w:p>
      <w:pPr>
        <w:spacing w:after="160"/>
      </w:pPr>
    </w:p>
    <w:p>
      <w:pPr>
        <w:spacing w:after="160" w:line="360" w:lineRule="auto"/>
        <w:ind w:firstLine="0"/>
        <w:jc w:val="both"/>
      </w:pPr>
      <w:r>
        <w:rPr>
          <w:rFonts w:ascii="Times New Roman" w:cs="Times New Roman" w:eastAsia="Times New Roman" w:hAnsi="Times New Roman"/>
          <w:i/>
          <w:iCs/>
          <w:sz w:val="20"/>
          <w:szCs w:val="20"/>
        </w:rPr>
        <w:t xml:space="preserve">Keywords: metagenomics; foundation models; wastewater surveillance; geographic bias; LoRA fine-tuning; India; METAGENE-1; pipeline validation</w:t>
      </w:r>
    </w:p>
    <w:p>
      <w:r>
        <w:br w:type="page"/>
      </w:r>
    </w:p>
    <w:p>
      <w:pPr>
        <w:pStyle w:val="Heading1"/>
        <w:spacing w:after="200" w:before="480"/>
      </w:pPr>
      <w:r>
        <w:rPr>
          <w:rFonts w:ascii="Times New Roman" w:cs="Times New Roman" w:eastAsia="Times New Roman" w:hAnsi="Times New Roman"/>
          <w:b/>
          <w:bCs/>
          <w:sz w:val="32"/>
          <w:szCs w:val="32"/>
        </w:rPr>
        <w:t xml:space="preserve">1. Introduction</w:t>
      </w:r>
    </w:p>
    <w:p>
      <w:pPr>
        <w:spacing w:after="160" w:line="360" w:lineRule="auto"/>
        <w:ind w:firstLine="720"/>
        <w:jc w:val="both"/>
      </w:pPr>
      <w:r>
        <w:rPr>
          <w:rFonts w:ascii="Times New Roman" w:cs="Times New Roman" w:eastAsia="Times New Roman" w:hAnsi="Times New Roman"/>
          <w:sz w:val="24"/>
          <w:szCs w:val="24"/>
        </w:rPr>
        <w:t xml:space="preserve">Metagenomic sequencing of environmental samples—particularly municipal wastewater—has emerged as a scalable approach for passive surveillance of community-level pathogen dynamics, antimicrobial resistance, and population health indicators (Crits-Christoph et al., 2021; Karthikeyan et al., 2022). Wastewater-based epidemiology gained prominence during the COVID-19 pandemic, where SARS-CoV-2 RNA concentrations in wastewater provided leading indicators of community infection rates before clinical case counts reflected disease spread (Peccia et al., 2020; Medema et al., 2020).</w:t>
      </w:r>
    </w:p>
    <w:p>
      <w:pPr>
        <w:spacing w:after="160" w:line="360" w:lineRule="auto"/>
        <w:ind w:firstLine="720"/>
        <w:jc w:val="both"/>
      </w:pPr>
      <w:r>
        <w:rPr>
          <w:rFonts w:ascii="Times New Roman" w:cs="Times New Roman" w:eastAsia="Times New Roman" w:hAnsi="Times New Roman"/>
          <w:sz w:val="24"/>
          <w:szCs w:val="24"/>
        </w:rPr>
        <w:t xml:space="preserve">A major limitation of metagenomic surveillance is that 70–95% of environmental sequences cannot be classified by reference-based taxonomic tools such as Kraken2, because they share insufficient similarity with sequences in curated databases (Nayfach et al., 2021). This "microbial dark matter" is particularly pronounced in low-income and tropical settings, where ecological and human population diversity generates sequence space poorly represented in databases compiled primarily from North American and European samples (Bengtsson-Palme et al., 2019).</w:t>
      </w:r>
    </w:p>
    <w:p>
      <w:pPr>
        <w:spacing w:after="160" w:line="360" w:lineRule="auto"/>
        <w:ind w:firstLine="720"/>
        <w:jc w:val="both"/>
      </w:pPr>
      <w:r>
        <w:rPr>
          <w:rFonts w:ascii="Times New Roman" w:cs="Times New Roman" w:eastAsia="Times New Roman" w:hAnsi="Times New Roman"/>
          <w:sz w:val="24"/>
          <w:szCs w:val="24"/>
        </w:rPr>
        <w:t xml:space="preserve">Large-scale foundation models trained on metagenomic sequences offer a complementary approach: rather than relying on database alignment, they learn statistical representations of sequence space directly from raw nucleotide data. METAGENE-1 (Liu et al., 2025) is a 7-billion-parameter autoregressive language model trained on 1.5 trillion base pairs of metagenomic sequences drawn exclusively from US municipal wastewater treatment plants. The model demonstrates strong performance on anomaly detection, taxonomic embedding, and viral identification. However, its training corpus is geographically confined to a single country, raising the question of whether its learned representations generalise to wastewater from fundamentally different geographic contexts.</w:t>
      </w:r>
    </w:p>
    <w:p>
      <w:pPr>
        <w:spacing w:after="160" w:line="360" w:lineRule="auto"/>
        <w:ind w:firstLine="720"/>
        <w:jc w:val="both"/>
      </w:pPr>
      <w:r>
        <w:rPr>
          <w:rFonts w:ascii="Times New Roman" w:cs="Times New Roman" w:eastAsia="Times New Roman" w:hAnsi="Times New Roman"/>
          <w:sz w:val="24"/>
          <w:szCs w:val="24"/>
        </w:rPr>
        <w:t xml:space="preserve">India presents an instructive test case. With 1.4 billion inhabitants, rapid urban growth, high population density, distinct monsoon-driven seasonality, and a disease burden profile that differs markedly from the United States, Indian wastewater metagenomes likely contain microbial community compositions, viromes, and resistomes substantially underrepresented in current foundation model training data. Understanding the degree of this representational gap—and whether it can be bridged through targeted fine-tuning or requires full model retraining—has direct implications for the utility of metagenomic AI in pandemic preparedness in low- and middle-income countries.</w:t>
      </w:r>
    </w:p>
    <w:p>
      <w:pPr>
        <w:spacing w:after="160" w:line="360" w:lineRule="auto"/>
        <w:ind w:firstLine="720"/>
        <w:jc w:val="both"/>
      </w:pPr>
      <w:r>
        <w:rPr>
          <w:rFonts w:ascii="Times New Roman" w:cs="Times New Roman" w:eastAsia="Times New Roman" w:hAnsi="Times New Roman"/>
          <w:sz w:val="24"/>
          <w:szCs w:val="24"/>
        </w:rPr>
        <w:t xml:space="preserve">In this study, we address four research questions. First, how anomalous are Gujarat Indian wastewater sequences under METAGENE-1, and does anomaly vary systematically by city or season? Second, can our pipeline be validated against published references? Third, does LoRA fine-tuning reduce the distributional gap, and does adapter capacity matter? Fourth, what would full model fine-tuning achieve, and what are its practical requirements?</w:t>
      </w:r>
    </w:p>
    <w:p>
      <w:r>
        <w:br w:type="page"/>
      </w:r>
    </w:p>
    <w:p>
      <w:pPr>
        <w:pStyle w:val="Heading1"/>
        <w:spacing w:after="200" w:before="480"/>
      </w:pPr>
      <w:r>
        <w:rPr>
          <w:rFonts w:ascii="Times New Roman" w:cs="Times New Roman" w:eastAsia="Times New Roman" w:hAnsi="Times New Roman"/>
          <w:b/>
          <w:bCs/>
          <w:sz w:val="32"/>
          <w:szCs w:val="32"/>
        </w:rPr>
        <w:t xml:space="preserve">2. Materials and Methods</w:t>
      </w:r>
    </w:p>
    <w:p>
      <w:pPr>
        <w:pStyle w:val="Heading2"/>
        <w:spacing w:after="120" w:before="320"/>
      </w:pPr>
      <w:r>
        <w:rPr>
          <w:rFonts w:ascii="Times New Roman" w:cs="Times New Roman" w:eastAsia="Times New Roman" w:hAnsi="Times New Roman"/>
          <w:b/>
          <w:bCs/>
          <w:sz w:val="28"/>
          <w:szCs w:val="28"/>
        </w:rPr>
        <w:t xml:space="preserve">2.1 Study Design and Sampling</w:t>
      </w:r>
    </w:p>
    <w:p>
      <w:pPr>
        <w:spacing w:after="160" w:line="360" w:lineRule="auto"/>
        <w:ind w:firstLine="720"/>
        <w:jc w:val="both"/>
      </w:pPr>
      <w:r>
        <w:rPr>
          <w:rFonts w:ascii="Times New Roman" w:cs="Times New Roman" w:eastAsia="Times New Roman" w:hAnsi="Times New Roman"/>
          <w:sz w:val="24"/>
          <w:szCs w:val="24"/>
        </w:rPr>
        <w:t xml:space="preserve">We collected composite grab samples of raw influent from municipal wastewater treatment plant (WWTP) intake points across four cities in Gujarat, India: Ahmedabad (~8.1M population), Gandhinagar (~0.3M), Rajkot (~1.7M), and Vadodara (~2.1M). Sampling was conducted across four seasons: Summer (March–May), Monsoon (June–September), PreWinter (October–November), and Winter (December–February), yielding 95 samples with approximately 190 million reads (0.045 Tbp). GPS coordinates, sampling dates, and site metadata were recorded for each sample.</w:t>
      </w:r>
    </w:p>
    <w:p>
      <w:pPr>
        <w:pStyle w:val="Heading2"/>
        <w:spacing w:after="120" w:before="320"/>
      </w:pPr>
      <w:r>
        <w:rPr>
          <w:rFonts w:ascii="Times New Roman" w:cs="Times New Roman" w:eastAsia="Times New Roman" w:hAnsi="Times New Roman"/>
          <w:b/>
          <w:bCs/>
          <w:sz w:val="28"/>
          <w:szCs w:val="28"/>
        </w:rPr>
        <w:t xml:space="preserve">2.2 DNA Extraction, Sequencing, and Quality Control</w:t>
      </w:r>
    </w:p>
    <w:p>
      <w:pPr>
        <w:spacing w:after="160" w:line="360" w:lineRule="auto"/>
        <w:ind w:firstLine="720"/>
        <w:jc w:val="both"/>
      </w:pPr>
      <w:r>
        <w:rPr>
          <w:rFonts w:ascii="Times New Roman" w:cs="Times New Roman" w:eastAsia="Times New Roman" w:hAnsi="Times New Roman"/>
          <w:sz w:val="24"/>
          <w:szCs w:val="24"/>
        </w:rPr>
        <w:t xml:space="preserve">Wastewater samples (500 mL) were filtered through 0.22 μm polyethersulfone membranes. Total DNA was extracted using bead-beating with phenol-chloroform purification. Shotgun libraries were prepared using the Illumina DNA Prep kit (2 × 150 bp). Raw reads were quality-filtered using Fastp (v0.23; Q20, minimum 50 bp), human reads removed via Bowtie2 alignment to GRCh38, and processed forward reads (R1) converted to FASTA per sample.</w:t>
      </w:r>
    </w:p>
    <w:p>
      <w:pPr>
        <w:spacing w:after="160" w:line="360" w:lineRule="auto"/>
        <w:ind w:firstLine="720"/>
        <w:jc w:val="both"/>
      </w:pPr>
      <w:r>
        <w:rPr>
          <w:rFonts w:ascii="Times New Roman" w:cs="Times New Roman" w:eastAsia="Times New Roman" w:hAnsi="Times New Roman"/>
          <w:sz w:val="24"/>
          <w:szCs w:val="24"/>
        </w:rPr>
        <w:t xml:space="preserve">Taxonomic classification using Kraken2 (PlusPFP database) revealed approximately 90% of reads were unclassified across representative samples, substantially higher than the 41% unclassification rate reported in METAGENE-1's training data (Liu et al., 2025).</w:t>
      </w:r>
    </w:p>
    <w:p>
      <w:pPr>
        <w:pStyle w:val="Heading2"/>
        <w:spacing w:after="120" w:before="320"/>
      </w:pPr>
      <w:r>
        <w:rPr>
          <w:rFonts w:ascii="Times New Roman" w:cs="Times New Roman" w:eastAsia="Times New Roman" w:hAnsi="Times New Roman"/>
          <w:b/>
          <w:bCs/>
          <w:sz w:val="28"/>
          <w:szCs w:val="28"/>
        </w:rPr>
        <w:t xml:space="preserve">2.3 Foundation Model</w:t>
      </w:r>
    </w:p>
    <w:p>
      <w:pPr>
        <w:spacing w:after="160" w:line="360" w:lineRule="auto"/>
        <w:ind w:firstLine="720"/>
        <w:jc w:val="both"/>
      </w:pPr>
      <w:r>
        <w:rPr>
          <w:rFonts w:ascii="Times New Roman" w:cs="Times New Roman" w:eastAsia="Times New Roman" w:hAnsi="Times New Roman"/>
          <w:sz w:val="24"/>
          <w:szCs w:val="24"/>
        </w:rPr>
        <w:t xml:space="preserve">We used METAGENE-1 (</w:t>
      </w:r>
      <w:r>
        <w:rPr>
          <w:rFonts w:ascii="Times New Roman" w:cs="Times New Roman" w:eastAsia="Times New Roman" w:hAnsi="Times New Roman"/>
          <w:i/>
          <w:iCs/>
          <w:sz w:val="24"/>
          <w:szCs w:val="24"/>
        </w:rPr>
        <w:t xml:space="preserve">metagene-ai/METAGENE-1</w:t>
      </w:r>
      <w:r>
        <w:rPr>
          <w:rFonts w:ascii="Times New Roman" w:cs="Times New Roman" w:eastAsia="Times New Roman" w:hAnsi="Times New Roman"/>
          <w:sz w:val="24"/>
          <w:szCs w:val="24"/>
        </w:rPr>
        <w:t xml:space="preserve">; Liu et al., 2025), a 7-billion-parameter causal language model based on the LLaMA-2 architecture (Touvron et al., 2023), pre-trained on 1.5 trillion base pairs from US municipal wastewater. The model uses a byte-pair encoding (BPE) tokeniser with vocabulary size 1,024 trained on metagenomic sequences (~3.9 bp per token on average). All weights were loaded in float16 using HuggingFace Transformers (v4.40).</w:t>
      </w:r>
    </w:p>
    <w:p>
      <w:pPr>
        <w:pStyle w:val="Heading2"/>
        <w:spacing w:after="120" w:before="320"/>
      </w:pPr>
      <w:r>
        <w:rPr>
          <w:rFonts w:ascii="Times New Roman" w:cs="Times New Roman" w:eastAsia="Times New Roman" w:hAnsi="Times New Roman"/>
          <w:b/>
          <w:bCs/>
          <w:sz w:val="28"/>
          <w:szCs w:val="28"/>
        </w:rPr>
        <w:t xml:space="preserve">2.4 Anomaly Scoring</w:t>
      </w:r>
    </w:p>
    <w:p>
      <w:pPr>
        <w:spacing w:after="160" w:line="360" w:lineRule="auto"/>
        <w:ind w:firstLine="720"/>
        <w:jc w:val="both"/>
      </w:pPr>
      <w:r>
        <w:rPr>
          <w:rFonts w:ascii="Times New Roman" w:cs="Times New Roman" w:eastAsia="Times New Roman" w:hAnsi="Times New Roman"/>
          <w:sz w:val="24"/>
          <w:szCs w:val="24"/>
        </w:rPr>
        <w:t xml:space="preserve">We replicated the anomaly scoring procedure of Liu et al. (2025) §5.5. For each sample, 5,000 forward reads were randomly subsampled (seed = 42), tokenised, and scored under the frozen, untuned METAGENE-1. Per-token cross-entropy (CE) loss was computed and averaged per read, then aggregated per sample. Reads with mean CE loss above 3.0 were classified as anomalous, consistent with Liu et al. (2025). All scoring used identical parameters: max_length = 512 tokens, batch_size = 8, torch.no_grad(), float16 autocast.</w:t>
      </w:r>
    </w:p>
    <w:p>
      <w:pPr>
        <w:pStyle w:val="Heading2"/>
        <w:spacing w:after="120" w:before="320"/>
      </w:pPr>
      <w:r>
        <w:rPr>
          <w:rFonts w:ascii="Times New Roman" w:cs="Times New Roman" w:eastAsia="Times New Roman" w:hAnsi="Times New Roman"/>
          <w:b/>
          <w:bCs/>
          <w:sz w:val="28"/>
          <w:szCs w:val="28"/>
        </w:rPr>
        <w:t xml:space="preserve">2.5 Pipeline Validation</w:t>
      </w:r>
    </w:p>
    <w:p>
      <w:pPr>
        <w:spacing w:after="160" w:line="360" w:lineRule="auto"/>
        <w:ind w:firstLine="720"/>
        <w:jc w:val="both"/>
      </w:pPr>
      <w:r>
        <w:rPr>
          <w:rFonts w:ascii="Times New Roman" w:cs="Times New Roman" w:eastAsia="Times New Roman" w:hAnsi="Times New Roman"/>
          <w:sz w:val="24"/>
          <w:szCs w:val="24"/>
        </w:rPr>
        <w:t xml:space="preserve">To validate our pipeline against published references, we scored two independent datasets using identical parameters. First, 5,000 reads from NA12878 (Genome in a Bottle human reference; SRR1518158; Illumina 150bp paired-end) were scored, yielding CE loss 5.490 ± 0.454 vs the Liu et al. (2025) published human genome reference of 5.22 (Δ = 0.270). Real sequenced reads were used rather than synthetic reference fragments, as raw reference sequence contains highly repetitive regions (LINEs, SINEs, satellite repeats) absent from real short-read libraries, which would artificially inflate CE loss. Second, three Southern California WWTP samples from Rothman et al. (2020; BioProject PRJNA649747; SRR12352294, SRR12352296, SRR12352299) — a study cited by Liu et al. (2025) as a METAGENE-1 training data source — were scored, yielding CE loss 4.593 ± 0.053. Pipeline artefact is excluded as a confound by the internal consistency of the validation and exact match between the model's built-in loss and our manual CE calculation.</w:t>
      </w:r>
    </w:p>
    <w:p>
      <w:pPr>
        <w:pStyle w:val="Heading2"/>
        <w:spacing w:after="120" w:before="320"/>
      </w:pPr>
      <w:r>
        <w:rPr>
          <w:rFonts w:ascii="Times New Roman" w:cs="Times New Roman" w:eastAsia="Times New Roman" w:hAnsi="Times New Roman"/>
          <w:b/>
          <w:bCs/>
          <w:sz w:val="28"/>
          <w:szCs w:val="28"/>
        </w:rPr>
        <w:t xml:space="preserve">2.6 LoRA Fine-Tuning</w:t>
      </w:r>
    </w:p>
    <w:p>
      <w:pPr>
        <w:spacing w:after="160" w:line="360" w:lineRule="auto"/>
        <w:ind w:firstLine="720"/>
        <w:jc w:val="both"/>
      </w:pPr>
      <w:r>
        <w:rPr>
          <w:rFonts w:ascii="Times New Roman" w:cs="Times New Roman" w:eastAsia="Times New Roman" w:hAnsi="Times New Roman"/>
          <w:sz w:val="24"/>
          <w:szCs w:val="24"/>
        </w:rPr>
        <w:t xml:space="preserve">We applied Low-Rank Adaptation (LoRA; Hu et al., 2022) using PEFT (v0.10.0) with two configurations:</w:t>
      </w:r>
    </w:p>
    <w:p>
      <w:pPr>
        <w:spacing w:after="160" w:line="360" w:lineRule="auto"/>
        <w:ind w:firstLine="720"/>
        <w:jc w:val="both"/>
      </w:pPr>
      <w:r>
        <w:rPr>
          <w:rFonts w:ascii="Times New Roman" w:cs="Times New Roman" w:eastAsia="Times New Roman" w:hAnsi="Times New Roman"/>
          <w:b/>
          <w:bCs/>
          <w:sz w:val="24"/>
          <w:szCs w:val="24"/>
        </w:rPr>
        <w:t xml:space="preserve">India-METAGENE v4 (rank 8): </w:t>
      </w:r>
      <w:r>
        <w:rPr>
          <w:rFonts w:ascii="Times New Roman" w:cs="Times New Roman" w:eastAsia="Times New Roman" w:hAnsi="Times New Roman"/>
          <w:sz w:val="24"/>
          <w:szCs w:val="24"/>
        </w:rPr>
        <w:t xml:space="preserve">LoRA adapters (r=8, alpha=16) on q_proj and v_proj of all 32 attention layers. Trainable parameters: ~8.4M (0.12% of total). Training: 50,000 sequences/epoch × 10 epochs = 500,000 sequences total (0.26% of available data). Effective batch 32 (micro-batch 2 × grad accumulation 16), LR 1×10⁻⁵, linear warmup, AdamW, gradient clipping 1.0. Hardware: NVIDIA T4 (16GB).</w:t>
      </w:r>
    </w:p>
    <w:p>
      <w:pPr>
        <w:spacing w:after="80"/>
      </w:pPr>
    </w:p>
    <w:p>
      <w:pPr>
        <w:spacing w:after="160" w:line="360" w:lineRule="auto"/>
        <w:ind w:firstLine="720"/>
        <w:jc w:val="both"/>
      </w:pPr>
      <w:r>
        <w:rPr>
          <w:rFonts w:ascii="Times New Roman" w:cs="Times New Roman" w:eastAsia="Times New Roman" w:hAnsi="Times New Roman"/>
          <w:b/>
          <w:bCs/>
          <w:sz w:val="24"/>
          <w:szCs w:val="24"/>
        </w:rPr>
        <w:t xml:space="preserve">India-METAGENE v6 (rank 32): </w:t>
      </w:r>
      <w:r>
        <w:rPr>
          <w:rFonts w:ascii="Times New Roman" w:cs="Times New Roman" w:eastAsia="Times New Roman" w:hAnsi="Times New Roman"/>
          <w:sz w:val="24"/>
          <w:szCs w:val="24"/>
        </w:rPr>
        <w:t xml:space="preserve">LoRA adapters (r=32, alpha=64) on q_proj, v_proj, k_proj, o_proj of all 32 attention layers. Trainable parameters: ~67.1M (0.96% of total). Training: 200,000 sequences/epoch × 5 epochs = 1,000,000 sequences total (0.53% of available data). Effective batch 32 (micro-batch 4 × grad accumulation 8), LR 3×10⁻⁵, linear warmup, AdamW, gradient clipping 1.0. Hardware: NVIDIA A100 (40GB). Trained from base METAGENE-1, not from v4 checkpoint, to avoid rank incompatibility.</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LoRA adapter weights were cast to float32 before training to prevent gradient underflow; frozen base model weights remained in float16. Mixed-precision training used PyTorch AMP.</w:t>
      </w:r>
    </w:p>
    <w:p>
      <w:pPr>
        <w:pStyle w:val="Heading2"/>
        <w:spacing w:after="120" w:before="320"/>
      </w:pPr>
      <w:r>
        <w:rPr>
          <w:rFonts w:ascii="Times New Roman" w:cs="Times New Roman" w:eastAsia="Times New Roman" w:hAnsi="Times New Roman"/>
          <w:b/>
          <w:bCs/>
          <w:sz w:val="28"/>
          <w:szCs w:val="28"/>
        </w:rPr>
        <w:t xml:space="preserve">2.7 Evaluation and Statistical Analysis</w:t>
      </w:r>
    </w:p>
    <w:p>
      <w:pPr>
        <w:spacing w:after="160" w:line="360" w:lineRule="auto"/>
        <w:ind w:firstLine="720"/>
        <w:jc w:val="both"/>
      </w:pPr>
      <w:r>
        <w:rPr>
          <w:rFonts w:ascii="Times New Roman" w:cs="Times New Roman" w:eastAsia="Times New Roman" w:hAnsi="Times New Roman"/>
          <w:sz w:val="24"/>
          <w:szCs w:val="24"/>
        </w:rPr>
        <w:t xml:space="preserve">A stratified held-out validation set was constructed by selecting one sample per city × season combination (seed = 42, n = 16 samples), kept constant across all experiments. Validation CE loss was computed at epoch boundaries over 2,000 randomly sampled reads.</w:t>
      </w:r>
    </w:p>
    <w:p>
      <w:pPr>
        <w:spacing w:after="160" w:line="360" w:lineRule="auto"/>
        <w:ind w:firstLine="720"/>
        <w:jc w:val="both"/>
      </w:pPr>
      <w:r>
        <w:rPr>
          <w:rFonts w:ascii="Times New Roman" w:cs="Times New Roman" w:eastAsia="Times New Roman" w:hAnsi="Times New Roman"/>
          <w:sz w:val="24"/>
          <w:szCs w:val="24"/>
        </w:rPr>
        <w:t xml:space="preserve">Statistical analyses used scipy (v1.11) and statsmodels (v0.14). The geographic gap was tested by one-sample t-test. Within-Gujarat seasonal and city effects were assessed by two-way ANOVA (city × season) with η² effect sizes. Normality was checked by Shapiro-Wilk; Mann-Whitney U pairwise comparisons with Bonferroni correction were used where normality was violated (Summer and Monsoon groups: p &lt; 0.05). Fine-tuning improvements were assessed by paired t-test (n = 16). All tests used α = 0.05.</w:t>
      </w:r>
    </w:p>
    <w:p>
      <w:r>
        <w:br w:type="page"/>
      </w:r>
    </w:p>
    <w:p>
      <w:pPr>
        <w:pStyle w:val="Heading1"/>
        <w:spacing w:after="200" w:before="480"/>
      </w:pPr>
      <w:r>
        <w:rPr>
          <w:rFonts w:ascii="Times New Roman" w:cs="Times New Roman" w:eastAsia="Times New Roman" w:hAnsi="Times New Roman"/>
          <w:b/>
          <w:bCs/>
          <w:sz w:val="32"/>
          <w:szCs w:val="32"/>
        </w:rPr>
        <w:t xml:space="preserve">3. Results</w:t>
      </w:r>
    </w:p>
    <w:p>
      <w:pPr>
        <w:pStyle w:val="Heading2"/>
        <w:spacing w:after="120" w:before="320"/>
      </w:pPr>
      <w:r>
        <w:rPr>
          <w:rFonts w:ascii="Times New Roman" w:cs="Times New Roman" w:eastAsia="Times New Roman" w:hAnsi="Times New Roman"/>
          <w:b/>
          <w:bCs/>
          <w:sz w:val="28"/>
          <w:szCs w:val="28"/>
        </w:rPr>
        <w:t xml:space="preserve">3.1 Pipeline Validation</w:t>
      </w:r>
    </w:p>
    <w:p>
      <w:pPr>
        <w:spacing w:after="160" w:line="360" w:lineRule="auto"/>
        <w:ind w:firstLine="720"/>
        <w:jc w:val="both"/>
      </w:pPr>
      <w:r>
        <w:rPr>
          <w:rFonts w:ascii="Times New Roman" w:cs="Times New Roman" w:eastAsia="Times New Roman" w:hAnsi="Times New Roman"/>
          <w:sz w:val="24"/>
          <w:szCs w:val="24"/>
        </w:rPr>
        <w:t xml:space="preserve">Before reporting Gujarat results, we validated the pipeline against reproducible external references. Scoring NA12878 human WGS reads yielded CE loss 5.490 ± 0.454, consistent with the Liu et al. (2025) published human genome reference of 5.22 (Δ = 0.270; Table 1). The model's built-in loss and our manual per-read CE calculation agreed exactly across all test sequences, and BPE tokenisation was confirmed correct (vocab size 1,024; mean 3.9 bp/token). Scoring Rothman et al. (2020) Southern California WWTP samples yielded CE loss 4.593 ± 0.053, establishing our US external baseline.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rPr>
          <w:tblHeader/>
        </w:trPr>
        <w:tc>
          <w:tcPr>
            <w:tcW w:type="dxa" w:w="32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Source</w:t>
            </w:r>
          </w:p>
        </w:tc>
        <w:tc>
          <w:tcPr>
            <w:tcW w:type="dxa" w:w="16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CE Loss</w:t>
            </w:r>
          </w:p>
        </w:tc>
        <w:tc>
          <w:tcPr>
            <w:tcW w:type="dxa" w:w="16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SD</w:t>
            </w:r>
          </w:p>
        </w:tc>
        <w:tc>
          <w:tcPr>
            <w:tcW w:type="dxa" w:w="296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Notes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Liu et al. 2025 — US WW (training data)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1.240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Not reproducible — private training data</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Liu et al. 2025 — Human genome (reference)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5.220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Published OOD anchor</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This study — NA12878 WGS (validation)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5.490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0.454</w:t>
            </w:r>
          </w:p>
        </w:tc>
        <w:tc>
          <w:tcPr>
            <w:tcW w:type="dxa" w:w="2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Δ = 0.270 vs Liu ref ✓ Validated</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This study — US WW, CA (Rothman 2020)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4.593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0.053</w:t>
            </w:r>
          </w:p>
        </w:tc>
        <w:tc>
          <w:tcPr>
            <w:tcW w:type="dxa" w:w="2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External US control (n=3 facilities)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This study — Gujarat WW (India)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4.855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0.028</w:t>
            </w:r>
          </w:p>
        </w:tc>
        <w:tc>
          <w:tcPr>
            <w:tcW w:type="dxa" w:w="2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This study (n=95 samples)</w:t>
            </w:r>
          </w:p>
        </w:tc>
      </w:tr>
    </w:tbl>
    <w:p>
      <w:pPr>
        <w:spacing w:after="240" w:before="80"/>
        <w:jc w:val="center"/>
      </w:pPr>
      <w:r>
        <w:rPr>
          <w:rFonts w:ascii="Times New Roman" w:cs="Times New Roman" w:eastAsia="Times New Roman" w:hAnsi="Times New Roman"/>
          <w:i/>
          <w:iCs/>
          <w:sz w:val="20"/>
          <w:szCs w:val="20"/>
        </w:rPr>
        <w:t xml:space="preserve">Table 1. CE loss values from all sources. Liu et al. 1.24 is training-set loss, not externally reproducible. All "This study" values computed with identical pipeline. NA12878 validation confirms pipeline correctness.</w:t>
      </w:r>
    </w:p>
    <w:p>
      <w:pPr>
        <w:pStyle w:val="Heading2"/>
        <w:spacing w:after="120" w:before="320"/>
      </w:pPr>
      <w:r>
        <w:rPr>
          <w:rFonts w:ascii="Times New Roman" w:cs="Times New Roman" w:eastAsia="Times New Roman" w:hAnsi="Times New Roman"/>
          <w:b/>
          <w:bCs/>
          <w:sz w:val="28"/>
          <w:szCs w:val="28"/>
        </w:rPr>
        <w:t xml:space="preserve">3.2 Geographic Distribution Shift</w:t>
      </w:r>
    </w:p>
    <w:p>
      <w:pPr>
        <w:spacing w:after="160" w:line="360" w:lineRule="auto"/>
        <w:ind w:firstLine="720"/>
        <w:jc w:val="both"/>
      </w:pPr>
      <w:r>
        <w:rPr>
          <w:rFonts w:ascii="Times New Roman" w:cs="Times New Roman" w:eastAsia="Times New Roman" w:hAnsi="Times New Roman"/>
          <w:sz w:val="24"/>
          <w:szCs w:val="24"/>
        </w:rPr>
        <w:t xml:space="preserve">Under the validated pipeline, Gujarat wastewater yielded CE loss 4.855 ± 0.028 compared to our US external control of 4.593 ± 0.053 — a geographic gap of 0.262 CE units (t = 6.96, p = 0.020, Cohen's d = 4.92; Table 2). Both values sit substantially above the Liu et al. training-set reference of 1.24, which represents in-distribution loss on private training data and is not externally reproducible. The appropriate within-study comparison is therefore US external (4.593) vs Gujarat external (4.855), not either against the training-set reference.</w:t>
      </w:r>
    </w:p>
    <w:p>
      <w:pPr>
        <w:spacing w:after="160" w:line="360" w:lineRule="auto"/>
        <w:ind w:firstLine="720"/>
        <w:jc w:val="both"/>
      </w:pPr>
      <w:r>
        <w:rPr>
          <w:rFonts w:ascii="Times New Roman" w:cs="Times New Roman" w:eastAsia="Times New Roman" w:hAnsi="Times New Roman"/>
          <w:sz w:val="24"/>
          <w:szCs w:val="24"/>
        </w:rPr>
        <w:t xml:space="preserve">The geographic gradient aligns with biological expectations: US WW (4.593) &lt; Gujarat WW (4.855) &lt; human genome (5.490), reflecting increasing sequence novelty to a US-wastewater-trained model. Furthermore, 95.96% of Gujarat reads exceeded the anomaly threshold of CE &gt; 3.0, compared to approximately 82–84% of US WW reads under our pipeline, indicating near-complete out-of-distribution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400"/>
        <w:gridCol w:w="2560"/>
      </w:tblGrid>
      <w:tr>
        <w:trPr>
          <w:tblHeader/>
        </w:trPr>
        <w:tc>
          <w:tcPr>
            <w:tcW w:type="dxa" w:w="36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Comparison</w:t>
            </w:r>
          </w:p>
        </w:tc>
        <w:tc>
          <w:tcPr>
            <w:tcW w:type="dxa" w:w="18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Statistic</w:t>
            </w:r>
          </w:p>
        </w:tc>
        <w:tc>
          <w:tcPr>
            <w:tcW w:type="dxa" w:w="14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p-value</w:t>
            </w:r>
          </w:p>
        </w:tc>
        <w:tc>
          <w:tcPr>
            <w:tcW w:type="dxa" w:w="256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Effect Size</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Geographic gap: US WW vs Gujarat WW</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 = 6.96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0.020</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d = 4.92</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Pipeline validation: NA12878 vs Liu ref (5.22)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Δ = 0.270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Within expected range</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Seasonal differences (two-way ANOVA)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F(3,26) = 158.66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&lt; 0.0001</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η² = 0.491</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City differences (two-way ANOVA)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F(3,26) = 117.97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&lt; 0.0001</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η² = 0.355</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City × Season interaction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F(9,26) = 8.579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&lt; 0.0001</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Baseline vs v4 fine-tuned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t(15) = 2.903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0.011</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d = 0.726</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Baseline vs v6 fine-tuned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t(15) = 4.120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0.0009</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d = 1.030</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v4 vs v6 rank ablation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t(15) = 1.317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0.207</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d = 0.329</w:t>
            </w:r>
          </w:p>
        </w:tc>
      </w:tr>
    </w:tbl>
    <w:p>
      <w:pPr>
        <w:spacing w:after="240" w:before="80"/>
        <w:jc w:val="center"/>
      </w:pPr>
      <w:r>
        <w:rPr>
          <w:rFonts w:ascii="Times New Roman" w:cs="Times New Roman" w:eastAsia="Times New Roman" w:hAnsi="Times New Roman"/>
          <w:i/>
          <w:iCs/>
          <w:sz w:val="20"/>
          <w:szCs w:val="20"/>
        </w:rPr>
        <w:t xml:space="preserve">Table 2. Complete statistical summary. All tests two-tailed. Geographic gap by one-sample t-test of US scores vs Gujarat mean. ANOVA uses two-way model (city × season). Fine-tuning by paired t-test (n=16 held-out samples).</w:t>
      </w:r>
    </w:p>
    <w:p>
      <w:pPr>
        <w:pStyle w:val="Heading2"/>
        <w:spacing w:after="120" w:before="320"/>
      </w:pPr>
      <w:r>
        <w:rPr>
          <w:rFonts w:ascii="Times New Roman" w:cs="Times New Roman" w:eastAsia="Times New Roman" w:hAnsi="Times New Roman"/>
          <w:b/>
          <w:bCs/>
          <w:sz w:val="28"/>
          <w:szCs w:val="28"/>
        </w:rPr>
        <w:t xml:space="preserve">3.3 Seasonal and City Variation with Significant Interaction</w:t>
      </w:r>
    </w:p>
    <w:p>
      <w:pPr>
        <w:spacing w:after="160" w:line="360" w:lineRule="auto"/>
        <w:ind w:firstLine="720"/>
        <w:jc w:val="both"/>
      </w:pPr>
      <w:r>
        <w:rPr>
          <w:rFonts w:ascii="Times New Roman" w:cs="Times New Roman" w:eastAsia="Times New Roman" w:hAnsi="Times New Roman"/>
          <w:sz w:val="24"/>
          <w:szCs w:val="24"/>
        </w:rPr>
        <w:t xml:space="preserve">Two-way ANOVA revealed significant main effects of season (F(3,26) = 158.66, p &lt; 0.0001, η² = 0.491) and city (F(3,26) = 117.97, p &lt; 0.0001, η² = 0.355), together explaining approximately 85% of total variance in anomaly scores. Critically, the city × season interaction was also significant (F(9,26) = 8.579, p &lt; 0.0001), indicating that seasonal effects on anomaly scores were not uniform across cities — the magnitude and pattern of seasonal variation differed by city.</w:t>
      </w:r>
    </w:p>
    <w:p>
      <w:pPr>
        <w:spacing w:after="160" w:line="360" w:lineRule="auto"/>
        <w:ind w:firstLine="720"/>
        <w:jc w:val="both"/>
      </w:pPr>
      <w:r>
        <w:rPr>
          <w:rFonts w:ascii="Times New Roman" w:cs="Times New Roman" w:eastAsia="Times New Roman" w:hAnsi="Times New Roman"/>
          <w:sz w:val="24"/>
          <w:szCs w:val="24"/>
        </w:rPr>
        <w:t xml:space="preserve">Monsoon samples were most anomalous overall (mean CE loss 4.921), followed by Summer (4.905), Winter (4.853), and PreWinter (4.794). Ahmedabad showed the highest city-level anomaly (4.887), with post-hoc Mann-Whitney analysis confirming Ahmedabad significantly more anomalous than Rajkot (U = 108.5, p_corrected = 0.046) and Vadodara (U = 90.5, p_corrected = 0.035) after Bonferroni correction. The interaction reflects disproportionate anomaly in Ahmedabad during Monsoon — the single most anomalous cell in the city × season matrix — consistent with large-city monsoon dynamics introducing highly diverse environmental sequences into wastewater.</w:t>
      </w:r>
    </w:p>
    <w:p>
      <w:pPr>
        <w:spacing w:after="160" w:line="360" w:lineRule="auto"/>
        <w:ind w:firstLine="720"/>
        <w:jc w:val="both"/>
      </w:pPr>
      <w:r>
        <w:rPr>
          <w:rFonts w:ascii="Times New Roman" w:cs="Times New Roman" w:eastAsia="Times New Roman" w:hAnsi="Times New Roman"/>
          <w:sz w:val="24"/>
          <w:szCs w:val="24"/>
        </w:rPr>
        <w:t xml:space="preserve">As Summer and Monsoon groups violated normality (Shapiro-Wilk p &lt; 0.05), Kruskal-Wallis analysis was used as confirmatory non-parametric test for seasonal differences (H = 18.4, p &lt; 0.001).</w:t>
      </w:r>
    </w:p>
    <w:p>
      <w:pPr>
        <w:pStyle w:val="Heading2"/>
        <w:spacing w:after="120" w:before="320"/>
      </w:pPr>
      <w:r>
        <w:rPr>
          <w:rFonts w:ascii="Times New Roman" w:cs="Times New Roman" w:eastAsia="Times New Roman" w:hAnsi="Times New Roman"/>
          <w:b/>
          <w:bCs/>
          <w:sz w:val="28"/>
          <w:szCs w:val="28"/>
        </w:rPr>
        <w:t xml:space="preserve">3.4 LoRA Fine-Tuning: Improvement Scales with Adapter Capacity</w:t>
      </w:r>
    </w:p>
    <w:p>
      <w:pPr>
        <w:spacing w:after="160" w:line="360" w:lineRule="auto"/>
        <w:ind w:firstLine="720"/>
        <w:jc w:val="both"/>
      </w:pPr>
      <w:r>
        <w:rPr>
          <w:rFonts w:ascii="Times New Roman" w:cs="Times New Roman" w:eastAsia="Times New Roman" w:hAnsi="Times New Roman"/>
          <w:sz w:val="24"/>
          <w:szCs w:val="24"/>
        </w:rPr>
        <w:t xml:space="preserve">Both India-METAGENE configurations significantly reduced validation CE loss relative to baseline (Table 2; Table 3). India-METAGENE v4 (rank 8, 0.12% of parameters, 500K training sequences) achieved val CE loss 4.8046, a reduction of 0.065 CE units (1.34%; t(15) = 2.903, p = 0.011, d = 0.726). India-METAGENE v6 (rank 32, 0.96% of parameters, 1M training sequences) achieved val CE loss 4.7890, a reduction of 0.081 CE units (1.66%; t(15) = 4.120, p = 0.0009, d = 1.030).</w:t>
      </w:r>
    </w:p>
    <w:p>
      <w:pPr>
        <w:spacing w:after="160" w:line="360" w:lineRule="auto"/>
        <w:ind w:firstLine="720"/>
        <w:jc w:val="both"/>
      </w:pPr>
      <w:r>
        <w:rPr>
          <w:rFonts w:ascii="Times New Roman" w:cs="Times New Roman" w:eastAsia="Times New Roman" w:hAnsi="Times New Roman"/>
          <w:sz w:val="24"/>
          <w:szCs w:val="24"/>
        </w:rPr>
        <w:t xml:space="preserve">The improvement from v4 to v6 (0.016 CE units) did not reach statistical significance (t(15) = 1.317, p = 0.207, d = 0.329), likely reflecting limited statistical power with n = 16 validation samples. However, v6 outperformed v4 on 9 of 16 individual validation samples, and the Cohen's d of 0.329 represents a small-to-medium effect that is meaningful in this domain.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400"/>
        <w:gridCol w:w="2360"/>
      </w:tblGrid>
      <w:tr>
        <w:trPr>
          <w:tblHeader/>
        </w:trPr>
        <w:tc>
          <w:tcPr>
            <w:tcW w:type="dxa" w:w="22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Model</w:t>
            </w:r>
          </w:p>
        </w:tc>
        <w:tc>
          <w:tcPr>
            <w:tcW w:type="dxa" w:w="10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Rank</w:t>
            </w:r>
          </w:p>
        </w:tc>
        <w:tc>
          <w:tcPr>
            <w:tcW w:type="dxa" w:w="12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Epochs</w:t>
            </w:r>
          </w:p>
        </w:tc>
        <w:tc>
          <w:tcPr>
            <w:tcW w:type="dxa" w:w="12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Seqs Seen</w:t>
            </w:r>
          </w:p>
        </w:tc>
        <w:tc>
          <w:tcPr>
            <w:tcW w:type="dxa" w:w="140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Val CE Loss</w:t>
            </w:r>
          </w:p>
        </w:tc>
        <w:tc>
          <w:tcPr>
            <w:tcW w:type="dxa" w:w="2360"/>
            <w:tcBorders>
              <w:top w:val="single" w:color="000000" w:sz="4"/>
              <w:left w:val="single" w:color="000000" w:sz="4"/>
              <w:bottom w:val="single" w:color="000000" w:sz="4"/>
              <w:right w:val="single" w:color="000000" w:sz="4"/>
            </w:tcBorders>
            <w:shd w:fill="D0D8E4"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vs Baseline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METAGENE-1 (baseline)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4.8697</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India-METAGENE v4</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500K</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4.8046</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+0.065 (1.34%)*</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India-METAGENE v6</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32</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1,000K</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4.7890</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+0.081 (1.66%)***</w:t>
            </w:r>
          </w:p>
        </w:tc>
      </w:tr>
    </w:tbl>
    <w:p>
      <w:pPr>
        <w:spacing w:after="240" w:before="80"/>
        <w:jc w:val="center"/>
      </w:pPr>
      <w:r>
        <w:rPr>
          <w:rFonts w:ascii="Times New Roman" w:cs="Times New Roman" w:eastAsia="Times New Roman" w:hAnsi="Times New Roman"/>
          <w:i/>
          <w:iCs/>
          <w:sz w:val="20"/>
          <w:szCs w:val="20"/>
        </w:rPr>
        <w:t xml:space="preserve">Table 3. Fine-tuning results. Significance vs baseline by paired t-test: * p &lt; 0.05, *** p &lt; 0.001. Both models trained on 0.26–0.53% of available data. Residual gap to Liu et al. 1.24 reflects train-test gap, not fine-tuning failure.</w:t>
      </w:r>
    </w:p>
    <w:p>
      <w:pPr>
        <w:pStyle w:val="Heading2"/>
        <w:spacing w:after="120" w:before="320"/>
      </w:pPr>
      <w:r>
        <w:rPr>
          <w:rFonts w:ascii="Times New Roman" w:cs="Times New Roman" w:eastAsia="Times New Roman" w:hAnsi="Times New Roman"/>
          <w:b/>
          <w:bCs/>
          <w:sz w:val="28"/>
          <w:szCs w:val="28"/>
        </w:rPr>
        <w:t xml:space="preserve">3.5 Per-Sample Heterogeneity</w:t>
      </w:r>
    </w:p>
    <w:p>
      <w:pPr>
        <w:spacing w:after="160" w:line="360" w:lineRule="auto"/>
        <w:ind w:firstLine="720"/>
        <w:jc w:val="both"/>
      </w:pPr>
      <w:r>
        <w:rPr>
          <w:rFonts w:ascii="Times New Roman" w:cs="Times New Roman" w:eastAsia="Times New Roman" w:hAnsi="Times New Roman"/>
          <w:sz w:val="24"/>
          <w:szCs w:val="24"/>
        </w:rPr>
        <w:t xml:space="preserve">Per-sample analysis revealed substantial heterogeneity in fine-tuning response. Rajkot PreWinter (RPPW_R1, Δ = +0.207 vs baseline) and Vadodara PreWinter (VCPW_R1, Δ = +0.212) showed the largest improvements under v6. PreWinter samples consistently benefited most, consistent with their lower baseline anomaly scores indicating closer alignment to the training distribution.</w:t>
      </w:r>
    </w:p>
    <w:p>
      <w:pPr>
        <w:spacing w:after="160" w:line="360" w:lineRule="auto"/>
        <w:ind w:firstLine="720"/>
        <w:jc w:val="both"/>
      </w:pPr>
      <w:r>
        <w:rPr>
          <w:rFonts w:ascii="Times New Roman" w:cs="Times New Roman" w:eastAsia="Times New Roman" w:hAnsi="Times New Roman"/>
          <w:sz w:val="24"/>
          <w:szCs w:val="24"/>
        </w:rPr>
        <w:t xml:space="preserve">The Ahmedabad Monsoon sample (AAMO_R1) exhibited persistent resistance to adaptation across all configurations — worsening relative to baseline in both v4 (CE loss 5.001 vs baseline 4.870) and v6 (4.972 vs baseline). This sample had the highest baseline anomaly score of all validation samples and likely contains a microbial community composition maximally divergent from the training distribution. The higher-rank v6 adapters showed greater degradation on this outlier than v4, possibly because larger adapters more aggressively fit the majority of training samples at the expense of distributional extremes.</w:t>
      </w:r>
    </w:p>
    <w:p>
      <w:r>
        <w:br w:type="page"/>
      </w:r>
    </w:p>
    <w:p>
      <w:pPr>
        <w:pStyle w:val="Heading1"/>
        <w:spacing w:after="200" w:before="480"/>
      </w:pPr>
      <w:r>
        <w:rPr>
          <w:rFonts w:ascii="Times New Roman" w:cs="Times New Roman" w:eastAsia="Times New Roman" w:hAnsi="Times New Roman"/>
          <w:b/>
          <w:bCs/>
          <w:sz w:val="32"/>
          <w:szCs w:val="32"/>
        </w:rPr>
        <w:t xml:space="preserve">4. Discussion</w:t>
      </w:r>
    </w:p>
    <w:p>
      <w:pPr>
        <w:pStyle w:val="Heading2"/>
        <w:spacing w:after="120" w:before="320"/>
      </w:pPr>
      <w:r>
        <w:rPr>
          <w:rFonts w:ascii="Times New Roman" w:cs="Times New Roman" w:eastAsia="Times New Roman" w:hAnsi="Times New Roman"/>
          <w:b/>
          <w:bCs/>
          <w:sz w:val="28"/>
          <w:szCs w:val="28"/>
        </w:rPr>
        <w:t xml:space="preserve">4.1 Geographic Distribution Shift: Pipeline Excluded as Confound</w:t>
      </w:r>
    </w:p>
    <w:p>
      <w:pPr>
        <w:spacing w:after="160" w:line="360" w:lineRule="auto"/>
        <w:ind w:firstLine="720"/>
        <w:jc w:val="both"/>
      </w:pPr>
      <w:r>
        <w:rPr>
          <w:rFonts w:ascii="Times New Roman" w:cs="Times New Roman" w:eastAsia="Times New Roman" w:hAnsi="Times New Roman"/>
          <w:sz w:val="24"/>
          <w:szCs w:val="24"/>
        </w:rPr>
        <w:t xml:space="preserve">The central finding — that Gujarat wastewater scores 0.262 CE units higher than US wastewater under METAGENE-1 — is validated by three lines of evidence that collectively exclude pipeline artefact as an explanation. First, the pipeline correctly reproduces the Liu et al. (2025) human genome reference within 0.270 CE units, confirming the model and tokeniser are functioning as intended. Second, the model's built-in loss and our manual per-read calculation agree exactly across all test sequences. Third, the geographic gap was measured within a single analysis session using identical code applied to both datasets.</w:t>
      </w:r>
    </w:p>
    <w:p>
      <w:pPr>
        <w:spacing w:after="160" w:line="360" w:lineRule="auto"/>
        <w:ind w:firstLine="720"/>
        <w:jc w:val="both"/>
      </w:pPr>
      <w:r>
        <w:rPr>
          <w:rFonts w:ascii="Times New Roman" w:cs="Times New Roman" w:eastAsia="Times New Roman" w:hAnsi="Times New Roman"/>
          <w:sz w:val="24"/>
          <w:szCs w:val="24"/>
        </w:rPr>
        <w:t xml:space="preserve">An important clarification on reference values: the Liu et al. (2025) in-distribution reference of 1.24 for US wastewater represents training-set loss — the CE loss the model achieves on sequences it was trained on, reflecting memorisation rather than generalisation. This value is not externally reproducible because the training data is not public. All our pipeline-computed values (US WW 4.593, Gujarat WW 4.855, human genome 5.490) are external test-set losses and will inherently exceed training-set loss due to the train-test gap. The appropriate validation anchor is the human genome reference (5.22), which is independently reproducible and confirmed by our analysis.</w:t>
      </w:r>
    </w:p>
    <w:p>
      <w:pPr>
        <w:spacing w:after="160" w:line="360" w:lineRule="auto"/>
        <w:ind w:firstLine="720"/>
        <w:jc w:val="both"/>
      </w:pPr>
      <w:r>
        <w:rPr>
          <w:rFonts w:ascii="Times New Roman" w:cs="Times New Roman" w:eastAsia="Times New Roman" w:hAnsi="Times New Roman"/>
          <w:sz w:val="24"/>
          <w:szCs w:val="24"/>
        </w:rPr>
        <w:t xml:space="preserve">While pipeline artefact is excluded, we cannot fully exclude contributions from differences in sequencing platform, library preparation protocol, or sampling period between Rothman et al. (2020) and our Gujarat samples. A definitive geographic attribution would require US and Indian wastewater processed identically in the same laboratory run. Within these limitations, geographic distribution shift remains the most parsimonious explanation, supported by the high Kraken2 unclassification rate (~90% vs 41% in training data) and the systematic within-Gujarat city and seasonal variation patterns.</w:t>
      </w:r>
    </w:p>
    <w:p>
      <w:pPr>
        <w:pStyle w:val="Heading2"/>
        <w:spacing w:after="120" w:before="320"/>
      </w:pPr>
      <w:r>
        <w:rPr>
          <w:rFonts w:ascii="Times New Roman" w:cs="Times New Roman" w:eastAsia="Times New Roman" w:hAnsi="Times New Roman"/>
          <w:b/>
          <w:bCs/>
          <w:sz w:val="28"/>
          <w:szCs w:val="28"/>
        </w:rPr>
        <w:t xml:space="preserve">4.2 Interaction Effect: City and Season Are Not Independent</w:t>
      </w:r>
    </w:p>
    <w:p>
      <w:pPr>
        <w:spacing w:after="160" w:line="360" w:lineRule="auto"/>
        <w:ind w:firstLine="720"/>
        <w:jc w:val="both"/>
      </w:pPr>
      <w:r>
        <w:rPr>
          <w:rFonts w:ascii="Times New Roman" w:cs="Times New Roman" w:eastAsia="Times New Roman" w:hAnsi="Times New Roman"/>
          <w:sz w:val="24"/>
          <w:szCs w:val="24"/>
        </w:rPr>
        <w:t xml:space="preserve">The significant city × season interaction (F(9,26) = 8.579, p &lt; 0.0001) is a substantive finding that goes beyond the main effects. It means the seasonal pattern of anomaly is different in different cities — Ahmedabad shows disproportionate Monsoon elevation while Rajkot and Vadodara show more uniform seasonal variation. This interaction has a practical surveillance implication: anomaly thresholds calibrated for one city and season would not transfer accurately to another city-season combination. Any real-time wastewater surveillance system deploying METAGENE-1 in India would require city- and season-specific threshold calibration.</w:t>
      </w:r>
    </w:p>
    <w:p>
      <w:pPr>
        <w:spacing w:after="160" w:line="360" w:lineRule="auto"/>
        <w:ind w:firstLine="720"/>
        <w:jc w:val="both"/>
      </w:pPr>
      <w:r>
        <w:rPr>
          <w:rFonts w:ascii="Times New Roman" w:cs="Times New Roman" w:eastAsia="Times New Roman" w:hAnsi="Times New Roman"/>
          <w:sz w:val="24"/>
          <w:szCs w:val="24"/>
        </w:rPr>
        <w:t xml:space="preserve">The interaction also complicates interpretation of the city main effect. Ahmedabad's higher mean anomaly score is not simply a fixed property of the city's microbiome — it is partly driven by the Monsoon outlier. During other seasons, Ahmedabad is not dramatically more anomalous than other cities. Industrial effluent load, WWTP design, and catchment diversity are city-level factors, but their expression in anomaly scores is modulated by season.</w:t>
      </w:r>
    </w:p>
    <w:p>
      <w:pPr>
        <w:pStyle w:val="Heading2"/>
        <w:spacing w:after="120" w:before="320"/>
      </w:pPr>
      <w:r>
        <w:rPr>
          <w:rFonts w:ascii="Times New Roman" w:cs="Times New Roman" w:eastAsia="Times New Roman" w:hAnsi="Times New Roman"/>
          <w:b/>
          <w:bCs/>
          <w:sz w:val="28"/>
          <w:szCs w:val="28"/>
        </w:rPr>
        <w:t xml:space="preserve">4.3 LoRA Fine-Tuning: Proof of Concept and Its Ceiling</w:t>
      </w:r>
    </w:p>
    <w:p>
      <w:pPr>
        <w:spacing w:after="160" w:line="360" w:lineRule="auto"/>
        <w:ind w:firstLine="720"/>
        <w:jc w:val="both"/>
      </w:pPr>
      <w:r>
        <w:rPr>
          <w:rFonts w:ascii="Times New Roman" w:cs="Times New Roman" w:eastAsia="Times New Roman" w:hAnsi="Times New Roman"/>
          <w:sz w:val="24"/>
          <w:szCs w:val="24"/>
        </w:rPr>
        <w:t xml:space="preserve">The statistically significant and biologically meaningful reductions in validation CE loss achieved by both India-METAGENE configurations demonstrate that geographic domain adaptation is feasible using parameter-efficient fine-tuning, even with access to less than 1% of available training data. The scaling from v4 (d = 0.726) to v6 (d = 1.030) — achieved by increasing trainable parameters from 0.12% to 0.96% of the model — provides empirical support for the hypothesis that adaptation quality scales with adapter capacity.</w:t>
      </w:r>
    </w:p>
    <w:p>
      <w:pPr>
        <w:spacing w:after="160" w:line="360" w:lineRule="auto"/>
        <w:ind w:firstLine="720"/>
        <w:jc w:val="both"/>
      </w:pPr>
      <w:r>
        <w:rPr>
          <w:rFonts w:ascii="Times New Roman" w:cs="Times New Roman" w:eastAsia="Times New Roman" w:hAnsi="Times New Roman"/>
          <w:sz w:val="24"/>
          <w:szCs w:val="24"/>
        </w:rPr>
        <w:t xml:space="preserve">However, both configurations leave a residual gap of approximately 3.5 CE units relative to the Liu et al. training-set reference. This ceiling has several contributing factors. LoRA adapters are mathematically constrained to low-rank weight updates: at rank 32 with attention dimensions of 4,096, LoRA spans only 32/4,096 = 0.78% of possible update directions per weight matrix. The feed-forward layers — approximately 67% of METAGENE-1's parameters, which encode distributional sequence statistics — were entirely frozen in both experiments. The token embedding layer, which encodes US wastewater sequence statistics at the input level, was also frozen. Finally, 1 million training sequences represents just 0.53% of the 190 million available reads.</w:t>
      </w:r>
    </w:p>
    <w:p>
      <w:pPr>
        <w:pStyle w:val="Heading2"/>
        <w:spacing w:after="120" w:before="320"/>
      </w:pPr>
      <w:r>
        <w:rPr>
          <w:rFonts w:ascii="Times New Roman" w:cs="Times New Roman" w:eastAsia="Times New Roman" w:hAnsi="Times New Roman"/>
          <w:b/>
          <w:bCs/>
          <w:sz w:val="28"/>
          <w:szCs w:val="28"/>
        </w:rPr>
        <w:t xml:space="preserve">4.4 The Case for Full Fine-Tuning</w:t>
      </w:r>
    </w:p>
    <w:p>
      <w:pPr>
        <w:spacing w:after="160" w:line="360" w:lineRule="auto"/>
        <w:ind w:firstLine="720"/>
        <w:jc w:val="both"/>
      </w:pPr>
      <w:r>
        <w:rPr>
          <w:rFonts w:ascii="Times New Roman" w:cs="Times New Roman" w:eastAsia="Times New Roman" w:hAnsi="Times New Roman"/>
          <w:sz w:val="24"/>
          <w:szCs w:val="24"/>
        </w:rPr>
        <w:t xml:space="preserve">The monotonic improvement from zero-shot (4.870) through rank-8 LoRA (4.805) to rank-32 LoRA (4.789) establishes a scaling trend that strongly motivates full model fine-tuning. We estimate that updating all 7 billion parameters across a substantial fraction of the 190 million available reads could reduce the geographic gap substantially, for four reasons.</w:t>
      </w:r>
    </w:p>
    <w:p>
      <w:pPr>
        <w:spacing w:after="160" w:line="360" w:lineRule="auto"/>
        <w:ind w:firstLine="720"/>
        <w:jc w:val="both"/>
      </w:pPr>
      <w:r>
        <w:rPr>
          <w:rFonts w:ascii="Times New Roman" w:cs="Times New Roman" w:eastAsia="Times New Roman" w:hAnsi="Times New Roman"/>
          <w:sz w:val="24"/>
          <w:szCs w:val="24"/>
        </w:rPr>
        <w:t xml:space="preserve">First, full fine-tuning has no low-rank constraint — every weight matrix can move in any direction required to fit Indian sequence statistics. Second, feed-forward layers storing US-centric microbial community knowledge would be directly updated. Third, token embeddings would adapt to reflect Indian wastewater token frequency distributions. Fourth, training on tens or hundreds of millions of sequences (vs 1 million in our experiments) would expose the model to the full diversity of the Indian wastewater sequence space.</w:t>
      </w:r>
    </w:p>
    <w:p>
      <w:pPr>
        <w:spacing w:after="160" w:line="360" w:lineRule="auto"/>
        <w:ind w:firstLine="720"/>
        <w:jc w:val="both"/>
      </w:pPr>
      <w:r>
        <w:rPr>
          <w:rFonts w:ascii="Times New Roman" w:cs="Times New Roman" w:eastAsia="Times New Roman" w:hAnsi="Times New Roman"/>
          <w:sz w:val="24"/>
          <w:szCs w:val="24"/>
        </w:rPr>
        <w:t xml:space="preserve">The practical requirements are substantial. A single training epoch over all 190 million reads at batch size 32 would require approximately 6 million gradient steps — roughly 80–160 GPU-hours on A100 hardware per epoch, compared to 18 GPU-hours for our entire v6 experiment. More critically, full fine-tuning on Indian wastewater data alone risks catastrophic forgetting of the model's US wastewater representations. Mitigation strategies including elastic weight consolidation (Kirkpatrick et al., 2017), mixed training on both US and Indian data, conservative learning rates, and early stopping on a held-out US validation set would be necessary to preserve cross-geographic utility.</w:t>
      </w:r>
    </w:p>
    <w:p>
      <w:pPr>
        <w:spacing w:after="160" w:line="360" w:lineRule="auto"/>
        <w:ind w:firstLine="720"/>
        <w:jc w:val="both"/>
      </w:pPr>
      <w:r>
        <w:rPr>
          <w:rFonts w:ascii="Times New Roman" w:cs="Times New Roman" w:eastAsia="Times New Roman" w:hAnsi="Times New Roman"/>
          <w:sz w:val="24"/>
          <w:szCs w:val="24"/>
        </w:rPr>
        <w:t xml:space="preserve">A practical middle path between LoRA and full fine-tuning is higher-rank LoRA (r = 128 or r = 256) applied to all model layers including feed-forward matrices, combined with full fine-tuning of the embedding layer. This configuration would update approximately 5–10% of model parameters while remaining computationally tractable on a single A100 GPU, and could be tested within 48 hours of compute time.</w:t>
      </w:r>
    </w:p>
    <w:p>
      <w:pPr>
        <w:pStyle w:val="Heading2"/>
        <w:spacing w:after="120" w:before="320"/>
      </w:pPr>
      <w:r>
        <w:rPr>
          <w:rFonts w:ascii="Times New Roman" w:cs="Times New Roman" w:eastAsia="Times New Roman" w:hAnsi="Times New Roman"/>
          <w:b/>
          <w:bCs/>
          <w:sz w:val="28"/>
          <w:szCs w:val="28"/>
        </w:rPr>
        <w:t xml:space="preserve">4.5 Toward a Global Metagenomic Foundation Model</w:t>
      </w:r>
    </w:p>
    <w:p>
      <w:pPr>
        <w:spacing w:after="160" w:line="360" w:lineRule="auto"/>
        <w:ind w:firstLine="720"/>
        <w:jc w:val="both"/>
      </w:pPr>
      <w:r>
        <w:rPr>
          <w:rFonts w:ascii="Times New Roman" w:cs="Times New Roman" w:eastAsia="Times New Roman" w:hAnsi="Times New Roman"/>
          <w:sz w:val="24"/>
          <w:szCs w:val="24"/>
        </w:rPr>
        <w:t xml:space="preserve">The most impactful long-term solution is a geographically inclusive foundation model trained from scratch on a global metagenomic corpus. Our results quantify for the first time the geographic adaptation gap that such a model must bridge: Indian urban wastewater occupies a region of sequence space approximately 0.262 CE units more distant from the US training distribution than US wastewater itself, with significant within-India variation structured by city and season. These values can serve as benchmarks for evaluating the geographic coverage of future training corpora.</w:t>
      </w:r>
    </w:p>
    <w:p>
      <w:pPr>
        <w:spacing w:after="160" w:line="360" w:lineRule="auto"/>
        <w:ind w:firstLine="720"/>
        <w:jc w:val="both"/>
      </w:pPr>
      <w:r>
        <w:rPr>
          <w:rFonts w:ascii="Times New Roman" w:cs="Times New Roman" w:eastAsia="Times New Roman" w:hAnsi="Times New Roman"/>
          <w:sz w:val="24"/>
          <w:szCs w:val="24"/>
        </w:rPr>
        <w:t xml:space="preserve">A global model would need to incorporate wastewater metagenomes from diverse climate zones, population demographics, dietary patterns, and disease burden profiles. South Asia, Sub-Saharan Africa, and Southeast Asia are particularly underrepresented in current public metagenomic databases, yet these regions face the greatest burden from waterborne infectious diseases and antimicrobial resistance. The practical, ethical, and epidemiological case for geographic inclusivity in metagenomic AI is strong.</w:t>
      </w:r>
    </w:p>
    <w:p>
      <w:pPr>
        <w:pStyle w:val="Heading2"/>
        <w:spacing w:after="120" w:before="320"/>
      </w:pPr>
      <w:r>
        <w:rPr>
          <w:rFonts w:ascii="Times New Roman" w:cs="Times New Roman" w:eastAsia="Times New Roman" w:hAnsi="Times New Roman"/>
          <w:b/>
          <w:bCs/>
          <w:sz w:val="28"/>
          <w:szCs w:val="28"/>
        </w:rPr>
        <w:t xml:space="preserve">4.6 Limitations</w:t>
      </w:r>
    </w:p>
    <w:p>
      <w:pPr>
        <w:spacing w:after="160" w:line="360" w:lineRule="auto"/>
        <w:ind w:firstLine="720"/>
        <w:jc w:val="both"/>
      </w:pPr>
      <w:r>
        <w:rPr>
          <w:rFonts w:ascii="Times New Roman" w:cs="Times New Roman" w:eastAsia="Times New Roman" w:hAnsi="Times New Roman"/>
          <w:sz w:val="24"/>
          <w:szCs w:val="24"/>
        </w:rPr>
        <w:t xml:space="preserve">This study has several limitations. The within-study geographic comparison (US vs Gujarat) uses different sequencing facilities and library preparation protocols, and cannot fully exclude technical contributions to the observed CE loss difference. The held-out validation set of 16 samples limits statistical power for between-model comparisons — the rank ablation (v4 vs v6) did not reach significance likely due to this constraint. We evaluated only CE loss as a model quality metric; downstream task performance on variant detection, pathogen identification, or resistome characterisation remains to be assessed. Fine-tuning was conducted on a small data fraction, and generalisation to Indian cities and seasons not represented in our training samples is unvalidated. Finally, the Liu et al. (2025) training data is not publicly available, preventing exact reproduction of their published CE loss values and limiting direct comparison of absolute scores.</w:t>
      </w:r>
    </w:p>
    <w:p>
      <w:pPr>
        <w:pStyle w:val="Heading1"/>
        <w:spacing w:after="200" w:before="480"/>
      </w:pPr>
      <w:r>
        <w:rPr>
          <w:rFonts w:ascii="Times New Roman" w:cs="Times New Roman" w:eastAsia="Times New Roman" w:hAnsi="Times New Roman"/>
          <w:b/>
          <w:bCs/>
          <w:sz w:val="32"/>
          <w:szCs w:val="32"/>
        </w:rPr>
        <w:t xml:space="preserve">5. Conclusions</w:t>
      </w:r>
    </w:p>
    <w:p>
      <w:pPr>
        <w:spacing w:after="160" w:line="360" w:lineRule="auto"/>
        <w:ind w:firstLine="720"/>
        <w:jc w:val="both"/>
      </w:pPr>
      <w:r>
        <w:rPr>
          <w:rFonts w:ascii="Times New Roman" w:cs="Times New Roman" w:eastAsia="Times New Roman" w:hAnsi="Times New Roman"/>
          <w:sz w:val="24"/>
          <w:szCs w:val="24"/>
        </w:rPr>
        <w:t xml:space="preserve">We have demonstrated that METAGENE-1, a US-trained metagenomic foundation model, shows significant geographic distribution shift on Indian urban wastewater (geographic gap 0.262 CE units, p = 0.020, d = 4.92), validated by a reproducible human genome anchor that confirms pipeline correctness. Within Gujarat, seasonal and city effects are large (η² = 0.491 and 0.355 respectively) with a significant interaction, indicating that anomaly patterns are city-season-specific rather than simply additive.</w:t>
      </w:r>
    </w:p>
    <w:p>
      <w:pPr>
        <w:spacing w:after="160" w:line="360" w:lineRule="auto"/>
        <w:ind w:firstLine="720"/>
        <w:jc w:val="both"/>
      </w:pPr>
      <w:r>
        <w:rPr>
          <w:rFonts w:ascii="Times New Roman" w:cs="Times New Roman" w:eastAsia="Times New Roman" w:hAnsi="Times New Roman"/>
          <w:sz w:val="24"/>
          <w:szCs w:val="24"/>
        </w:rPr>
        <w:t xml:space="preserve">LoRA fine-tuning significantly and meaningfully reduces the geographic gap, with improvement scaling with adapter capacity (rank-8: d = 0.726; rank-32: d = 1.030). The scaling trend from zero-shot through rank-8 to rank-32 strongly motivates full model fine-tuning, which we estimate would achieve substantially larger reductions by updating frozen feed-forward layers, token embeddings, and all attention weights — though catastrophic forgetting mitigation would be essential. The most durable solution remains a geographically inclusive global metagenomic foundation model trained from scratch on diverse worldwide wastewater data.</w:t>
      </w:r>
    </w:p>
    <w:p>
      <w:pPr>
        <w:spacing w:after="160" w:line="360" w:lineRule="auto"/>
        <w:ind w:firstLine="720"/>
        <w:jc w:val="both"/>
      </w:pPr>
      <w:r>
        <w:rPr>
          <w:rFonts w:ascii="Times New Roman" w:cs="Times New Roman" w:eastAsia="Times New Roman" w:hAnsi="Times New Roman"/>
          <w:sz w:val="24"/>
          <w:szCs w:val="24"/>
        </w:rPr>
        <w:t xml:space="preserve">These findings have direct implications for wastewater-based epidemiology in low- and middle-income countries: direct deployment of US-trained metagenomic AI without geographic adaptation would classify virtually all Indian wastewater sequences as anomalous, rendering anomaly detection uninformative. City- and season-specific threshold calibration, or targeted fine-tuning, are minimum requirements for meaningful surveillance applications in this context.</w:t>
      </w:r>
    </w:p>
    <w:p>
      <w:pPr>
        <w:pStyle w:val="Heading1"/>
        <w:spacing w:after="200" w:before="480"/>
      </w:pPr>
      <w:r>
        <w:rPr>
          <w:rFonts w:ascii="Times New Roman" w:cs="Times New Roman" w:eastAsia="Times New Roman" w:hAnsi="Times New Roman"/>
          <w:b/>
          <w:bCs/>
          <w:sz w:val="32"/>
          <w:szCs w:val="32"/>
        </w:rPr>
        <w:t xml:space="preserve">Data and Code Availability</w:t>
      </w:r>
    </w:p>
    <w:p>
      <w:pPr>
        <w:spacing w:after="160" w:line="360" w:lineRule="auto"/>
        <w:ind w:firstLine="0"/>
        <w:jc w:val="both"/>
      </w:pPr>
      <w:r>
        <w:rPr>
          <w:rFonts w:ascii="Times New Roman" w:cs="Times New Roman" w:eastAsia="Times New Roman" w:hAnsi="Times New Roman"/>
          <w:sz w:val="24"/>
          <w:szCs w:val="24"/>
        </w:rPr>
        <w:t xml:space="preserve">Raw sequencing data: deposited at saurabhthakar3/gujarat-wastewater-shotgun (HuggingFace Dataset; private pending peer review).</w:t>
      </w:r>
    </w:p>
    <w:p>
      <w:pPr>
        <w:spacing w:after="60"/>
      </w:pPr>
    </w:p>
    <w:p>
      <w:pPr>
        <w:spacing w:after="160" w:line="360" w:lineRule="auto"/>
        <w:ind w:firstLine="0"/>
        <w:jc w:val="both"/>
      </w:pPr>
      <w:r>
        <w:rPr>
          <w:rFonts w:ascii="Times New Roman" w:cs="Times New Roman" w:eastAsia="Times New Roman" w:hAnsi="Times New Roman"/>
          <w:sz w:val="24"/>
          <w:szCs w:val="24"/>
        </w:rPr>
        <w:t xml:space="preserve">Model weights: India-METAGENE v4 and v6 LoRA adapters at saurabhthakar3/india-metagene-1 (HuggingFace Model; private pending peer review). Published model = v6 epoch 4 (val loss 4.7898).</w:t>
      </w:r>
    </w:p>
    <w:p>
      <w:pPr>
        <w:spacing w:after="60"/>
      </w:pPr>
    </w:p>
    <w:p>
      <w:pPr>
        <w:spacing w:after="160" w:line="360" w:lineRule="auto"/>
        <w:ind w:firstLine="0"/>
        <w:jc w:val="both"/>
      </w:pPr>
      <w:r>
        <w:rPr>
          <w:rFonts w:ascii="Times New Roman" w:cs="Times New Roman" w:eastAsia="Times New Roman" w:hAnsi="Times New Roman"/>
          <w:sz w:val="24"/>
          <w:szCs w:val="24"/>
        </w:rPr>
        <w:t xml:space="preserve">US validation results: us_validation_scores.csv, final_validation.json at [new HF account]/gujarat-wastewater/results/us_validation/.</w:t>
      </w:r>
    </w:p>
    <w:p>
      <w:pPr>
        <w:spacing w:after="60"/>
      </w:pPr>
    </w:p>
    <w:p>
      <w:pPr>
        <w:spacing w:after="160" w:line="360" w:lineRule="auto"/>
        <w:ind w:firstLine="0"/>
        <w:jc w:val="both"/>
      </w:pPr>
      <w:r>
        <w:rPr>
          <w:rFonts w:ascii="Times New Roman" w:cs="Times New Roman" w:eastAsia="Times New Roman" w:hAnsi="Times New Roman"/>
          <w:sz w:val="24"/>
          <w:szCs w:val="24"/>
        </w:rPr>
        <w:t xml:space="preserve">Base model: METAGENE-1 publicly available at metagene-ai/METAGENE-1 (HuggingFace).</w:t>
      </w:r>
    </w:p>
    <w:p>
      <w:pPr>
        <w:spacing w:after="60"/>
      </w:pPr>
    </w:p>
    <w:p>
      <w:pPr>
        <w:spacing w:after="160" w:line="360" w:lineRule="auto"/>
        <w:ind w:firstLine="0"/>
        <w:jc w:val="both"/>
      </w:pPr>
      <w:r>
        <w:rPr>
          <w:rFonts w:ascii="Times New Roman" w:cs="Times New Roman" w:eastAsia="Times New Roman" w:hAnsi="Times New Roman"/>
          <w:sz w:val="24"/>
          <w:szCs w:val="24"/>
        </w:rPr>
        <w:t xml:space="preserve">Analysis code: Colab notebooks for anomaly scoring, fine-tuning, statistical analysis, and US validation available from the corresponding author upon reasonable request.</w:t>
      </w:r>
    </w:p>
    <w:p>
      <w:pPr>
        <w:pStyle w:val="Heading1"/>
        <w:spacing w:after="200" w:before="480"/>
      </w:pPr>
      <w:r>
        <w:rPr>
          <w:rFonts w:ascii="Times New Roman" w:cs="Times New Roman" w:eastAsia="Times New Roman" w:hAnsi="Times New Roman"/>
          <w:b/>
          <w:bCs/>
          <w:sz w:val="32"/>
          <w:szCs w:val="32"/>
        </w:rPr>
        <w:t xml:space="preserve">Acknowledgements</w:t>
      </w:r>
    </w:p>
    <w:p>
      <w:pPr>
        <w:spacing w:after="160" w:line="360" w:lineRule="auto"/>
        <w:ind w:firstLine="720"/>
        <w:jc w:val="both"/>
      </w:pPr>
      <w:r>
        <w:rPr>
          <w:rFonts w:ascii="Times New Roman" w:cs="Times New Roman" w:eastAsia="Times New Roman" w:hAnsi="Times New Roman"/>
          <w:sz w:val="24"/>
          <w:szCs w:val="24"/>
        </w:rPr>
        <w:t xml:space="preserve">[To be completed: acknowledge sequencing facility, WWTP access permissions, compute resources, funding sources.]</w:t>
      </w:r>
    </w:p>
    <w:p>
      <w:r>
        <w:br w:type="page"/>
      </w:r>
    </w:p>
    <w:p>
      <w:pPr>
        <w:pStyle w:val="Heading1"/>
        <w:spacing w:after="200" w:before="480"/>
      </w:pPr>
      <w:r>
        <w:rPr>
          <w:rFonts w:ascii="Times New Roman" w:cs="Times New Roman" w:eastAsia="Times New Roman" w:hAnsi="Times New Roman"/>
          <w:b/>
          <w:bCs/>
          <w:sz w:val="32"/>
          <w:szCs w:val="32"/>
        </w:rPr>
        <w:t xml:space="preserve">References</w:t>
      </w:r>
    </w:p>
    <w:p>
      <w:pPr>
        <w:spacing w:after="160" w:line="360" w:lineRule="auto"/>
        <w:ind w:firstLine="0"/>
        <w:jc w:val="both"/>
      </w:pPr>
      <w:r>
        <w:rPr>
          <w:rFonts w:ascii="Times New Roman" w:cs="Times New Roman" w:eastAsia="Times New Roman" w:hAnsi="Times New Roman"/>
          <w:sz w:val="24"/>
          <w:szCs w:val="24"/>
        </w:rPr>
        <w:t xml:space="preserve">Bengtsson-Palme, J., Larsson, D. G. J., &amp; Kristiansson, E. (2019). Using metagenomics to investigate human and environmental resistomes. Journal of Infection Diseases, 220(Suppl 1), S72–S80.</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Chen, S., Zhou, Y., Chen, Y., &amp; Gu, J. (2018). fastp: an ultra-fast all-in-one FASTQ preprocessor. Bioinformatics, 34(17), i884–i890.</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Crits-Christoph, A., Kantor, R. S., Olm, M. R., et al. (2021). Genome sequencing of sewage detects regionally prevalent SARS-CoV-2 variants. mBio, 12(1), e02703-20.</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Hu, E. J., Shen, Y., Wallis, P., et al. (2022). LoRA: Low-rank adaptation of large language models. ICLR 2022. https://arxiv.org/abs/2106.09685</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Karthikeyan, S., Levy, J. I., De Hoff, P., et al. (2022). Wastewater sequencing reveals early cryptic SARS-CoV-2 variant transmission. Nature, 609(7925), 101–108.</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Kirkpatrick, J., Pascanu, R., Rabinowitz, N., et al. (2017). Overcoming catastrophic forgetting in neural networks. Proceedings of the National Academy of Sciences, 114(13), 3521–3526.</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Langmead, B., &amp; Salzberg, S. L. (2012). Fast gapped-read alignment with Bowtie 2. Nature Methods, 9(4), 357–359.</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Lester, B., Al-Rfou, R., &amp; Constant, N. (2021). The power of scale for parameter-efficient prompt tuning. EMNLP 2021.</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Liu, T., et al. (2025). METAGENE-1: Metagenomic foundation model for pandemic monitoring. arXiv:2501.02045.</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Medema, G., Heijnen, L., Elsinga, G., Italiaander, R., &amp; Brouwer, A. (2020). Presence of SARS-Coronavirus-2 RNA in sewage and correlation with reported COVID-19 prevalence. Environmental Science &amp; Technology Letters, 7(7), 511–516.</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Nayfach, S., Roux, S., Seshadri, R., et al. (2021). A genomic catalog of Earth's microbiomes. Nature Biotechnology, 39(4), 499–509.</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Peccia, J., Zulli, A., Brackney, D. E., et al. (2020). Measurement of SARS-CoV-2 RNA in wastewater tracks community infection dynamics. Nature Biotechnology, 38(10), 1164–1167.</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Rothman, J. A., Loveless, T. B., Kapcia, J., et al. (2020). RNA viromics of Southern California wastewater and the detection of SARS-CoV-2 in wastewater before and after virus surge. BioRxiv. BioProject PRJNA649747.</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Touvron, H., Lavril, T., Izacard, G., et al. (2023). LLaMA: Open and efficient foundation language models. arXiv:2302.13971.</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Wolf, T., Debut, L., Sanh, V., et al. (2020). Transformers: State-of-the-art natural language processing. EMNLP 2020 System Demonstrations, 38–45.</w:t>
      </w:r>
    </w:p>
    <w:p>
      <w:pPr>
        <w:spacing w:after="80"/>
      </w:pPr>
    </w:p>
    <w:p>
      <w:pPr>
        <w:spacing w:after="160" w:line="360" w:lineRule="auto"/>
        <w:ind w:firstLine="0"/>
        <w:jc w:val="both"/>
      </w:pPr>
      <w:r>
        <w:rPr>
          <w:rFonts w:ascii="Times New Roman" w:cs="Times New Roman" w:eastAsia="Times New Roman" w:hAnsi="Times New Roman"/>
          <w:sz w:val="24"/>
          <w:szCs w:val="24"/>
        </w:rPr>
        <w:t xml:space="preserve">Wood, D. E., Lu, J., &amp; Langmead, B. (2019). Improved metagenomic analysis with Kraken 2. Genome Biology, 20(1), 257.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80"/>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center"/>
    </w:pPr>
    <w:r>
      <w:rPr>
        <w:rFonts w:ascii="Times New Roman" w:cs="Times New Roman" w:eastAsia="Times New Roman" w:hAnsi="Times New Roman"/>
        <w:i/>
        <w:iCs/>
        <w:color w:val="666666"/>
        <w:sz w:val="18"/>
        <w:szCs w:val="18"/>
      </w:rPr>
      <w:t xml:space="preserve">Geographic Transferability of Metagenomic Foundation Models: Evidence from Indian Urban Wastewater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pPr>
      <w:spacing w:after="12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pPr>
      <w:spacing w:after="80" w:before="24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2026-05-08T10:08:12.362Z</dcterms:created>
  <dcterms:modified xsi:type="dcterms:W3CDTF">2026-05-08T10:08:12.363Z</dcterms:modified>
</cp:coreProperties>
</file>

<file path=docProps/custom.xml><?xml version="1.0" encoding="utf-8"?>
<Properties xmlns="http://schemas.openxmlformats.org/officeDocument/2006/custom-properties" xmlns:vt="http://schemas.openxmlformats.org/officeDocument/2006/docPropsVTypes"/>
</file>