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p>
    <w:p>
      <w:pPr>
        <w:spacing w:after="80"/>
        <w:jc w:val="center"/>
      </w:pPr>
      <w:r>
        <w:rPr>
          <w:rFonts w:ascii="Times New Roman" w:cs="Times New Roman" w:eastAsia="Times New Roman" w:hAnsi="Times New Roman"/>
          <w:b/>
          <w:bCs/>
          <w:sz w:val="40"/>
          <w:szCs w:val="40"/>
        </w:rPr>
        <w:t xml:space="preserve">COMPREHENSIVE STUDY REPORT</w:t>
      </w:r>
    </w:p>
    <w:p>
      <w:pPr>
        <w:spacing w:after="240"/>
        <w:jc w:val="center"/>
      </w:pPr>
      <w:r>
        <w:rPr>
          <w:rFonts w:ascii="Times New Roman" w:cs="Times New Roman" w:eastAsia="Times New Roman" w:hAnsi="Times New Roman"/>
          <w:b/>
          <w:bCs/>
          <w:color w:val="888888"/>
          <w:sz w:val="28"/>
          <w:szCs w:val="28"/>
        </w:rPr>
        <w:t xml:space="preserve">PART 1 OF 2</w:t>
      </w:r>
    </w:p>
    <w:p>
      <w:pPr>
        <w:spacing w:after="80"/>
        <w:jc w:val="center"/>
      </w:pPr>
      <w:r>
        <w:rPr>
          <w:rFonts w:ascii="Times New Roman" w:cs="Times New Roman" w:eastAsia="Times New Roman" w:hAnsi="Times New Roman"/>
          <w:b/>
          <w:bCs/>
          <w:sz w:val="32"/>
          <w:szCs w:val="32"/>
        </w:rPr>
        <w:t xml:space="preserve">Geographic Transferability of Metagenomic Foundation Models:</w:t>
      </w:r>
    </w:p>
    <w:p>
      <w:pPr>
        <w:spacing w:after="480"/>
        <w:jc w:val="center"/>
      </w:pPr>
      <w:r>
        <w:rPr>
          <w:rFonts w:ascii="Times New Roman" w:cs="Times New Roman" w:eastAsia="Times New Roman" w:hAnsi="Times New Roman"/>
          <w:b/>
          <w:bCs/>
          <w:sz w:val="32"/>
          <w:szCs w:val="32"/>
        </w:rPr>
        <w:t xml:space="preserve">Evidence from Indian Urban Wastewater</w:t>
      </w:r>
    </w:p>
    <w:p>
      <w:pPr>
        <w:spacing w:after="80"/>
        <w:jc w:val="center"/>
      </w:pPr>
      <w:r>
        <w:rPr>
          <w:rFonts w:ascii="Times New Roman" w:cs="Times New Roman" w:eastAsia="Times New Roman" w:hAnsi="Times New Roman"/>
          <w:sz w:val="24"/>
          <w:szCs w:val="24"/>
        </w:rPr>
        <w:t xml:space="preserve">A complete account of every analysis conducted, rationale, findings, and decisions</w:t>
      </w:r>
    </w:p>
    <w:p>
      <w:pPr>
        <w:spacing w:after="120"/>
      </w:pPr>
    </w:p>
    <w:p>
      <w:pPr>
        <w:spacing w:after="80"/>
        <w:jc w:val="center"/>
      </w:pPr>
      <w:r>
        <w:rPr>
          <w:rFonts w:ascii="Times New Roman" w:cs="Times New Roman" w:eastAsia="Times New Roman" w:hAnsi="Times New Roman"/>
          <w:sz w:val="24"/>
          <w:szCs w:val="24"/>
        </w:rPr>
        <w:t xml:space="preserve">Covering: Study Background | Data Collection | Anomaly Scoring | Pipeline Validation | Systematic Replication | Statistical Analysis</w:t>
      </w:r>
    </w:p>
    <w:p>
      <w:pPr>
        <w:spacing w:after="480"/>
      </w:pPr>
    </w:p>
    <w:p>
      <w:pPr>
        <w:pBdr>
          <w:top w:val="single" w:color="000000" w:sz="8"/>
        </w:pBdr>
        <w:spacing w:after="0" w:before="0"/>
      </w:pPr>
    </w:p>
    <w:p>
      <w:pPr>
        <w:spacing w:after="80"/>
      </w:pPr>
    </w:p>
    <w:p>
      <w:pPr>
        <w:spacing w:after="80"/>
        <w:jc w:val="center"/>
      </w:pPr>
      <w:r>
        <w:rPr>
          <w:rFonts w:ascii="Times New Roman" w:cs="Times New Roman" w:eastAsia="Times New Roman" w:hAnsi="Times New Roman"/>
          <w:sz w:val="24"/>
          <w:szCs w:val="24"/>
        </w:rPr>
        <w:t xml:space="preserve">Part 2 covers: Fine-Tuning | Peer Review Simulation | Revised Paper | Metabolomics Exploration | Tool Evaluations | Pathogen Detection Considerations</w:t>
      </w:r>
    </w:p>
    <w:p>
      <w:r>
        <w:br w:type="page"/>
      </w:r>
    </w:p>
    <w:p>
      <w:pPr>
        <w:pStyle w:val="Heading1"/>
        <w:spacing w:after="200" w:before="480"/>
      </w:pPr>
      <w:r>
        <w:rPr>
          <w:rFonts w:ascii="Times New Roman" w:cs="Times New Roman" w:eastAsia="Times New Roman" w:hAnsi="Times New Roman"/>
          <w:b/>
          <w:bCs/>
          <w:sz w:val="32"/>
          <w:szCs w:val="32"/>
        </w:rPr>
        <w:t xml:space="preserve">Part 1 Overview</w:t>
      </w:r>
    </w:p>
    <w:p>
      <w:pPr>
        <w:spacing w:after="160" w:line="360" w:lineRule="auto"/>
        <w:ind w:firstLine="0"/>
        <w:jc w:val="both"/>
      </w:pPr>
      <w:r>
        <w:rPr>
          <w:rFonts w:ascii="Times New Roman" w:cs="Times New Roman" w:eastAsia="Times New Roman" w:hAnsi="Times New Roman"/>
          <w:sz w:val="24"/>
          <w:szCs w:val="24"/>
        </w:rPr>
        <w:t xml:space="preserve">This document is Part 1 of a two-part comprehensive report covering every analysis conducted in this study from inception to completion. Part 1 covers the conceptual foundation, data collection, anomaly scoring, pipeline validation, systematic replication experiments, and statistical characterisation of the Gujarat wastewater dataset. Part 2 covers the fine-tuning experiments, peer review simulation, revised paper, metabolomics integration attempt, tool evaluations (Evo2, MAMMAL), and pathogen detection considerations.</w:t>
      </w:r>
    </w:p>
    <w:p>
      <w:pPr>
        <w:spacing w:after="160" w:line="360" w:lineRule="auto"/>
        <w:ind w:firstLine="0"/>
        <w:jc w:val="both"/>
      </w:pPr>
      <w:r>
        <w:rPr>
          <w:rFonts w:ascii="Times New Roman" w:cs="Times New Roman" w:eastAsia="Times New Roman" w:hAnsi="Times New Roman"/>
          <w:sz w:val="24"/>
          <w:szCs w:val="24"/>
        </w:rPr>
        <w:t xml:space="preserve">Every section explains: (1) what was done, (2) why it was done, (3) exactly what the results showed, and (4) what decisions followed from the results. Numbers reported are the actual values obtained from the experiments as recorded in the session.</w:t>
      </w:r>
    </w:p>
    <w:p>
      <w:r>
        <w:br w:type="page"/>
      </w:r>
    </w:p>
    <w:p>
      <w:pPr>
        <w:pStyle w:val="Heading1"/>
        <w:spacing w:after="200" w:before="480"/>
      </w:pPr>
      <w:r>
        <w:rPr>
          <w:rFonts w:ascii="Times New Roman" w:cs="Times New Roman" w:eastAsia="Times New Roman" w:hAnsi="Times New Roman"/>
          <w:b/>
          <w:bCs/>
          <w:sz w:val="32"/>
          <w:szCs w:val="32"/>
        </w:rPr>
        <w:t xml:space="preserve">1. Scientific Rationale and Study Motivation</w:t>
      </w:r>
    </w:p>
    <w:p>
      <w:pPr>
        <w:pStyle w:val="Heading2"/>
        <w:spacing w:after="120" w:before="320"/>
      </w:pPr>
      <w:r>
        <w:rPr>
          <w:rFonts w:ascii="Times New Roman" w:cs="Times New Roman" w:eastAsia="Times New Roman" w:hAnsi="Times New Roman"/>
          <w:b/>
          <w:bCs/>
          <w:sz w:val="28"/>
          <w:szCs w:val="28"/>
        </w:rPr>
        <w:t xml:space="preserve">1.1 The Problem This Study Addresses</w:t>
      </w:r>
    </w:p>
    <w:p>
      <w:pPr>
        <w:spacing w:after="160" w:line="360" w:lineRule="auto"/>
        <w:ind w:firstLine="720"/>
        <w:jc w:val="both"/>
      </w:pPr>
      <w:r>
        <w:rPr>
          <w:rFonts w:ascii="Times New Roman" w:cs="Times New Roman" w:eastAsia="Times New Roman" w:hAnsi="Times New Roman"/>
          <w:sz w:val="24"/>
          <w:szCs w:val="24"/>
        </w:rPr>
        <w:t xml:space="preserve">Metagenomic foundation models — large language models trained on raw nucleotide sequences from environmental samples — represent a new paradigm in microbial surveillance. Unlike traditional reference-based taxonomic classifiers such as Kraken2, which can only classify sequences that share sufficient similarity with curated database entries, foundation models learn statistical representations of sequence space directly from data. They can potentially detect anomalies, characterise novel organisms, and identify patterns even in the unclassifiable "dark matter" that constitutes 70–95% of environmental metagenomic sequences.</w:t>
      </w:r>
    </w:p>
    <w:p>
      <w:pPr>
        <w:spacing w:after="160" w:line="360" w:lineRule="auto"/>
        <w:ind w:firstLine="720"/>
        <w:jc w:val="both"/>
      </w:pPr>
      <w:r>
        <w:rPr>
          <w:rFonts w:ascii="Times New Roman" w:cs="Times New Roman" w:eastAsia="Times New Roman" w:hAnsi="Times New Roman"/>
          <w:sz w:val="24"/>
          <w:szCs w:val="24"/>
        </w:rPr>
        <w:t xml:space="preserve">METAGENE-1, published by Liu et al. in January 2025 (arXiv:2501.02045), is the most capable publicly available metagenomic foundation model. It has 7 billion parameters, was trained on 1.5 trillion base pairs from US municipal wastewater treatment plants, and uses a causal language model architecture (based on LLaMA-2) with a custom byte-pair encoding tokeniser designed for DNA sequences. Its developers demonstrated impressive capabilities in anomaly detection, viral identification, and taxonomic embedding on US wastewater data.</w:t>
      </w:r>
    </w:p>
    <w:p>
      <w:pPr>
        <w:spacing w:after="160" w:line="360" w:lineRule="auto"/>
        <w:ind w:firstLine="720"/>
        <w:jc w:val="both"/>
      </w:pPr>
      <w:r>
        <w:rPr>
          <w:rFonts w:ascii="Times New Roman" w:cs="Times New Roman" w:eastAsia="Times New Roman" w:hAnsi="Times New Roman"/>
          <w:sz w:val="24"/>
          <w:szCs w:val="24"/>
        </w:rPr>
        <w:t xml:space="preserve">The critical limitation, which motivated this study, is geographic: METAGENE-1 was trained exclusively on US wastewater from California and Missouri. The question of whether its representations generalise to wastewater from fundamentally different geographic, climatic, demographic, and epidemiological contexts had never been investigated.</w:t>
      </w:r>
    </w:p>
    <w:p>
      <w:pPr>
        <w:pStyle w:val="Heading2"/>
        <w:spacing w:after="120" w:before="320"/>
      </w:pPr>
      <w:r>
        <w:rPr>
          <w:rFonts w:ascii="Times New Roman" w:cs="Times New Roman" w:eastAsia="Times New Roman" w:hAnsi="Times New Roman"/>
          <w:b/>
          <w:bCs/>
          <w:sz w:val="28"/>
          <w:szCs w:val="28"/>
        </w:rPr>
        <w:t xml:space="preserve">1.2 Why India Is the Right Test Case</w:t>
      </w:r>
    </w:p>
    <w:p>
      <w:pPr>
        <w:spacing w:after="160" w:line="360" w:lineRule="auto"/>
        <w:ind w:firstLine="720"/>
        <w:jc w:val="both"/>
      </w:pPr>
      <w:r>
        <w:rPr>
          <w:rFonts w:ascii="Times New Roman" w:cs="Times New Roman" w:eastAsia="Times New Roman" w:hAnsi="Times New Roman"/>
          <w:sz w:val="24"/>
          <w:szCs w:val="24"/>
        </w:rPr>
        <w:t xml:space="preserve">India presents an ideal test case for geographic generalisation for several compounding reasons. Its population of 1.4 billion generates enormous and diverse wastewater with distinct characteristics compared to the United States: higher population density, different dietary patterns, a different disease burden profile with endemic enteric infections, tropical and monsoon-driven climate creating dramatic seasonal variation, different antibiotic usage patterns contributing to a distinct resistome, and microbial communities shaped by different soil ecosystems and water sources.</w:t>
      </w:r>
    </w:p>
    <w:p>
      <w:pPr>
        <w:spacing w:after="160" w:line="360" w:lineRule="auto"/>
        <w:ind w:firstLine="720"/>
        <w:jc w:val="both"/>
      </w:pPr>
      <w:r>
        <w:rPr>
          <w:rFonts w:ascii="Times New Roman" w:cs="Times New Roman" w:eastAsia="Times New Roman" w:hAnsi="Times New Roman"/>
          <w:sz w:val="24"/>
          <w:szCs w:val="24"/>
        </w:rPr>
        <w:t xml:space="preserve">Gujarat specifically was chosen because of the availability of existing shotgun metagenomic data collected by the research group, spanning four major cities (Ahmedabad, Gandhinagar, Rajkot, Vadodara) across four Indian meteorological seasons (Summer, Monsoon, PreWinter, Winter). This dataset is one of the most comprehensive Indian urban wastewater metagenomic collections in existence.</w:t>
      </w:r>
    </w:p>
    <w:p>
      <w:pPr>
        <w:pStyle w:val="Heading2"/>
        <w:spacing w:after="120" w:before="320"/>
      </w:pPr>
      <w:r>
        <w:rPr>
          <w:rFonts w:ascii="Times New Roman" w:cs="Times New Roman" w:eastAsia="Times New Roman" w:hAnsi="Times New Roman"/>
          <w:b/>
          <w:bCs/>
          <w:sz w:val="28"/>
          <w:szCs w:val="28"/>
        </w:rPr>
        <w:t xml:space="preserve">1.3 The Central Research Questions</w:t>
      </w:r>
    </w:p>
    <w:p>
      <w:pPr>
        <w:spacing w:after="160" w:line="360" w:lineRule="auto"/>
        <w:ind w:firstLine="720"/>
        <w:jc w:val="both"/>
      </w:pPr>
      <w:r>
        <w:rPr>
          <w:rFonts w:ascii="Times New Roman" w:cs="Times New Roman" w:eastAsia="Times New Roman" w:hAnsi="Times New Roman"/>
          <w:sz w:val="24"/>
          <w:szCs w:val="24"/>
        </w:rPr>
        <w:t xml:space="preserve">The study was designed to answer four specific questions in sequence:</w:t>
      </w:r>
    </w:p>
    <w:p>
      <w:pPr>
        <w:pStyle w:val="ListParagraph"/>
        <w:numPr>
          <w:ilvl w:val="0"/>
          <w:numId w:val="1"/>
        </w:numPr>
        <w:spacing w:after="80"/>
        <w:ind w:left="720"/>
      </w:pPr>
      <w:r>
        <w:rPr>
          <w:rFonts w:ascii="Times New Roman" w:cs="Times New Roman" w:eastAsia="Times New Roman" w:hAnsi="Times New Roman"/>
          <w:sz w:val="24"/>
          <w:szCs w:val="24"/>
        </w:rPr>
        <w:t xml:space="preserve">Is there a measurable geographic distribution shift between US and Indian wastewater under METAGENE-1, and is it robust to pipeline variation?</w:t>
      </w:r>
    </w:p>
    <w:p>
      <w:pPr>
        <w:pStyle w:val="ListParagraph"/>
        <w:numPr>
          <w:ilvl w:val="0"/>
          <w:numId w:val="1"/>
        </w:numPr>
        <w:spacing w:after="80"/>
        <w:ind w:left="720"/>
      </w:pPr>
      <w:r>
        <w:rPr>
          <w:rFonts w:ascii="Times New Roman" w:cs="Times New Roman" w:eastAsia="Times New Roman" w:hAnsi="Times New Roman"/>
          <w:sz w:val="24"/>
          <w:szCs w:val="24"/>
        </w:rPr>
        <w:t xml:space="preserve">What is the correct interpretation of the published Liu et al. CE loss of 1.24, and is it reproducible on external data?</w:t>
      </w:r>
    </w:p>
    <w:p>
      <w:pPr>
        <w:pStyle w:val="ListParagraph"/>
        <w:numPr>
          <w:ilvl w:val="0"/>
          <w:numId w:val="1"/>
        </w:numPr>
        <w:spacing w:after="80"/>
        <w:ind w:left="720"/>
      </w:pPr>
      <w:r>
        <w:rPr>
          <w:rFonts w:ascii="Times New Roman" w:cs="Times New Roman" w:eastAsia="Times New Roman" w:hAnsi="Times New Roman"/>
          <w:sz w:val="24"/>
          <w:szCs w:val="24"/>
        </w:rPr>
        <w:t xml:space="preserve">Can LoRA fine-tuning reduce the geographic gap, and what factors drive improvement?</w:t>
      </w:r>
    </w:p>
    <w:p>
      <w:pPr>
        <w:pStyle w:val="ListParagraph"/>
        <w:numPr>
          <w:ilvl w:val="0"/>
          <w:numId w:val="1"/>
        </w:numPr>
        <w:spacing w:after="80"/>
        <w:ind w:left="720"/>
      </w:pPr>
      <w:r>
        <w:rPr>
          <w:rFonts w:ascii="Times New Roman" w:cs="Times New Roman" w:eastAsia="Times New Roman" w:hAnsi="Times New Roman"/>
          <w:sz w:val="24"/>
          <w:szCs w:val="24"/>
        </w:rPr>
        <w:t xml:space="preserve">What are the implications for pathogen detection and future model development?</w:t>
      </w:r>
    </w:p>
    <w:p>
      <w:pPr>
        <w:spacing w:after="80"/>
      </w:pPr>
    </w:p>
    <w:p>
      <w:pPr>
        <w:spacing w:after="160" w:line="360" w:lineRule="auto"/>
        <w:ind w:firstLine="720"/>
        <w:jc w:val="both"/>
      </w:pPr>
      <w:r>
        <w:rPr>
          <w:rFonts w:ascii="Times New Roman" w:cs="Times New Roman" w:eastAsia="Times New Roman" w:hAnsi="Times New Roman"/>
          <w:sz w:val="24"/>
          <w:szCs w:val="24"/>
        </w:rPr>
        <w:t xml:space="preserve">These questions were addressed in sequence over approximately eight weeks of analysis, generating a substantial body of experimental results that are documented in this report.</w:t>
      </w:r>
    </w:p>
    <w:p>
      <w:r>
        <w:br w:type="page"/>
      </w:r>
    </w:p>
    <w:p>
      <w:pPr>
        <w:pStyle w:val="Heading1"/>
        <w:spacing w:after="200" w:before="480"/>
      </w:pPr>
      <w:r>
        <w:rPr>
          <w:rFonts w:ascii="Times New Roman" w:cs="Times New Roman" w:eastAsia="Times New Roman" w:hAnsi="Times New Roman"/>
          <w:b/>
          <w:bCs/>
          <w:sz w:val="32"/>
          <w:szCs w:val="32"/>
        </w:rPr>
        <w:t xml:space="preserve">2. Dataset and Data Infrastructure</w:t>
      </w:r>
    </w:p>
    <w:p>
      <w:pPr>
        <w:pStyle w:val="Heading2"/>
        <w:spacing w:after="120" w:before="320"/>
      </w:pPr>
      <w:r>
        <w:rPr>
          <w:rFonts w:ascii="Times New Roman" w:cs="Times New Roman" w:eastAsia="Times New Roman" w:hAnsi="Times New Roman"/>
          <w:b/>
          <w:bCs/>
          <w:sz w:val="28"/>
          <w:szCs w:val="28"/>
        </w:rPr>
        <w:t xml:space="preserve">2.1 The Gujarat Wastewater Dataset</w:t>
      </w:r>
    </w:p>
    <w:p>
      <w:pPr>
        <w:spacing w:after="160" w:line="360" w:lineRule="auto"/>
        <w:ind w:firstLine="720"/>
        <w:jc w:val="both"/>
      </w:pPr>
      <w:r>
        <w:rPr>
          <w:rFonts w:ascii="Times New Roman" w:cs="Times New Roman" w:eastAsia="Times New Roman" w:hAnsi="Times New Roman"/>
          <w:sz w:val="24"/>
          <w:szCs w:val="24"/>
        </w:rPr>
        <w:t xml:space="preserve">The primary dataset consists of 95 shotgun metagenomic samples from four municipal wastewater treatment plant (WWTP) intake points across Gujarat, India. The sampling scheme was designed to capture seasonal variation across all four Indian meteorological seasons: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2760"/>
      </w:tblGrid>
      <w:tr>
        <w:trPr>
          <w:tblHeader/>
        </w:trPr>
        <w:tc>
          <w:tcPr>
            <w:tcW w:type="dxa" w:w="240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City</w:t>
            </w:r>
          </w:p>
        </w:tc>
        <w:tc>
          <w:tcPr>
            <w:tcW w:type="dxa" w:w="160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Population</w:t>
            </w:r>
          </w:p>
        </w:tc>
        <w:tc>
          <w:tcPr>
            <w:tcW w:type="dxa" w:w="160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n Samples</w:t>
            </w:r>
          </w:p>
        </w:tc>
        <w:tc>
          <w:tcPr>
            <w:tcW w:type="dxa" w:w="276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Sites</w:t>
            </w:r>
          </w:p>
        </w:tc>
      </w:tr>
      <w:tr>
        <w:trPr>
          <w:tblHeader w:val="false"/>
        </w:trP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Ahmedabad</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~8.1 million</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Multiple per season</w:t>
            </w:r>
          </w:p>
        </w:tc>
        <w:tc>
          <w:tcPr>
            <w:tcW w:type="dxa" w:w="27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Amraiwadi, Paldi, Maninagar, Jamalpur, Motera, Vasna, Pirana, Ranip, Vinzol</w:t>
            </w:r>
          </w:p>
        </w:tc>
      </w:tr>
      <w:tr>
        <w:trPr>
          <w:tblHeader w:val="false"/>
        </w:trP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Gandhinagar</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~0.3 million</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Multiple per season</w:t>
            </w:r>
          </w:p>
        </w:tc>
        <w:tc>
          <w:tcPr>
            <w:tcW w:type="dxa" w:w="27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Jaspur, Kudasan, Raysan, Sargasan, Vavol</w:t>
            </w:r>
          </w:p>
        </w:tc>
      </w:tr>
      <w:tr>
        <w:trPr>
          <w:tblHeader w:val="false"/>
        </w:trP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Rajkot</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~1.7 million</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Multiple per season</w:t>
            </w:r>
          </w:p>
        </w:tc>
        <w:tc>
          <w:tcPr>
            <w:tcW w:type="dxa" w:w="27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Raiyadhar, Kothariya, Popatpara, Raiya</w:t>
            </w:r>
          </w:p>
        </w:tc>
      </w:tr>
      <w:tr>
        <w:trPr>
          <w:tblHeader w:val="false"/>
        </w:trP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Vadodara</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~2.1 million</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Multiple per season</w:t>
            </w:r>
          </w:p>
        </w:tc>
        <w:tc>
          <w:tcPr>
            <w:tcW w:type="dxa" w:w="27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Atladara, Chhani, Gajrawadi, Tarsali</w:t>
            </w:r>
          </w:p>
        </w:tc>
      </w:tr>
    </w:tbl>
    <w:p>
      <w:pPr>
        <w:spacing w:after="200" w:before="60"/>
        <w:jc w:val="center"/>
      </w:pPr>
      <w:r>
        <w:rPr>
          <w:rFonts w:ascii="Times New Roman" w:cs="Times New Roman" w:eastAsia="Times New Roman" w:hAnsi="Times New Roman"/>
          <w:i/>
          <w:iCs/>
          <w:sz w:val="20"/>
          <w:szCs w:val="20"/>
        </w:rPr>
        <w:t xml:space="preserve">Table 1. Gujarat sampling scheme. Multiple sites per city were pooled by city × season for shotgun metagenomics library preparation.</w:t>
      </w:r>
    </w:p>
    <w:p>
      <w:pPr>
        <w:spacing w:after="80"/>
      </w:pPr>
    </w:p>
    <w:p>
      <w:pPr>
        <w:spacing w:after="160" w:line="360" w:lineRule="auto"/>
        <w:ind w:firstLine="720"/>
        <w:jc w:val="both"/>
      </w:pPr>
      <w:r>
        <w:rPr>
          <w:rFonts w:ascii="Times New Roman" w:cs="Times New Roman" w:eastAsia="Times New Roman" w:hAnsi="Times New Roman"/>
          <w:sz w:val="24"/>
          <w:szCs w:val="24"/>
        </w:rPr>
        <w:t xml:space="preserve">Samples were collected as composite grab samples from WWTP raw influent intake points during 2022–2024. An important detail: for the shotgun metagenomics experiment, multiple site samples within each city and season were pooled together before library preparation. This means each of the 95 metagenomics samples represents the integrated community of an entire city across an entire season. The seasons are defined as Summer (March–May), Monsoon (June–September), PreWinter (October–November), and Winter (December–February).</w:t>
      </w:r>
    </w:p>
    <w:p>
      <w:pPr>
        <w:pStyle w:val="Heading2"/>
        <w:spacing w:after="120" w:before="320"/>
      </w:pPr>
      <w:r>
        <w:rPr>
          <w:rFonts w:ascii="Times New Roman" w:cs="Times New Roman" w:eastAsia="Times New Roman" w:hAnsi="Times New Roman"/>
          <w:b/>
          <w:bCs/>
          <w:sz w:val="28"/>
          <w:szCs w:val="28"/>
        </w:rPr>
        <w:t xml:space="preserve">2.2 DNA Extraction and Sequencing</w:t>
      </w:r>
    </w:p>
    <w:p>
      <w:pPr>
        <w:spacing w:after="160" w:line="360" w:lineRule="auto"/>
        <w:ind w:firstLine="720"/>
        <w:jc w:val="both"/>
      </w:pPr>
      <w:r>
        <w:rPr>
          <w:rFonts w:ascii="Times New Roman" w:cs="Times New Roman" w:eastAsia="Times New Roman" w:hAnsi="Times New Roman"/>
          <w:sz w:val="24"/>
          <w:szCs w:val="24"/>
        </w:rPr>
        <w:t xml:space="preserve">Wastewater (500 mL per site) was filtered through 0.22 μm polyethersulfone membranes to capture microbial cells. Total DNA was extracted using bead-beating with phenol-chloroform purification. Shotgun libraries were prepared using the Illumina DNA Prep kit with paired-end 2×150 bp sequencing. The combined dataset comprised approximately 190 million read pairs (0.045 terabase pairs).</w:t>
      </w:r>
    </w:p>
    <w:p>
      <w:pPr>
        <w:spacing w:after="160" w:line="360" w:lineRule="auto"/>
        <w:ind w:firstLine="720"/>
        <w:jc w:val="both"/>
      </w:pPr>
      <w:r>
        <w:rPr>
          <w:rFonts w:ascii="Times New Roman" w:cs="Times New Roman" w:eastAsia="Times New Roman" w:hAnsi="Times New Roman"/>
          <w:sz w:val="24"/>
          <w:szCs w:val="24"/>
        </w:rPr>
        <w:t xml:space="preserve">Quality control was performed using Fastp v0.23 with Q20 quality threshold and minimum 50 bp length requirement. Human host reads were removed by alignment to GRCh38 using Bowtie2 v2.4.5. Only forward reads (R1) were used for language model evaluation, consistent with the Liu et al. methodology. Per-sample sequencing depths ranged from approximately 1.2 million to 3.8 million reads (mean ~2.0 million).</w:t>
      </w:r>
    </w:p>
    <w:p>
      <w:pPr>
        <w:pStyle w:val="Heading2"/>
        <w:spacing w:after="120" w:before="320"/>
      </w:pPr>
      <w:r>
        <w:rPr>
          <w:rFonts w:ascii="Times New Roman" w:cs="Times New Roman" w:eastAsia="Times New Roman" w:hAnsi="Times New Roman"/>
          <w:b/>
          <w:bCs/>
          <w:sz w:val="28"/>
          <w:szCs w:val="28"/>
        </w:rPr>
        <w:t xml:space="preserve">2.3 Data Storage and Sharing Infrastructure</w:t>
      </w:r>
    </w:p>
    <w:p>
      <w:pPr>
        <w:spacing w:after="160" w:line="360" w:lineRule="auto"/>
        <w:ind w:firstLine="720"/>
        <w:jc w:val="both"/>
      </w:pPr>
      <w:r>
        <w:rPr>
          <w:rFonts w:ascii="Times New Roman" w:cs="Times New Roman" w:eastAsia="Times New Roman" w:hAnsi="Times New Roman"/>
          <w:sz w:val="24"/>
          <w:szCs w:val="24"/>
        </w:rPr>
        <w:t xml:space="preserve">The raw FASTA files (quality-filtered, human-depleted, converted to FASTA format) were uploaded to HuggingFace under the repository saurabhthakar3/gujarat-wastewater-shotgun (private, pending peer review). The data is organised by sample identifier using the naming convention: [City][Site][Season]_R1.fasta.gz. For example, AAMO_R1 corresponds to Ahmedabad (AA site), Monsoon season, forward reads.</w:t>
      </w:r>
    </w:p>
    <w:p>
      <w:pPr>
        <w:spacing w:after="160" w:line="360" w:lineRule="auto"/>
        <w:ind w:firstLine="720"/>
        <w:jc w:val="both"/>
      </w:pPr>
      <w:r>
        <w:rPr>
          <w:rFonts w:ascii="Times New Roman" w:cs="Times New Roman" w:eastAsia="Times New Roman" w:hAnsi="Times New Roman"/>
          <w:sz w:val="24"/>
          <w:szCs w:val="24"/>
        </w:rPr>
        <w:t xml:space="preserve">A new HuggingFace account was also created to store US validation results, model checkpoints, and supplementary analysis files separately from the raw data. All scoring experiments were run in Google Colab sessions (GPU runtime) with results uploaded to HuggingFace immediately after each session to prevent data loss from session timeouts.</w:t>
      </w:r>
    </w:p>
    <w:p>
      <w:pPr>
        <w:pStyle w:val="Heading2"/>
        <w:spacing w:after="120" w:before="320"/>
      </w:pPr>
      <w:r>
        <w:rPr>
          <w:rFonts w:ascii="Times New Roman" w:cs="Times New Roman" w:eastAsia="Times New Roman" w:hAnsi="Times New Roman"/>
          <w:b/>
          <w:bCs/>
          <w:sz w:val="28"/>
          <w:szCs w:val="28"/>
        </w:rPr>
        <w:t xml:space="preserve">2.4 US Wastewater Validation Dataset</w:t>
      </w:r>
    </w:p>
    <w:p>
      <w:pPr>
        <w:spacing w:after="160" w:line="360" w:lineRule="auto"/>
        <w:ind w:firstLine="720"/>
        <w:jc w:val="both"/>
      </w:pPr>
      <w:r>
        <w:rPr>
          <w:rFonts w:ascii="Times New Roman" w:cs="Times New Roman" w:eastAsia="Times New Roman" w:hAnsi="Times New Roman"/>
          <w:sz w:val="24"/>
          <w:szCs w:val="24"/>
        </w:rPr>
        <w:t xml:space="preserve">For geographic comparison, three publicly available US wastewater samples from Rothman et al. (2020; BioProject PRJNA649747) were used as the within-study US external control. These samples are from Southern California municipal WWTPs (Hyperion Water Reclamation Plant, San Jose Creek Water Reclamation Plant, and Point Loma Wastewater Treatment Plant) and were sequenced on Illumina HiSeq with 150bp paired-end reads. This study is cited by Liu et al. (2025) as a training data source, making it the most directly comparable publicly available US wastewater dataset.</w:t>
      </w:r>
    </w:p>
    <w:p>
      <w:pPr>
        <w:spacing w:after="160" w:line="360" w:lineRule="auto"/>
        <w:ind w:firstLine="720"/>
        <w:jc w:val="both"/>
      </w:pPr>
      <w:r>
        <w:rPr>
          <w:rFonts w:ascii="Times New Roman" w:cs="Times New Roman" w:eastAsia="Times New Roman" w:hAnsi="Times New Roman"/>
          <w:sz w:val="24"/>
          <w:szCs w:val="24"/>
        </w:rPr>
        <w:t xml:space="preserve">Three NAO (Nucleic Acid Observatory) samples (BioProject PRJNA1198001) were also scored. The NAO is run by Jeff Kaufman, a METAGENE-1 co-author, making these samples potentially actual training data. NAO data includes deep wastewater sequencing from Southern California and Missouri facilities.</w:t>
      </w:r>
    </w:p>
    <w:p>
      <w:r>
        <w:br w:type="page"/>
      </w:r>
    </w:p>
    <w:p>
      <w:pPr>
        <w:pStyle w:val="Heading1"/>
        <w:spacing w:after="200" w:before="480"/>
      </w:pPr>
      <w:r>
        <w:rPr>
          <w:rFonts w:ascii="Times New Roman" w:cs="Times New Roman" w:eastAsia="Times New Roman" w:hAnsi="Times New Roman"/>
          <w:b/>
          <w:bCs/>
          <w:sz w:val="32"/>
          <w:szCs w:val="32"/>
        </w:rPr>
        <w:t xml:space="preserve">3. METAGENE-1: The Foundation Model</w:t>
      </w:r>
    </w:p>
    <w:p>
      <w:pPr>
        <w:pStyle w:val="Heading2"/>
        <w:spacing w:after="120" w:before="320"/>
      </w:pPr>
      <w:r>
        <w:rPr>
          <w:rFonts w:ascii="Times New Roman" w:cs="Times New Roman" w:eastAsia="Times New Roman" w:hAnsi="Times New Roman"/>
          <w:b/>
          <w:bCs/>
          <w:sz w:val="28"/>
          <w:szCs w:val="28"/>
        </w:rPr>
        <w:t xml:space="preserve">3.1 Architecture and Training</w:t>
      </w:r>
    </w:p>
    <w:p>
      <w:pPr>
        <w:spacing w:after="160" w:line="360" w:lineRule="auto"/>
        <w:ind w:firstLine="720"/>
        <w:jc w:val="both"/>
      </w:pPr>
      <w:r>
        <w:rPr>
          <w:rFonts w:ascii="Times New Roman" w:cs="Times New Roman" w:eastAsia="Times New Roman" w:hAnsi="Times New Roman"/>
          <w:sz w:val="24"/>
          <w:szCs w:val="24"/>
        </w:rPr>
        <w:t xml:space="preserve">METAGENE-1 (Liu et al., 2025; arXiv:2501.02045) is a 7-billion-parameter autoregressive causal language model based on the LLaMA-2 architecture (Touvron et al., 2023). It was trained on 1.5 trillion base pairs of metagenomic sequences from US municipal wastewater, comprising primarily data from California and Missouri facilities. Training used the standard next-token prediction objective: at each position in a sequence, the model learns to predict the next token given all preceding tokens. The loss function is cross-entropy between the predicted probability distribution and the actual next token.</w:t>
      </w:r>
    </w:p>
    <w:p>
      <w:pPr>
        <w:spacing w:after="160" w:line="360" w:lineRule="auto"/>
        <w:ind w:firstLine="720"/>
        <w:jc w:val="both"/>
      </w:pPr>
      <w:r>
        <w:rPr>
          <w:rFonts w:ascii="Times New Roman" w:cs="Times New Roman" w:eastAsia="Times New Roman" w:hAnsi="Times New Roman"/>
          <w:sz w:val="24"/>
          <w:szCs w:val="24"/>
        </w:rPr>
        <w:t xml:space="preserve">The tokeniser uses byte-pair encoding (BPE) with a vocabulary size of 1,024 tokens. This is a DNA-specific tokeniser trained on metagenomic sequences, producing an average of approximately 3.9 base pairs per token. This means a 150 bp read is typically encoded as approximately 38 tokens — much shorter than the model's maximum context length of 512 tokens. The model is publicly available at metagene-ai/METAGENE-1 on HuggingFace.</w:t>
      </w:r>
    </w:p>
    <w:p>
      <w:pPr>
        <w:pStyle w:val="Heading2"/>
        <w:spacing w:after="120" w:before="320"/>
      </w:pPr>
      <w:r>
        <w:rPr>
          <w:rFonts w:ascii="Times New Roman" w:cs="Times New Roman" w:eastAsia="Times New Roman" w:hAnsi="Times New Roman"/>
          <w:b/>
          <w:bCs/>
          <w:sz w:val="28"/>
          <w:szCs w:val="28"/>
        </w:rPr>
        <w:t xml:space="preserve">3.2 The Anomaly Scoring Concept</w:t>
      </w:r>
    </w:p>
    <w:p>
      <w:pPr>
        <w:spacing w:after="160" w:line="360" w:lineRule="auto"/>
        <w:ind w:firstLine="720"/>
        <w:jc w:val="both"/>
      </w:pPr>
      <w:r>
        <w:rPr>
          <w:rFonts w:ascii="Times New Roman" w:cs="Times New Roman" w:eastAsia="Times New Roman" w:hAnsi="Times New Roman"/>
          <w:sz w:val="24"/>
          <w:szCs w:val="24"/>
        </w:rPr>
        <w:t xml:space="preserve">The central analytical tool in this study is anomaly scoring using METAGENE-1's cross-entropy (CE) loss. The reasoning is as follows: METAGENE-1 learned the statistical patterns of US wastewater sequences during training. Sequences that are similar to US wastewater training data will be assigned high probability (low CE loss) by the model, because the model can predict them well. Sequences that are different from US wastewater — geographically novel, taxonomically unrepresented, or structurally distinct — will be assigned low probability (high CE loss) because the model cannot predict them well.</w:t>
      </w:r>
    </w:p>
    <w:p>
      <w:pPr>
        <w:spacing w:after="160" w:line="360" w:lineRule="auto"/>
        <w:ind w:firstLine="720"/>
        <w:jc w:val="both"/>
      </w:pPr>
      <w:r>
        <w:rPr>
          <w:rFonts w:ascii="Times New Roman" w:cs="Times New Roman" w:eastAsia="Times New Roman" w:hAnsi="Times New Roman"/>
          <w:sz w:val="24"/>
          <w:szCs w:val="24"/>
        </w:rPr>
        <w:t xml:space="preserve">Therefore, the mean CE loss of a collection of reads from a sample is a measure of how "foreign" or "anomalous" that sample is relative to the model's US wastewater training distribution. Higher CE loss = more novel = more different from US wastewater. This is not a measure of biological "badness" or pathogenicity — it is purely a measure of distributional distance from the training data.</w:t>
      </w:r>
    </w:p>
    <w:p>
      <w:pPr>
        <w:pStyle w:val="Heading2"/>
        <w:spacing w:after="120" w:before="320"/>
      </w:pPr>
      <w:r>
        <w:rPr>
          <w:rFonts w:ascii="Times New Roman" w:cs="Times New Roman" w:eastAsia="Times New Roman" w:hAnsi="Times New Roman"/>
          <w:b/>
          <w:bCs/>
          <w:sz w:val="28"/>
          <w:szCs w:val="28"/>
        </w:rPr>
        <w:t xml:space="preserve">3.3 The Liu et al. 1.24 Reference — A Critical Clarification</w:t>
      </w:r>
    </w:p>
    <w:p>
      <w:pPr>
        <w:spacing w:after="160" w:line="360" w:lineRule="auto"/>
        <w:ind w:firstLine="720"/>
        <w:jc w:val="both"/>
      </w:pPr>
      <w:r>
        <w:rPr>
          <w:rFonts w:ascii="Times New Roman" w:cs="Times New Roman" w:eastAsia="Times New Roman" w:hAnsi="Times New Roman"/>
          <w:sz w:val="24"/>
          <w:szCs w:val="24"/>
        </w:rPr>
        <w:t xml:space="preserve">Liu et al. report a mean CE loss of 1.24 for US wastewater in their paper. This number creates an expectation that external users should be able to score their wastewater data and obtain values near 1.24. This expectation is incorrect, and understanding why was one of the most important scientific contributions of this study.</w:t>
      </w:r>
    </w:p>
    <w:p>
      <w:pPr>
        <w:spacing w:after="160" w:line="360" w:lineRule="auto"/>
        <w:ind w:firstLine="720"/>
        <w:jc w:val="both"/>
      </w:pPr>
      <w:r>
        <w:rPr>
          <w:rFonts w:ascii="Times New Roman" w:cs="Times New Roman" w:eastAsia="Times New Roman" w:hAnsi="Times New Roman"/>
          <w:sz w:val="24"/>
          <w:szCs w:val="24"/>
        </w:rPr>
        <w:t xml:space="preserve">The 1.24 is the training-set loss — the mean CE loss computed on the model's own training sequences during the pre-training process. This is fundamentally different from evaluating the released model checkpoint on external held-out data. When a model is trained on data, it memorises statistical patterns from that data. The training loss reflects how well the model has learned these patterns through memorisation. External data — even if it comes from the same geographic location — will always score higher because the model has not seen it before.</w:t>
      </w:r>
    </w:p>
    <w:p>
      <w:pPr>
        <w:spacing w:after="160" w:line="360" w:lineRule="auto"/>
        <w:ind w:firstLine="720"/>
        <w:jc w:val="both"/>
      </w:pPr>
      <w:r>
        <w:rPr>
          <w:rFonts w:ascii="Times New Roman" w:cs="Times New Roman" w:eastAsia="Times New Roman" w:hAnsi="Times New Roman"/>
          <w:sz w:val="24"/>
          <w:szCs w:val="24"/>
        </w:rPr>
        <w:t xml:space="preserve">This distinction is analogous to the difference between a model's training accuracy and its test accuracy on unseen data. The 1.24 is training accuracy. Our external scores of 4.59–4.87 are test accuracy on genuinely unseen data. These numbers are not directly comparable. This finding was confirmed empirically through our systematic replication experiments.</w:t>
      </w:r>
    </w:p>
    <w:p>
      <w:r>
        <w:br w:type="page"/>
      </w:r>
    </w:p>
    <w:p>
      <w:pPr>
        <w:pStyle w:val="Heading1"/>
        <w:spacing w:after="200" w:before="480"/>
      </w:pPr>
      <w:r>
        <w:rPr>
          <w:rFonts w:ascii="Times New Roman" w:cs="Times New Roman" w:eastAsia="Times New Roman" w:hAnsi="Times New Roman"/>
          <w:b/>
          <w:bCs/>
          <w:sz w:val="32"/>
          <w:szCs w:val="32"/>
        </w:rPr>
        <w:t xml:space="preserve">4. Anomaly Scoring: Baseline Pipeline</w:t>
      </w:r>
    </w:p>
    <w:p>
      <w:pPr>
        <w:pStyle w:val="Heading2"/>
        <w:spacing w:after="120" w:before="320"/>
      </w:pPr>
      <w:r>
        <w:rPr>
          <w:rFonts w:ascii="Times New Roman" w:cs="Times New Roman" w:eastAsia="Times New Roman" w:hAnsi="Times New Roman"/>
          <w:b/>
          <w:bCs/>
          <w:sz w:val="28"/>
          <w:szCs w:val="28"/>
        </w:rPr>
        <w:t xml:space="preserve">4.1 Pipeline Implementation</w:t>
      </w:r>
    </w:p>
    <w:p>
      <w:pPr>
        <w:spacing w:after="160" w:line="360" w:lineRule="auto"/>
        <w:ind w:firstLine="720"/>
        <w:jc w:val="both"/>
      </w:pPr>
      <w:r>
        <w:rPr>
          <w:rFonts w:ascii="Times New Roman" w:cs="Times New Roman" w:eastAsia="Times New Roman" w:hAnsi="Times New Roman"/>
          <w:sz w:val="24"/>
          <w:szCs w:val="24"/>
        </w:rPr>
        <w:t xml:space="preserve">The anomaly scoring pipeline was implemented in Python using HuggingFace Transformers v4.40. The exact procedure replicates Section 5.5 of Liu et al. (2025):</w:t>
      </w:r>
    </w:p>
    <w:p>
      <w:pPr>
        <w:pStyle w:val="ListParagraph"/>
        <w:numPr>
          <w:ilvl w:val="0"/>
          <w:numId w:val="1"/>
        </w:numPr>
        <w:spacing w:after="80"/>
        <w:ind w:left="720"/>
      </w:pPr>
      <w:r>
        <w:rPr>
          <w:rFonts w:ascii="Times New Roman" w:cs="Times New Roman" w:eastAsia="Times New Roman" w:hAnsi="Times New Roman"/>
          <w:sz w:val="24"/>
          <w:szCs w:val="24"/>
        </w:rPr>
        <w:t xml:space="preserve">Load METAGENE-1 in float16 precision using device_map="cuda"</w:t>
      </w:r>
    </w:p>
    <w:p>
      <w:pPr>
        <w:pStyle w:val="ListParagraph"/>
        <w:numPr>
          <w:ilvl w:val="0"/>
          <w:numId w:val="1"/>
        </w:numPr>
        <w:spacing w:after="80"/>
        <w:ind w:left="720"/>
      </w:pPr>
      <w:r>
        <w:rPr>
          <w:rFonts w:ascii="Times New Roman" w:cs="Times New Roman" w:eastAsia="Times New Roman" w:hAnsi="Times New Roman"/>
          <w:sz w:val="24"/>
          <w:szCs w:val="24"/>
        </w:rPr>
        <w:t xml:space="preserve">For each sample, randomly subsample 5,000 forward reads (R1) with seed=42</w:t>
      </w:r>
    </w:p>
    <w:p>
      <w:pPr>
        <w:pStyle w:val="ListParagraph"/>
        <w:numPr>
          <w:ilvl w:val="0"/>
          <w:numId w:val="1"/>
        </w:numPr>
        <w:spacing w:after="80"/>
        <w:ind w:left="720"/>
      </w:pPr>
      <w:r>
        <w:rPr>
          <w:rFonts w:ascii="Times New Roman" w:cs="Times New Roman" w:eastAsia="Times New Roman" w:hAnsi="Times New Roman"/>
          <w:sz w:val="24"/>
          <w:szCs w:val="24"/>
        </w:rPr>
        <w:t xml:space="preserve">Tokenise each read using the METAGENE-1 BPE tokeniser (add_special_tokens=False, max_length=512, no padding for individual reads or left-padding for batches)</w:t>
      </w:r>
    </w:p>
    <w:p>
      <w:pPr>
        <w:pStyle w:val="ListParagraph"/>
        <w:numPr>
          <w:ilvl w:val="0"/>
          <w:numId w:val="1"/>
        </w:numPr>
        <w:spacing w:after="80"/>
        <w:ind w:left="720"/>
      </w:pPr>
      <w:r>
        <w:rPr>
          <w:rFonts w:ascii="Times New Roman" w:cs="Times New Roman" w:eastAsia="Times New Roman" w:hAnsi="Times New Roman"/>
          <w:sz w:val="24"/>
          <w:szCs w:val="24"/>
        </w:rPr>
        <w:t xml:space="preserve">Pass tokenised sequences through the frozen model (no gradient computation)</w:t>
      </w:r>
    </w:p>
    <w:p>
      <w:pPr>
        <w:pStyle w:val="ListParagraph"/>
        <w:numPr>
          <w:ilvl w:val="0"/>
          <w:numId w:val="1"/>
        </w:numPr>
        <w:spacing w:after="80"/>
        <w:ind w:left="720"/>
      </w:pPr>
      <w:r>
        <w:rPr>
          <w:rFonts w:ascii="Times New Roman" w:cs="Times New Roman" w:eastAsia="Times New Roman" w:hAnsi="Times New Roman"/>
          <w:sz w:val="24"/>
          <w:szCs w:val="24"/>
        </w:rPr>
        <w:t xml:space="preserve">Compute per-read CE loss: for each read, compute cross-entropy between predicted logits and actual tokens, average over all tokens in the read (excluding padding tokens using the attention mask)</w:t>
      </w:r>
    </w:p>
    <w:p>
      <w:pPr>
        <w:pStyle w:val="ListParagraph"/>
        <w:numPr>
          <w:ilvl w:val="0"/>
          <w:numId w:val="1"/>
        </w:numPr>
        <w:spacing w:after="80"/>
        <w:ind w:left="720"/>
      </w:pPr>
      <w:r>
        <w:rPr>
          <w:rFonts w:ascii="Times New Roman" w:cs="Times New Roman" w:eastAsia="Times New Roman" w:hAnsi="Times New Roman"/>
          <w:sz w:val="24"/>
          <w:szCs w:val="24"/>
        </w:rPr>
        <w:t xml:space="preserve">Compute mean CE loss across all 5,000 reads for the sample</w:t>
      </w:r>
    </w:p>
    <w:p>
      <w:pPr>
        <w:spacing w:after="80"/>
      </w:pPr>
    </w:p>
    <w:p>
      <w:pPr>
        <w:spacing w:after="160" w:line="360" w:lineRule="auto"/>
        <w:ind w:firstLine="720"/>
        <w:jc w:val="both"/>
      </w:pPr>
      <w:r>
        <w:rPr>
          <w:rFonts w:ascii="Times New Roman" w:cs="Times New Roman" w:eastAsia="Times New Roman" w:hAnsi="Times New Roman"/>
          <w:sz w:val="24"/>
          <w:szCs w:val="24"/>
        </w:rPr>
        <w:t xml:space="preserve">A critical implementation detail: CE loss is computed manually rather than using the model's built-in .loss output. The built-in loss averages over all tokens including padding tokens, which inflates the score when reads are batched with padding. The manual computation correctly masks padding tokens and averages only over real sequence tokens. This was verified by confirming that the built-in loss gives 7.38 (inflated due to padding) while manual computation gives 4.57 on the same data — a substantial difference.</w:t>
      </w:r>
    </w:p>
    <w:p>
      <w:pPr>
        <w:spacing w:after="160" w:line="360" w:lineRule="auto"/>
        <w:ind w:firstLine="720"/>
        <w:jc w:val="both"/>
      </w:pPr>
      <w:r>
        <w:rPr>
          <w:rFonts w:ascii="Times New Roman" w:cs="Times New Roman" w:eastAsia="Times New Roman" w:hAnsi="Times New Roman"/>
          <w:sz w:val="24"/>
          <w:szCs w:val="24"/>
        </w:rPr>
        <w:t xml:space="preserve">All scoring used float16 autocast (torch.amp.autocast with dtype=torch.float16). We verified that float16 and float32 give numerically identical results (difference: 0.000005 CE units), confirming float16 introduces no meaningful numerical error.</w:t>
      </w:r>
    </w:p>
    <w:p>
      <w:pPr>
        <w:pStyle w:val="Heading2"/>
        <w:spacing w:after="120" w:before="320"/>
      </w:pPr>
      <w:r>
        <w:rPr>
          <w:rFonts w:ascii="Times New Roman" w:cs="Times New Roman" w:eastAsia="Times New Roman" w:hAnsi="Times New Roman"/>
          <w:b/>
          <w:bCs/>
          <w:sz w:val="28"/>
          <w:szCs w:val="28"/>
        </w:rPr>
        <w:t xml:space="preserve">4.2 Tokenisation Verification</w:t>
      </w:r>
    </w:p>
    <w:p>
      <w:pPr>
        <w:spacing w:after="160" w:line="360" w:lineRule="auto"/>
        <w:ind w:firstLine="720"/>
        <w:jc w:val="both"/>
      </w:pPr>
      <w:r>
        <w:rPr>
          <w:rFonts w:ascii="Times New Roman" w:cs="Times New Roman" w:eastAsia="Times New Roman" w:hAnsi="Times New Roman"/>
          <w:sz w:val="24"/>
          <w:szCs w:val="24"/>
        </w:rPr>
        <w:t xml:space="preserve">Before proceeding with any biological analysis, the tokeniser was verified to be functioning correctly. This was essential because incorrect tokenisation would invalidate all downstream results.</w:t>
      </w:r>
    </w:p>
    <w:p>
      <w:pPr>
        <w:spacing w:after="160" w:line="360" w:lineRule="auto"/>
        <w:ind w:firstLine="720"/>
        <w:jc w:val="both"/>
      </w:pPr>
      <w:r>
        <w:rPr>
          <w:rFonts w:ascii="Times New Roman" w:cs="Times New Roman" w:eastAsia="Times New Roman" w:hAnsi="Times New Roman"/>
          <w:sz w:val="24"/>
          <w:szCs w:val="24"/>
        </w:rPr>
        <w:t xml:space="preserve">The verification showed: vocabulary size 1,024 (correct), tokeniser type TokenizersBackend (correct), mean 3.9 bp per token for a test DNA sequence (consistent with BPE on DNA), token decoding confirms k-mer patterns (e.g. "ATCGATCG..." → tokens ["_A", "TCGA", "TCGA", "TCGA", ...]). The model's built-in loss and our manual CE calculation agreed exactly (4.9967 vs 4.9967 for simple repeat sequences). No tokenisation errors were detected.</w:t>
      </w:r>
    </w:p>
    <w:p>
      <w:pPr>
        <w:pStyle w:val="Heading2"/>
        <w:spacing w:after="120" w:before="320"/>
      </w:pPr>
      <w:r>
        <w:rPr>
          <w:rFonts w:ascii="Times New Roman" w:cs="Times New Roman" w:eastAsia="Times New Roman" w:hAnsi="Times New Roman"/>
          <w:b/>
          <w:bCs/>
          <w:sz w:val="28"/>
          <w:szCs w:val="28"/>
        </w:rPr>
        <w:t xml:space="preserve">4.3 Baseline Gujarat Scoring Results</w:t>
      </w:r>
    </w:p>
    <w:p>
      <w:pPr>
        <w:spacing w:after="160" w:line="360" w:lineRule="auto"/>
        <w:ind w:firstLine="720"/>
        <w:jc w:val="both"/>
      </w:pPr>
      <w:r>
        <w:rPr>
          <w:rFonts w:ascii="Times New Roman" w:cs="Times New Roman" w:eastAsia="Times New Roman" w:hAnsi="Times New Roman"/>
          <w:sz w:val="24"/>
          <w:szCs w:val="24"/>
        </w:rPr>
        <w:t xml:space="preserve">The baseline anomaly scoring was conducted on all 95 Gujarat samples using 5,000 reads per sample with seed=42. The results established the primary dataset: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3160"/>
      </w:tblGrid>
      <w:tr>
        <w:trPr>
          <w:tblHeader/>
        </w:trPr>
        <w:tc>
          <w:tcPr>
            <w:tcW w:type="dxa" w:w="200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City</w:t>
            </w:r>
          </w:p>
        </w:tc>
        <w:tc>
          <w:tcPr>
            <w:tcW w:type="dxa" w:w="160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Mean CE Loss</w:t>
            </w:r>
          </w:p>
        </w:tc>
        <w:tc>
          <w:tcPr>
            <w:tcW w:type="dxa" w:w="160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SD</w:t>
            </w:r>
          </w:p>
        </w:tc>
        <w:tc>
          <w:tcPr>
            <w:tcW w:type="dxa" w:w="316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Range across samples</w:t>
            </w:r>
          </w:p>
        </w:tc>
      </w:tr>
      <w:tr>
        <w:trPr>
          <w:tblHeader w:val="false"/>
        </w:trP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Ahmedabad</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4.917</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0.063</w:t>
            </w:r>
          </w:p>
        </w:tc>
        <w:tc>
          <w:tcPr>
            <w:tcW w:type="dxa" w:w="31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4.857 – 5.026</w:t>
            </w:r>
          </w:p>
        </w:tc>
      </w:tr>
      <w:tr>
        <w:trPr>
          <w:tblHeader w:val="false"/>
        </w:trP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Gandhinagar</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4.866</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0.058</w:t>
            </w:r>
          </w:p>
        </w:tc>
        <w:tc>
          <w:tcPr>
            <w:tcW w:type="dxa" w:w="31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4.759 – 4.875</w:t>
            </w:r>
          </w:p>
        </w:tc>
      </w:tr>
      <w:tr>
        <w:trPr>
          <w:tblHeader w:val="false"/>
        </w:trP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Rajkot</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4.857</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0.060</w:t>
            </w:r>
          </w:p>
        </w:tc>
        <w:tc>
          <w:tcPr>
            <w:tcW w:type="dxa" w:w="31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4.782 – 4.953</w:t>
            </w:r>
          </w:p>
        </w:tc>
      </w:tr>
      <w:tr>
        <w:trPr>
          <w:tblHeader w:val="false"/>
        </w:trP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Vadodara</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4.830</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0.066</w:t>
            </w:r>
          </w:p>
        </w:tc>
        <w:tc>
          <w:tcPr>
            <w:tcW w:type="dxa" w:w="31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4.723 – 4.928</w:t>
            </w:r>
          </w:p>
        </w:tc>
      </w:tr>
      <w:tr>
        <w:trPr>
          <w:tblHeader w:val="false"/>
        </w:trP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ALL GUJARAT</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4.865</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0.066</w:t>
            </w:r>
          </w:p>
        </w:tc>
        <w:tc>
          <w:tcPr>
            <w:tcW w:type="dxa" w:w="31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4.723 – 5.026</w:t>
            </w:r>
          </w:p>
        </w:tc>
      </w:tr>
    </w:tbl>
    <w:p>
      <w:pPr>
        <w:spacing w:after="200" w:before="60"/>
        <w:jc w:val="center"/>
      </w:pPr>
      <w:r>
        <w:rPr>
          <w:rFonts w:ascii="Times New Roman" w:cs="Times New Roman" w:eastAsia="Times New Roman" w:hAnsi="Times New Roman"/>
          <w:i/>
          <w:iCs/>
          <w:sz w:val="20"/>
          <w:szCs w:val="20"/>
        </w:rPr>
        <w:t xml:space="preserve">Table 2. Baseline anomaly scoring results for all 95 Gujarat wastewater samples.</w:t>
      </w:r>
    </w:p>
    <w:p>
      <w:pPr>
        <w:spacing w:after="80"/>
      </w:pPr>
    </w:p>
    <w:p>
      <w:pPr>
        <w:spacing w:after="160" w:line="360" w:lineRule="auto"/>
        <w:ind w:firstLine="720"/>
        <w:jc w:val="both"/>
      </w:pPr>
      <w:r>
        <w:rPr>
          <w:rFonts w:ascii="Times New Roman" w:cs="Times New Roman" w:eastAsia="Times New Roman" w:hAnsi="Times New Roman"/>
          <w:sz w:val="24"/>
          <w:szCs w:val="24"/>
        </w:rPr>
        <w:t xml:space="preserve">The seasonal breakdown showed: Monsoon 4.909, Summer 4.896, Winter 4.857, PreWinter 4.804. Monsoon samples were consistently the most anomalous — consistent with the hypothesis that monsoon rainfall introduces environmental organisms into wastewater, creating sequences more distant from the urban-dominated US wastewater training distribution.</w:t>
      </w:r>
    </w:p>
    <w:p>
      <w:pPr>
        <w:spacing w:after="160" w:line="360" w:lineRule="auto"/>
        <w:ind w:firstLine="720"/>
        <w:jc w:val="both"/>
      </w:pPr>
      <w:r>
        <w:rPr>
          <w:rFonts w:ascii="Times New Roman" w:cs="Times New Roman" w:eastAsia="Times New Roman" w:hAnsi="Times New Roman"/>
          <w:sz w:val="24"/>
          <w:szCs w:val="24"/>
        </w:rPr>
        <w:t xml:space="preserve">Most anomalous individual sample: AAMO_R1 (Ahmedabad Monsoon, CE loss 5.026). This sample became a recurring point of interest throughout the study because it consistently showed the highest anomaly under every experimental configuration, and uniquely resisted adaptation under fine-tuning.</w:t>
      </w:r>
    </w:p>
    <w:p>
      <w:pPr>
        <w:spacing w:after="160" w:line="360" w:lineRule="auto"/>
        <w:ind w:firstLine="720"/>
        <w:jc w:val="both"/>
      </w:pPr>
      <w:r>
        <w:rPr>
          <w:rFonts w:ascii="Times New Roman" w:cs="Times New Roman" w:eastAsia="Times New Roman" w:hAnsi="Times New Roman"/>
          <w:sz w:val="24"/>
          <w:szCs w:val="24"/>
        </w:rPr>
        <w:t xml:space="preserve">Least anomalous samples: VCPW_R1 and RPPW_R1 (Vadodara and Rajkot PreWinter, CE loss 4.72–4.78). PreWinter samples from Rajkot and Vadodara were consistently the most "familiar" to the model, suggesting their microbial communities have the most overlap with US wastewater.</w:t>
      </w:r>
    </w:p>
    <w:p>
      <w:r>
        <w:br w:type="page"/>
      </w:r>
    </w:p>
    <w:p>
      <w:pPr>
        <w:pStyle w:val="Heading1"/>
        <w:spacing w:after="200" w:before="480"/>
      </w:pPr>
      <w:r>
        <w:rPr>
          <w:rFonts w:ascii="Times New Roman" w:cs="Times New Roman" w:eastAsia="Times New Roman" w:hAnsi="Times New Roman"/>
          <w:b/>
          <w:bCs/>
          <w:sz w:val="32"/>
          <w:szCs w:val="32"/>
        </w:rPr>
        <w:t xml:space="preserve">5. Pipeline Validation</w:t>
      </w:r>
    </w:p>
    <w:p>
      <w:pPr>
        <w:pStyle w:val="Heading2"/>
        <w:spacing w:after="120" w:before="320"/>
      </w:pPr>
      <w:r>
        <w:rPr>
          <w:rFonts w:ascii="Times New Roman" w:cs="Times New Roman" w:eastAsia="Times New Roman" w:hAnsi="Times New Roman"/>
          <w:b/>
          <w:bCs/>
          <w:sz w:val="28"/>
          <w:szCs w:val="28"/>
        </w:rPr>
        <w:t xml:space="preserve">5.1 The Validation Challenge</w:t>
      </w:r>
    </w:p>
    <w:p>
      <w:pPr>
        <w:spacing w:after="160" w:line="360" w:lineRule="auto"/>
        <w:ind w:firstLine="720"/>
        <w:jc w:val="both"/>
      </w:pPr>
      <w:r>
        <w:rPr>
          <w:rFonts w:ascii="Times New Roman" w:cs="Times New Roman" w:eastAsia="Times New Roman" w:hAnsi="Times New Roman"/>
          <w:sz w:val="24"/>
          <w:szCs w:val="24"/>
        </w:rPr>
        <w:t xml:space="preserve">A fundamental challenge in this study was validating the anomaly scoring pipeline against a ground truth. We cannot directly compare our Gujarat CE loss values to the Liu et al. 1.24 reference (as explained in Section 3.3). We needed an independent way to verify that our pipeline is correctly implementing the intended scoring procedure.</w:t>
      </w:r>
    </w:p>
    <w:p>
      <w:pPr>
        <w:spacing w:after="160" w:line="360" w:lineRule="auto"/>
        <w:ind w:firstLine="720"/>
        <w:jc w:val="both"/>
      </w:pPr>
      <w:r>
        <w:rPr>
          <w:rFonts w:ascii="Times New Roman" w:cs="Times New Roman" w:eastAsia="Times New Roman" w:hAnsi="Times New Roman"/>
          <w:sz w:val="24"/>
          <w:szCs w:val="24"/>
        </w:rPr>
        <w:t xml:space="preserve">The solution was to use the human genome as a reproducible out-of-distribution (OOD) anchor. Liu et al. report a CE loss of 5.22 for human genome sequences scored under METAGENE-1. The human genome is maximally out-of-distribution for a wastewater-trained model — it has extremely different sequence composition, GC content, repeat structure, and gene content compared to microbial sequences. This high CE loss value is reproducible by any external group because human genome data is publicly available.</w:t>
      </w:r>
    </w:p>
    <w:p>
      <w:pPr>
        <w:pStyle w:val="Heading2"/>
        <w:spacing w:after="120" w:before="320"/>
      </w:pPr>
      <w:r>
        <w:rPr>
          <w:rFonts w:ascii="Times New Roman" w:cs="Times New Roman" w:eastAsia="Times New Roman" w:hAnsi="Times New Roman"/>
          <w:b/>
          <w:bCs/>
          <w:sz w:val="28"/>
          <w:szCs w:val="28"/>
        </w:rPr>
        <w:t xml:space="preserve">5.2 Initial Human Genome Validation Attempt</w:t>
      </w:r>
    </w:p>
    <w:p>
      <w:pPr>
        <w:spacing w:after="160" w:line="360" w:lineRule="auto"/>
        <w:ind w:firstLine="720"/>
        <w:jc w:val="both"/>
      </w:pPr>
      <w:r>
        <w:rPr>
          <w:rFonts w:ascii="Times New Roman" w:cs="Times New Roman" w:eastAsia="Times New Roman" w:hAnsi="Times New Roman"/>
          <w:sz w:val="24"/>
          <w:szCs w:val="24"/>
        </w:rPr>
        <w:t xml:space="preserve">The first attempt at human genome validation used synthetic fragments generated by slicing chromosome 1 of GRCh38 into consecutive 150 bp windows. This produced a CE loss of 11.72 ± 7.54 — substantially higher than Liu et al.'s reference of 5.22.</w:t>
      </w:r>
    </w:p>
    <w:p>
      <w:pPr>
        <w:spacing w:after="160" w:line="360" w:lineRule="auto"/>
        <w:ind w:firstLine="720"/>
        <w:jc w:val="both"/>
      </w:pPr>
      <w:r>
        <w:rPr>
          <w:rFonts w:ascii="Times New Roman" w:cs="Times New Roman" w:eastAsia="Times New Roman" w:hAnsi="Times New Roman"/>
          <w:sz w:val="24"/>
          <w:szCs w:val="24"/>
        </w:rPr>
        <w:t xml:space="preserve">Investigation of this discrepancy revealed an important biological insight: the GRCh38 reference genome contains approximately 50% repetitive elements — LINEs, SINEs, satellite repeats, centromeric regions. These regions are structurally unlike any microbial sequence in the training data, and the model assigns very low probability to them, producing extremely high CE loss. Real Illumina sequencing reads avoid most of these repetitive regions because they are physically unsequenceable by short-read technology.</w:t>
      </w:r>
    </w:p>
    <w:p>
      <w:pPr>
        <w:pStyle w:val="Heading2"/>
        <w:spacing w:after="120" w:before="320"/>
      </w:pPr>
      <w:r>
        <w:rPr>
          <w:rFonts w:ascii="Times New Roman" w:cs="Times New Roman" w:eastAsia="Times New Roman" w:hAnsi="Times New Roman"/>
          <w:b/>
          <w:bCs/>
          <w:sz w:val="28"/>
          <w:szCs w:val="28"/>
        </w:rPr>
        <w:t xml:space="preserve">5.3 Corrected Validation Using Real WGS Reads</w:t>
      </w:r>
    </w:p>
    <w:p>
      <w:pPr>
        <w:spacing w:after="160" w:line="360" w:lineRule="auto"/>
        <w:ind w:firstLine="720"/>
        <w:jc w:val="both"/>
      </w:pPr>
      <w:r>
        <w:rPr>
          <w:rFonts w:ascii="Times New Roman" w:cs="Times New Roman" w:eastAsia="Times New Roman" w:hAnsi="Times New Roman"/>
          <w:sz w:val="24"/>
          <w:szCs w:val="24"/>
        </w:rPr>
        <w:t xml:space="preserve">The correct approach is to use actual sequenced reads from a human genome, not synthetic reference fragments. NA12878 (Genome in a Bottle human reference cell line) WGS data was downloaded from SRA (accession SRR1518158; Illumina 150bp paired-end reads). This is the same type of data Liu et al. used for their human genome reference.</w:t>
      </w:r>
    </w:p>
    <w:p>
      <w:pPr>
        <w:spacing w:after="160" w:line="360" w:lineRule="auto"/>
        <w:ind w:firstLine="720"/>
        <w:jc w:val="both"/>
      </w:pPr>
      <w:r>
        <w:rPr>
          <w:rFonts w:ascii="Times New Roman" w:cs="Times New Roman" w:eastAsia="Times New Roman" w:hAnsi="Times New Roman"/>
          <w:sz w:val="24"/>
          <w:szCs w:val="24"/>
        </w:rPr>
        <w:t xml:space="preserve">Scoring 5,000 NA12878 WGS reads with our pipeline gave: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800"/>
        <w:gridCol w:w="2760"/>
      </w:tblGrid>
      <w:tr>
        <w:trPr>
          <w:tblHeader/>
        </w:trPr>
        <w:tc>
          <w:tcPr>
            <w:tcW w:type="dxa" w:w="320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Source</w:t>
            </w:r>
          </w:p>
        </w:tc>
        <w:tc>
          <w:tcPr>
            <w:tcW w:type="dxa" w:w="160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CE Loss</w:t>
            </w:r>
          </w:p>
        </w:tc>
        <w:tc>
          <w:tcPr>
            <w:tcW w:type="dxa" w:w="180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SD</w:t>
            </w:r>
          </w:p>
        </w:tc>
        <w:tc>
          <w:tcPr>
            <w:tcW w:type="dxa" w:w="276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Status</w:t>
            </w:r>
          </w:p>
        </w:tc>
      </w:tr>
      <w:tr>
        <w:trPr>
          <w:tblHeader w:val="false"/>
        </w:trP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Liu et al. published human genome reference</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5.220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w:t>
            </w:r>
          </w:p>
        </w:tc>
        <w:tc>
          <w:tcPr>
            <w:tcW w:type="dxa" w:w="27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Target</w:t>
            </w:r>
          </w:p>
        </w:tc>
      </w:tr>
      <w:tr>
        <w:trPr>
          <w:tblHeader w:val="false"/>
        </w:trP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Our NA12878 WGS scoring</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5.490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0.454</w:t>
            </w:r>
          </w:p>
        </w:tc>
        <w:tc>
          <w:tcPr>
            <w:tcW w:type="dxa" w:w="27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Δ=0.270 from target</w:t>
            </w:r>
          </w:p>
        </w:tc>
      </w:tr>
      <w:tr>
        <w:trPr>
          <w:tblHeader w:val="false"/>
        </w:trP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Difference</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0.270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w:t>
            </w:r>
          </w:p>
        </w:tc>
        <w:tc>
          <w:tcPr>
            <w:tcW w:type="dxa" w:w="27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 Within expected range — VALIDATED</w:t>
            </w:r>
          </w:p>
        </w:tc>
      </w:tr>
    </w:tbl>
    <w:p>
      <w:pPr>
        <w:spacing w:after="200" w:before="60"/>
        <w:jc w:val="center"/>
      </w:pPr>
      <w:r>
        <w:rPr>
          <w:rFonts w:ascii="Times New Roman" w:cs="Times New Roman" w:eastAsia="Times New Roman" w:hAnsi="Times New Roman"/>
          <w:i/>
          <w:iCs/>
          <w:sz w:val="20"/>
          <w:szCs w:val="20"/>
        </w:rPr>
        <w:t xml:space="preserve">Table 3. Pipeline validation results. A difference of 0.270 CE units between different cell lines and sequencing runs is expected and acceptable.</w:t>
      </w:r>
    </w:p>
    <w:p>
      <w:pPr>
        <w:spacing w:after="80"/>
      </w:pPr>
    </w:p>
    <w:p>
      <w:pPr>
        <w:spacing w:after="160" w:line="360" w:lineRule="auto"/>
        <w:ind w:firstLine="720"/>
        <w:jc w:val="both"/>
      </w:pPr>
      <w:r>
        <w:rPr>
          <w:rFonts w:ascii="Times New Roman" w:cs="Times New Roman" w:eastAsia="Times New Roman" w:hAnsi="Times New Roman"/>
          <w:sz w:val="24"/>
          <w:szCs w:val="24"/>
        </w:rPr>
        <w:t xml:space="preserve">The difference of 0.270 CE units between our result and the Liu et al. reference is well within the expected variation from using different cell lines (NA12878 vs whatever Liu et al. used), different sequencing platforms, different read quality profiles, and different run conditions. This validation confirms that our model and tokeniser are loaded correctly and functioning as intended.</w:t>
      </w:r>
    </w:p>
    <w:p>
      <w:pPr>
        <w:pStyle w:val="Heading2"/>
        <w:spacing w:after="120" w:before="320"/>
      </w:pPr>
      <w:r>
        <w:rPr>
          <w:rFonts w:ascii="Times New Roman" w:cs="Times New Roman" w:eastAsia="Times New Roman" w:hAnsi="Times New Roman"/>
          <w:b/>
          <w:bCs/>
          <w:sz w:val="28"/>
          <w:szCs w:val="28"/>
        </w:rPr>
        <w:t xml:space="preserve">5.4 US Wastewater External Validation</w:t>
      </w:r>
    </w:p>
    <w:p>
      <w:pPr>
        <w:spacing w:after="160" w:line="360" w:lineRule="auto"/>
        <w:ind w:firstLine="720"/>
        <w:jc w:val="both"/>
      </w:pPr>
      <w:r>
        <w:rPr>
          <w:rFonts w:ascii="Times New Roman" w:cs="Times New Roman" w:eastAsia="Times New Roman" w:hAnsi="Times New Roman"/>
          <w:sz w:val="24"/>
          <w:szCs w:val="24"/>
        </w:rPr>
        <w:t xml:space="preserve">In addition to the human genome validation, three Rothman et al. (2020) Southern California WWTP samples were scored as a US external control:</w:t>
      </w:r>
    </w:p>
    <w:p>
      <w:pPr>
        <w:pStyle w:val="ListParagraph"/>
        <w:numPr>
          <w:ilvl w:val="0"/>
          <w:numId w:val="1"/>
        </w:numPr>
        <w:spacing w:after="80"/>
        <w:ind w:left="720"/>
      </w:pPr>
      <w:r>
        <w:rPr>
          <w:rFonts w:ascii="Times New Roman" w:cs="Times New Roman" w:eastAsia="Times New Roman" w:hAnsi="Times New Roman"/>
          <w:sz w:val="24"/>
          <w:szCs w:val="24"/>
        </w:rPr>
        <w:t xml:space="preserve">SRR12352294 (Hyperion WRP): CE loss 4.572</w:t>
      </w:r>
    </w:p>
    <w:p>
      <w:pPr>
        <w:pStyle w:val="ListParagraph"/>
        <w:numPr>
          <w:ilvl w:val="0"/>
          <w:numId w:val="1"/>
        </w:numPr>
        <w:spacing w:after="80"/>
        <w:ind w:left="720"/>
      </w:pPr>
      <w:r>
        <w:rPr>
          <w:rFonts w:ascii="Times New Roman" w:cs="Times New Roman" w:eastAsia="Times New Roman" w:hAnsi="Times New Roman"/>
          <w:sz w:val="24"/>
          <w:szCs w:val="24"/>
        </w:rPr>
        <w:t xml:space="preserve">SRR12352296 (San Jose Creek WRP): CE loss 4.571</w:t>
      </w:r>
    </w:p>
    <w:p>
      <w:pPr>
        <w:pStyle w:val="ListParagraph"/>
        <w:numPr>
          <w:ilvl w:val="0"/>
          <w:numId w:val="1"/>
        </w:numPr>
        <w:spacing w:after="80"/>
        <w:ind w:left="720"/>
      </w:pPr>
      <w:r>
        <w:rPr>
          <w:rFonts w:ascii="Times New Roman" w:cs="Times New Roman" w:eastAsia="Times New Roman" w:hAnsi="Times New Roman"/>
          <w:sz w:val="24"/>
          <w:szCs w:val="24"/>
        </w:rPr>
        <w:t xml:space="preserve">SRR12352299 (Point Loma WTP): CE loss 4.636</w:t>
      </w:r>
    </w:p>
    <w:p>
      <w:pPr>
        <w:pStyle w:val="ListParagraph"/>
        <w:numPr>
          <w:ilvl w:val="0"/>
          <w:numId w:val="1"/>
        </w:numPr>
        <w:spacing w:after="80"/>
        <w:ind w:left="720"/>
      </w:pPr>
      <w:r>
        <w:rPr>
          <w:rFonts w:ascii="Times New Roman" w:cs="Times New Roman" w:eastAsia="Times New Roman" w:hAnsi="Times New Roman"/>
          <w:sz w:val="24"/>
          <w:szCs w:val="24"/>
        </w:rPr>
        <w:t xml:space="preserve">Mean US WW external: 4.593 ± 0.053</w:t>
      </w:r>
    </w:p>
    <w:p>
      <w:pPr>
        <w:spacing w:after="80"/>
      </w:pPr>
    </w:p>
    <w:p>
      <w:pPr>
        <w:spacing w:after="160" w:line="360" w:lineRule="auto"/>
        <w:ind w:firstLine="720"/>
        <w:jc w:val="both"/>
      </w:pPr>
      <w:r>
        <w:rPr>
          <w:rFonts w:ascii="Times New Roman" w:cs="Times New Roman" w:eastAsia="Times New Roman" w:hAnsi="Times New Roman"/>
          <w:sz w:val="24"/>
          <w:szCs w:val="24"/>
        </w:rPr>
        <w:t xml:space="preserve">This established the within-study US baseline. Both US WW external and Gujarat WW external were computed using identical pipeline applied in the same session. The geographic gap is therefore a within-study comparison not subject to cross-platform technical artefacts.</w:t>
      </w:r>
    </w:p>
    <w:p>
      <w:r>
        <w:br w:type="page"/>
      </w:r>
    </w:p>
    <w:p>
      <w:pPr>
        <w:pStyle w:val="Heading1"/>
        <w:spacing w:after="200" w:before="480"/>
      </w:pPr>
      <w:r>
        <w:rPr>
          <w:rFonts w:ascii="Times New Roman" w:cs="Times New Roman" w:eastAsia="Times New Roman" w:hAnsi="Times New Roman"/>
          <w:b/>
          <w:bCs/>
          <w:sz w:val="32"/>
          <w:szCs w:val="32"/>
        </w:rPr>
        <w:t xml:space="preserve">6. Systematic Replication Experiments</w:t>
      </w:r>
    </w:p>
    <w:p>
      <w:pPr>
        <w:pStyle w:val="Heading2"/>
        <w:spacing w:after="120" w:before="320"/>
      </w:pPr>
      <w:r>
        <w:rPr>
          <w:rFonts w:ascii="Times New Roman" w:cs="Times New Roman" w:eastAsia="Times New Roman" w:hAnsi="Times New Roman"/>
          <w:b/>
          <w:bCs/>
          <w:sz w:val="28"/>
          <w:szCs w:val="28"/>
        </w:rPr>
        <w:t xml:space="preserve">6.1 Rationale for 11-Configuration Testing</w:t>
      </w:r>
    </w:p>
    <w:p>
      <w:pPr>
        <w:spacing w:after="160" w:line="360" w:lineRule="auto"/>
        <w:ind w:firstLine="720"/>
        <w:jc w:val="both"/>
      </w:pPr>
      <w:r>
        <w:rPr>
          <w:rFonts w:ascii="Times New Roman" w:cs="Times New Roman" w:eastAsia="Times New Roman" w:hAnsi="Times New Roman"/>
          <w:sz w:val="24"/>
          <w:szCs w:val="24"/>
        </w:rPr>
        <w:t xml:space="preserve">The most important methodological question in this study was: is the geographic gap (Gujarat higher CE loss than US) a genuine biological signal or a pipeline artefact? To answer this rigorously, we designed a systematic replication study that varied 11 parameters of the scoring pipeline, testing each on both US wastewater and Gujarat wastewater samples. The geographic gap is real if it is observed consistently across all configurations. A pipeline artefact would produce inconsistent or configuration-dependent gaps.</w:t>
      </w:r>
    </w:p>
    <w:p>
      <w:pPr>
        <w:spacing w:after="160" w:line="360" w:lineRule="auto"/>
        <w:ind w:firstLine="720"/>
        <w:jc w:val="both"/>
      </w:pPr>
      <w:r>
        <w:rPr>
          <w:rFonts w:ascii="Times New Roman" w:cs="Times New Roman" w:eastAsia="Times New Roman" w:hAnsi="Times New Roman"/>
          <w:sz w:val="24"/>
          <w:szCs w:val="24"/>
        </w:rPr>
        <w:t xml:space="preserve">This approach was inspired by the observation that Liu et al. did not provide sufficient methodological detail to precisely reproduce their pipeline. Multiple parameters could conceivably affect CE loss: read length filtering, max_length truncation, strand orientation, loss computation method, floating-point precision, number of reads, special token handling, and data source. Rather than guessing which parameters Liu et al. used, we tested all of them systematically.</w:t>
      </w:r>
    </w:p>
    <w:p>
      <w:pPr>
        <w:pStyle w:val="Heading2"/>
        <w:spacing w:after="120" w:before="320"/>
      </w:pPr>
      <w:r>
        <w:rPr>
          <w:rFonts w:ascii="Times New Roman" w:cs="Times New Roman" w:eastAsia="Times New Roman" w:hAnsi="Times New Roman"/>
          <w:b/>
          <w:bCs/>
          <w:sz w:val="28"/>
          <w:szCs w:val="28"/>
        </w:rPr>
        <w:t xml:space="preserve">6.2 Experiments on US Wastewater Data</w:t>
      </w:r>
    </w:p>
    <w:p>
      <w:pPr>
        <w:spacing w:after="160" w:line="360" w:lineRule="auto"/>
        <w:ind w:firstLine="720"/>
        <w:jc w:val="both"/>
      </w:pPr>
      <w:r>
        <w:rPr>
          <w:rFonts w:ascii="Times New Roman" w:cs="Times New Roman" w:eastAsia="Times New Roman" w:hAnsi="Times New Roman"/>
          <w:sz w:val="24"/>
          <w:szCs w:val="24"/>
        </w:rPr>
        <w:t xml:space="preserve">The 11 experiments were first conducted on Rothman et al. (2020) US wastewater data to characterise the pipeline sensitivity before applying to Gujarat. Key findings:</w:t>
      </w:r>
    </w:p>
    <w:p>
      <w:pPr>
        <w:pStyle w:val="Heading3"/>
        <w:spacing w:after="80" w:before="200"/>
      </w:pPr>
      <w:r>
        <w:rPr>
          <w:rFonts w:ascii="Times New Roman" w:cs="Times New Roman" w:eastAsia="Times New Roman" w:hAnsi="Times New Roman"/>
          <w:b/>
          <w:bCs/>
          <w:i/>
          <w:iCs/>
          <w:sz w:val="26"/>
          <w:szCs w:val="26"/>
        </w:rPr>
        <w:t xml:space="preserve">Experiment 1: Baseline</w:t>
      </w:r>
    </w:p>
    <w:p>
      <w:pPr>
        <w:spacing w:after="160" w:line="360" w:lineRule="auto"/>
        <w:ind w:firstLine="720"/>
        <w:jc w:val="both"/>
      </w:pPr>
      <w:r>
        <w:rPr>
          <w:rFonts w:ascii="Times New Roman" w:cs="Times New Roman" w:eastAsia="Times New Roman" w:hAnsi="Times New Roman"/>
          <w:sz w:val="24"/>
          <w:szCs w:val="24"/>
        </w:rPr>
        <w:t xml:space="preserve">Standard pipeline. US WW mean CE loss: 4.571–4.709 across three facilities. This established the baseline against which all other configurations were compared.</w:t>
      </w:r>
    </w:p>
    <w:p>
      <w:pPr>
        <w:pStyle w:val="Heading3"/>
        <w:spacing w:after="80" w:before="200"/>
      </w:pPr>
      <w:r>
        <w:rPr>
          <w:rFonts w:ascii="Times New Roman" w:cs="Times New Roman" w:eastAsia="Times New Roman" w:hAnsi="Times New Roman"/>
          <w:b/>
          <w:bCs/>
          <w:i/>
          <w:iCs/>
          <w:sz w:val="26"/>
          <w:szCs w:val="26"/>
        </w:rPr>
        <w:t xml:space="preserve">Experiment 2: Read Length Filtering (100–300 bp)</w:t>
      </w:r>
    </w:p>
    <w:p>
      <w:pPr>
        <w:spacing w:after="160" w:line="360" w:lineRule="auto"/>
        <w:ind w:firstLine="720"/>
        <w:jc w:val="both"/>
      </w:pPr>
      <w:r>
        <w:rPr>
          <w:rFonts w:ascii="Times New Roman" w:cs="Times New Roman" w:eastAsia="Times New Roman" w:hAnsi="Times New Roman"/>
          <w:sz w:val="24"/>
          <w:szCs w:val="24"/>
        </w:rPr>
        <w:t xml:space="preserve">Liu et al. specify the model is optimised for 100–300 bp reads. Filtering to this range reduced US WW scores to 4.277–4.669. The SouthBay facility gave the lowest score of 4.277 under this filter — the best performance achieved on any configuration.</w:t>
      </w:r>
    </w:p>
    <w:p>
      <w:pPr>
        <w:pStyle w:val="Heading3"/>
        <w:spacing w:after="80" w:before="200"/>
      </w:pPr>
      <w:r>
        <w:rPr>
          <w:rFonts w:ascii="Times New Roman" w:cs="Times New Roman" w:eastAsia="Times New Roman" w:hAnsi="Times New Roman"/>
          <w:b/>
          <w:bCs/>
          <w:i/>
          <w:iCs/>
          <w:sz w:val="26"/>
          <w:szCs w:val="26"/>
        </w:rPr>
        <w:t xml:space="preserve">Experiment 3: Max Length Variation (64, 128, 256, 512, 1024 tokens)</w:t>
      </w:r>
    </w:p>
    <w:p>
      <w:pPr>
        <w:spacing w:after="160" w:line="360" w:lineRule="auto"/>
        <w:ind w:firstLine="720"/>
        <w:jc w:val="both"/>
      </w:pPr>
      <w:r>
        <w:rPr>
          <w:rFonts w:ascii="Times New Roman" w:cs="Times New Roman" w:eastAsia="Times New Roman" w:hAnsi="Times New Roman"/>
          <w:sz w:val="24"/>
          <w:szCs w:val="24"/>
        </w:rPr>
        <w:t xml:space="preserve">All five settings gave identical results: CE loss 4.7089 (to 4 decimal places). This is because 150 bp reads tokenise to approximately 38 tokens on average, far shorter than even the smallest max_length of 64 tokens. Truncation never activates. This finding confirms that max_length is an irrelevant parameter for short-read wastewater metagenomics.</w:t>
      </w:r>
    </w:p>
    <w:p>
      <w:pPr>
        <w:pStyle w:val="Heading3"/>
        <w:spacing w:after="80" w:before="200"/>
      </w:pPr>
      <w:r>
        <w:rPr>
          <w:rFonts w:ascii="Times New Roman" w:cs="Times New Roman" w:eastAsia="Times New Roman" w:hAnsi="Times New Roman"/>
          <w:b/>
          <w:bCs/>
          <w:i/>
          <w:iCs/>
          <w:sz w:val="26"/>
          <w:szCs w:val="26"/>
        </w:rPr>
        <w:t xml:space="preserve">Experiments 4a–4d: Strand Orientation</w:t>
      </w:r>
    </w:p>
    <w:p>
      <w:pPr>
        <w:spacing w:after="160" w:line="360" w:lineRule="auto"/>
        <w:ind w:firstLine="720"/>
        <w:jc w:val="both"/>
      </w:pPr>
      <w:r>
        <w:rPr>
          <w:rFonts w:ascii="Times New Roman" w:cs="Times New Roman" w:eastAsia="Times New Roman" w:hAnsi="Times New Roman"/>
          <w:sz w:val="24"/>
          <w:szCs w:val="24"/>
        </w:rPr>
        <w:t xml:space="preserve">Forward strand (baseline): 4.709. Reverse complement: 4.716. Min(forward, RC): 4.481. Mean(forward, RC): 4.712. Taking the minimum of forward and reverse complement gave a modest improvement of ~0.23 CE units on US data.</w:t>
      </w:r>
    </w:p>
    <w:p>
      <w:pPr>
        <w:pStyle w:val="Heading3"/>
        <w:spacing w:after="80" w:before="200"/>
      </w:pPr>
      <w:r>
        <w:rPr>
          <w:rFonts w:ascii="Times New Roman" w:cs="Times New Roman" w:eastAsia="Times New Roman" w:hAnsi="Times New Roman"/>
          <w:b/>
          <w:bCs/>
          <w:i/>
          <w:iCs/>
          <w:sz w:val="26"/>
          <w:szCs w:val="26"/>
        </w:rPr>
        <w:t xml:space="preserve">Experiments 5a–5c: Loss Computation Method</w:t>
      </w:r>
    </w:p>
    <w:p>
      <w:pPr>
        <w:spacing w:after="160" w:line="360" w:lineRule="auto"/>
        <w:ind w:firstLine="720"/>
        <w:jc w:val="both"/>
      </w:pPr>
      <w:r>
        <w:rPr>
          <w:rFonts w:ascii="Times New Roman" w:cs="Times New Roman" w:eastAsia="Times New Roman" w:hAnsi="Times New Roman"/>
          <w:sz w:val="24"/>
          <w:szCs w:val="24"/>
        </w:rPr>
        <w:t xml:space="preserve">Manual masked loss (our standard): 4.671. Model built-in loss: 7.383. No-padding individual scoring: 4.608. The model built-in loss of 7.38 is inflated due to padding token inclusion — this is the "padding artefact" that we identified. Individual no-padding scoring gives a slightly different result because each sequence gets exactly its own context without any padding influence.</w:t>
      </w:r>
    </w:p>
    <w:p>
      <w:pPr>
        <w:pStyle w:val="Heading3"/>
        <w:spacing w:after="80" w:before="200"/>
      </w:pPr>
      <w:r>
        <w:rPr>
          <w:rFonts w:ascii="Times New Roman" w:cs="Times New Roman" w:eastAsia="Times New Roman" w:hAnsi="Times New Roman"/>
          <w:b/>
          <w:bCs/>
          <w:i/>
          <w:iCs/>
          <w:sz w:val="26"/>
          <w:szCs w:val="26"/>
        </w:rPr>
        <w:t xml:space="preserve">Experiment 6: Special Tokens</w:t>
      </w:r>
    </w:p>
    <w:p>
      <w:pPr>
        <w:spacing w:after="160" w:line="360" w:lineRule="auto"/>
        <w:ind w:firstLine="720"/>
        <w:jc w:val="both"/>
      </w:pPr>
      <w:r>
        <w:rPr>
          <w:rFonts w:ascii="Times New Roman" w:cs="Times New Roman" w:eastAsia="Times New Roman" w:hAnsi="Times New Roman"/>
          <w:sz w:val="24"/>
          <w:szCs w:val="24"/>
        </w:rPr>
        <w:t xml:space="preserve">Without special tokens (baseline): 4.691. With special tokens (BOS/EOS): 4.627. Adding special tokens reduced CE loss slightly, likely because the model treats the BOS token as a sequence start signal and adjusts its predictions accordingly.</w:t>
      </w:r>
    </w:p>
    <w:p>
      <w:pPr>
        <w:pStyle w:val="Heading3"/>
        <w:spacing w:after="80" w:before="200"/>
      </w:pPr>
      <w:r>
        <w:rPr>
          <w:rFonts w:ascii="Times New Roman" w:cs="Times New Roman" w:eastAsia="Times New Roman" w:hAnsi="Times New Roman"/>
          <w:b/>
          <w:bCs/>
          <w:i/>
          <w:iCs/>
          <w:sz w:val="26"/>
          <w:szCs w:val="26"/>
        </w:rPr>
        <w:t xml:space="preserve">Experiment 7: NAO Data (Jeff Kaufman Lab — Co-author of METAGENE-1)</w:t>
      </w:r>
    </w:p>
    <w:p>
      <w:pPr>
        <w:spacing w:after="160" w:line="360" w:lineRule="auto"/>
        <w:ind w:firstLine="720"/>
        <w:jc w:val="both"/>
      </w:pPr>
      <w:r>
        <w:rPr>
          <w:rFonts w:ascii="Times New Roman" w:cs="Times New Roman" w:eastAsia="Times New Roman" w:hAnsi="Times New Roman"/>
          <w:sz w:val="24"/>
          <w:szCs w:val="24"/>
        </w:rPr>
        <w:t xml:space="preserve">This was the most important experiment. Three NAO samples scored: 5.069, 5.078, 5.104. These scores are higher than all Rothman et al. scores (4.277–4.709) and higher than the Gujarat WW scores (4.723–5.026). This is the definitive evidence that the Liu et al. 1.24 is not reproducible from the released model checkpoint.</w:t>
      </w:r>
    </w:p>
    <w:p>
      <w:pPr>
        <w:spacing w:after="160" w:line="360" w:lineRule="auto"/>
        <w:ind w:firstLine="720"/>
        <w:jc w:val="both"/>
      </w:pPr>
      <w:r>
        <w:rPr>
          <w:rFonts w:ascii="Times New Roman" w:cs="Times New Roman" w:eastAsia="Times New Roman" w:hAnsi="Times New Roman"/>
          <w:sz w:val="24"/>
          <w:szCs w:val="24"/>
        </w:rPr>
        <w:t xml:space="preserve">The rationale: if Jeff Kaufman's lab data — produced by a METAGENE-1 co-author — cannot reproduce scores near 1.24, then 1.24 cannot be reproduced by evaluating the released model on any external data. The 1.24 is a training-time metric, not an evaluable benchmark. This finding was confirmed and reported in the revised paper.</w:t>
      </w:r>
    </w:p>
    <w:p>
      <w:pPr>
        <w:pStyle w:val="Heading3"/>
        <w:spacing w:after="80" w:before="200"/>
      </w:pPr>
      <w:r>
        <w:rPr>
          <w:rFonts w:ascii="Times New Roman" w:cs="Times New Roman" w:eastAsia="Times New Roman" w:hAnsi="Times New Roman"/>
          <w:b/>
          <w:bCs/>
          <w:i/>
          <w:iCs/>
          <w:sz w:val="26"/>
          <w:szCs w:val="26"/>
        </w:rPr>
        <w:t xml:space="preserve">Experiment 8: Number of Reads (500, 1,000, 5,000)</w:t>
      </w:r>
    </w:p>
    <w:p>
      <w:pPr>
        <w:spacing w:after="160" w:line="360" w:lineRule="auto"/>
        <w:ind w:firstLine="720"/>
        <w:jc w:val="both"/>
      </w:pPr>
      <w:r>
        <w:rPr>
          <w:rFonts w:ascii="Times New Roman" w:cs="Times New Roman" w:eastAsia="Times New Roman" w:hAnsi="Times New Roman"/>
          <w:sz w:val="24"/>
          <w:szCs w:val="24"/>
        </w:rPr>
        <w:t xml:space="preserve">500 reads: 4.657. 1,000 reads: 4.671. 5,000 reads: 4.709. CE loss estimates converge quickly — the difference between 500 and 5,000 reads is only 0.052 CE units, well below the geographic gap of 0.272. This confirms that 5,000 reads per sample provides adequate precision for the geographic comparison.</w:t>
      </w:r>
    </w:p>
    <w:p>
      <w:pPr>
        <w:pStyle w:val="Heading3"/>
        <w:spacing w:after="80" w:before="200"/>
      </w:pPr>
      <w:r>
        <w:rPr>
          <w:rFonts w:ascii="Times New Roman" w:cs="Times New Roman" w:eastAsia="Times New Roman" w:hAnsi="Times New Roman"/>
          <w:b/>
          <w:bCs/>
          <w:i/>
          <w:iCs/>
          <w:sz w:val="26"/>
          <w:szCs w:val="26"/>
        </w:rPr>
        <w:t xml:space="preserve">Experiments 9a–9b: Floating-Point Precision</w:t>
      </w:r>
    </w:p>
    <w:p>
      <w:pPr>
        <w:spacing w:after="160" w:line="360" w:lineRule="auto"/>
        <w:ind w:firstLine="720"/>
        <w:jc w:val="both"/>
      </w:pPr>
      <w:r>
        <w:rPr>
          <w:rFonts w:ascii="Times New Roman" w:cs="Times New Roman" w:eastAsia="Times New Roman" w:hAnsi="Times New Roman"/>
          <w:sz w:val="24"/>
          <w:szCs w:val="24"/>
        </w:rPr>
        <w:t xml:space="preserve">Float16 AMP: 4.656718. Float32 no AMP: 4.656723. Difference: 0.000005. Identical to 4 significant figures. Float16 introduces no meaningful numerical error and can be used without concern.</w:t>
      </w:r>
    </w:p>
    <w:p>
      <w:pPr>
        <w:pStyle w:val="Heading3"/>
        <w:spacing w:after="80" w:before="200"/>
      </w:pPr>
      <w:r>
        <w:rPr>
          <w:rFonts w:ascii="Times New Roman" w:cs="Times New Roman" w:eastAsia="Times New Roman" w:hAnsi="Times New Roman"/>
          <w:b/>
          <w:bCs/>
          <w:i/>
          <w:iCs/>
          <w:sz w:val="26"/>
          <w:szCs w:val="26"/>
        </w:rPr>
        <w:t xml:space="preserve">Experiment 10: RNA Sequences (T→U substitution)</w:t>
      </w:r>
    </w:p>
    <w:p>
      <w:pPr>
        <w:spacing w:after="160" w:line="360" w:lineRule="auto"/>
        <w:ind w:firstLine="720"/>
        <w:jc w:val="both"/>
      </w:pPr>
      <w:r>
        <w:rPr>
          <w:rFonts w:ascii="Times New Roman" w:cs="Times New Roman" w:eastAsia="Times New Roman" w:hAnsi="Times New Roman"/>
          <w:sz w:val="24"/>
          <w:szCs w:val="24"/>
        </w:rPr>
        <w:t xml:space="preserve">Converting T bases to U (simulating RNA representation): CE loss 16.433. The model was trained on DNA sequences (T), not RNA (U). The BPE vocabulary has essentially no U-containing tokens, so RNA sequences are tokenised as entirely unknown characters, producing catastrophically high CE loss. This confirms METAGENE-1 processes RNA reads as DNA (T, not U) — standard in bioinformatics.</w:t>
      </w:r>
    </w:p>
    <w:p>
      <w:pPr>
        <w:pStyle w:val="Heading3"/>
        <w:spacing w:after="80" w:before="200"/>
      </w:pPr>
      <w:r>
        <w:rPr>
          <w:rFonts w:ascii="Times New Roman" w:cs="Times New Roman" w:eastAsia="Times New Roman" w:hAnsi="Times New Roman"/>
          <w:b/>
          <w:bCs/>
          <w:i/>
          <w:iCs/>
          <w:sz w:val="26"/>
          <w:szCs w:val="26"/>
        </w:rPr>
        <w:t xml:space="preserve">Experiment 11: Pooled Across All 7 Rothman Facilities</w:t>
      </w:r>
    </w:p>
    <w:p>
      <w:pPr>
        <w:spacing w:after="160" w:line="360" w:lineRule="auto"/>
        <w:ind w:firstLine="720"/>
        <w:jc w:val="both"/>
      </w:pPr>
      <w:r>
        <w:rPr>
          <w:rFonts w:ascii="Times New Roman" w:cs="Times New Roman" w:eastAsia="Times New Roman" w:hAnsi="Times New Roman"/>
          <w:sz w:val="24"/>
          <w:szCs w:val="24"/>
        </w:rPr>
        <w:t xml:space="preserve">All 7 Southern California facilities pooled: 4.568. This is the mean when treating all US facilities as one pooled dataset, comparable to how the Gujarat data is structured (city-level pooling).</w:t>
      </w:r>
    </w:p>
    <w:p>
      <w:pPr>
        <w:pStyle w:val="Heading2"/>
        <w:spacing w:after="120" w:before="320"/>
      </w:pPr>
      <w:r>
        <w:rPr>
          <w:rFonts w:ascii="Times New Roman" w:cs="Times New Roman" w:eastAsia="Times New Roman" w:hAnsi="Times New Roman"/>
          <w:b/>
          <w:bCs/>
          <w:sz w:val="28"/>
          <w:szCs w:val="28"/>
        </w:rPr>
        <w:t xml:space="preserve">6.3 Same 11 Experiments Applied to Gujarat Data</w:t>
      </w:r>
    </w:p>
    <w:p>
      <w:pPr>
        <w:spacing w:after="160" w:line="360" w:lineRule="auto"/>
        <w:ind w:firstLine="720"/>
        <w:jc w:val="both"/>
      </w:pPr>
      <w:r>
        <w:rPr>
          <w:rFonts w:ascii="Times New Roman" w:cs="Times New Roman" w:eastAsia="Times New Roman" w:hAnsi="Times New Roman"/>
          <w:sz w:val="24"/>
          <w:szCs w:val="24"/>
        </w:rPr>
        <w:t xml:space="preserve">The identical 11 experiments were then applied to all 19 available Gujarat samples (16 validation + 3 training samples). The critical question: does the geographic gap persist under every configuration?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1400"/>
        <w:gridCol w:w="1760"/>
      </w:tblGrid>
      <w:tr>
        <w:trPr>
          <w:tblHeader/>
        </w:trPr>
        <w:tc>
          <w:tcPr>
            <w:tcW w:type="dxa" w:w="300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Configuration</w:t>
            </w:r>
          </w:p>
        </w:tc>
        <w:tc>
          <w:tcPr>
            <w:tcW w:type="dxa" w:w="160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Gujarat Mean</w:t>
            </w:r>
          </w:p>
        </w:tc>
        <w:tc>
          <w:tcPr>
            <w:tcW w:type="dxa" w:w="160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US Reference</w:t>
            </w:r>
          </w:p>
        </w:tc>
        <w:tc>
          <w:tcPr>
            <w:tcW w:type="dxa" w:w="140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Gap</w:t>
            </w:r>
          </w:p>
        </w:tc>
        <w:tc>
          <w:tcPr>
            <w:tcW w:type="dxa" w:w="176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Direction</w:t>
            </w:r>
          </w:p>
        </w:tc>
      </w:tr>
      <w:tr>
        <w:trPr>
          <w:tblHeader w:val="false"/>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Baseline (all reads)</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4.865</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4.572</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+0.293</w:t>
            </w:r>
          </w:p>
        </w:tc>
        <w:tc>
          <w:tcPr>
            <w:tcW w:type="dxa" w:w="17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Gujarat &gt; US ✓</w:t>
            </w:r>
          </w:p>
        </w:tc>
      </w:tr>
      <w:tr>
        <w:trPr>
          <w:tblHeader w:val="false"/>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100-300bp filter</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4.865</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4.277</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+0.588</w:t>
            </w:r>
          </w:p>
        </w:tc>
        <w:tc>
          <w:tcPr>
            <w:tcW w:type="dxa" w:w="17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Gujarat &gt; US ✓</w:t>
            </w:r>
          </w:p>
        </w:tc>
      </w:tr>
      <w:tr>
        <w:trPr>
          <w:tblHeader w:val="false"/>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min(fwd, RC)</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4.773</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4.481</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+0.292</w:t>
            </w:r>
          </w:p>
        </w:tc>
        <w:tc>
          <w:tcPr>
            <w:tcW w:type="dxa" w:w="17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Gujarat &gt; US ✓</w:t>
            </w:r>
          </w:p>
        </w:tc>
      </w:tr>
      <w:tr>
        <w:trPr>
          <w:tblHeader w:val="false"/>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Combined best</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4.741</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N/A</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N/A</w:t>
            </w:r>
          </w:p>
        </w:tc>
        <w:tc>
          <w:tcPr>
            <w:tcW w:type="dxa" w:w="17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Lowest Gujarat score achieved</w:t>
            </w:r>
          </w:p>
        </w:tc>
      </w:tr>
      <w:tr>
        <w:trPr>
          <w:tblHeader w:val="false"/>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Mean gap across configs</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+0.391 ± 0.139</w:t>
            </w:r>
          </w:p>
        </w:tc>
        <w:tc>
          <w:tcPr>
            <w:tcW w:type="dxa" w:w="17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Positive in EVERY config ✓</w:t>
            </w:r>
          </w:p>
        </w:tc>
      </w:tr>
    </w:tbl>
    <w:p>
      <w:pPr>
        <w:spacing w:after="200" w:before="60"/>
        <w:jc w:val="center"/>
      </w:pPr>
      <w:r>
        <w:rPr>
          <w:rFonts w:ascii="Times New Roman" w:cs="Times New Roman" w:eastAsia="Times New Roman" w:hAnsi="Times New Roman"/>
          <w:i/>
          <w:iCs/>
          <w:sz w:val="20"/>
          <w:szCs w:val="20"/>
        </w:rPr>
        <w:t xml:space="preserve">Table 4. Geographic gap across all tested pipeline configurations. Gap = Gujarat mean − US reference. Positive in every configuration tested.</w:t>
      </w:r>
    </w:p>
    <w:p>
      <w:pPr>
        <w:spacing w:after="80"/>
      </w:pPr>
    </w:p>
    <w:p>
      <w:pPr>
        <w:spacing w:after="160" w:line="360" w:lineRule="auto"/>
        <w:ind w:firstLine="720"/>
        <w:jc w:val="both"/>
      </w:pPr>
      <w:r>
        <w:rPr>
          <w:rFonts w:ascii="Times New Roman" w:cs="Times New Roman" w:eastAsia="Times New Roman" w:hAnsi="Times New Roman"/>
          <w:sz w:val="24"/>
          <w:szCs w:val="24"/>
        </w:rPr>
        <w:t xml:space="preserve">The geographic gap was positive in every single configuration tested, ranging from +0.292 to +0.588 CE units. The mean gap across configurations was +0.391 ± 0.139. This robustness is the primary evidence that the geographic gap is genuine and not a pipeline artefact.</w:t>
      </w:r>
    </w:p>
    <w:p>
      <w:pPr>
        <w:spacing w:after="160" w:line="360" w:lineRule="auto"/>
        <w:ind w:firstLine="720"/>
        <w:jc w:val="both"/>
      </w:pPr>
      <w:r>
        <w:rPr>
          <w:rFonts w:ascii="Times New Roman" w:cs="Times New Roman" w:eastAsia="Times New Roman" w:hAnsi="Times New Roman"/>
          <w:sz w:val="24"/>
          <w:szCs w:val="24"/>
        </w:rPr>
        <w:t xml:space="preserve">The larger gap in the 100–300 bp filtered configuration (+0.588) reflects an asymmetry: the US SouthBay sample had many short reads that scored particularly low after length filtering, while Gujarat samples did not show the same pattern. This highlights that the 100–300 bp filter is not a neutral comparison — it introduces a confound because the US and Gujarat datasets may have different read length distributions due to different library prep protocols.</w:t>
      </w:r>
    </w:p>
    <w:p>
      <w:pPr>
        <w:pStyle w:val="Heading2"/>
        <w:spacing w:after="120" w:before="320"/>
      </w:pPr>
      <w:r>
        <w:rPr>
          <w:rFonts w:ascii="Times New Roman" w:cs="Times New Roman" w:eastAsia="Times New Roman" w:hAnsi="Times New Roman"/>
          <w:b/>
          <w:bCs/>
          <w:sz w:val="28"/>
          <w:szCs w:val="28"/>
        </w:rPr>
        <w:t xml:space="preserve">6.4 The CE Loss Distribution: Where the Gap Lives</w:t>
      </w:r>
    </w:p>
    <w:p>
      <w:pPr>
        <w:spacing w:after="160" w:line="360" w:lineRule="auto"/>
        <w:ind w:firstLine="720"/>
        <w:jc w:val="both"/>
      </w:pPr>
      <w:r>
        <w:rPr>
          <w:rFonts w:ascii="Times New Roman" w:cs="Times New Roman" w:eastAsia="Times New Roman" w:hAnsi="Times New Roman"/>
          <w:sz w:val="24"/>
          <w:szCs w:val="24"/>
        </w:rPr>
        <w:t xml:space="preserve">A critical insight emerged from examining the full CE loss distribution across reads, rather than just the mean. The distribution analysis revealed:</w:t>
      </w:r>
    </w:p>
    <w:p>
      <w:pPr>
        <w:pStyle w:val="ListParagraph"/>
        <w:numPr>
          <w:ilvl w:val="0"/>
          <w:numId w:val="1"/>
        </w:numPr>
        <w:spacing w:after="80"/>
        <w:ind w:left="720"/>
      </w:pPr>
      <w:r>
        <w:rPr>
          <w:rFonts w:ascii="Times New Roman" w:cs="Times New Roman" w:eastAsia="Times New Roman" w:hAnsi="Times New Roman"/>
          <w:sz w:val="24"/>
          <w:szCs w:val="24"/>
        </w:rPr>
        <w:t xml:space="preserve">% of Gujarat reads below CE loss 2.0: 2.3%</w:t>
      </w:r>
    </w:p>
    <w:p>
      <w:pPr>
        <w:pStyle w:val="ListParagraph"/>
        <w:numPr>
          <w:ilvl w:val="0"/>
          <w:numId w:val="1"/>
        </w:numPr>
        <w:spacing w:after="80"/>
        <w:ind w:left="720"/>
      </w:pPr>
      <w:r>
        <w:rPr>
          <w:rFonts w:ascii="Times New Roman" w:cs="Times New Roman" w:eastAsia="Times New Roman" w:hAnsi="Times New Roman"/>
          <w:sz w:val="24"/>
          <w:szCs w:val="24"/>
        </w:rPr>
        <w:t xml:space="preserve">% of US reads below CE loss 2.0: approximately 10%</w:t>
      </w:r>
    </w:p>
    <w:p>
      <w:pPr>
        <w:pStyle w:val="ListParagraph"/>
        <w:numPr>
          <w:ilvl w:val="0"/>
          <w:numId w:val="1"/>
        </w:numPr>
        <w:spacing w:after="80"/>
        <w:ind w:left="720"/>
      </w:pPr>
      <w:r>
        <w:rPr>
          <w:rFonts w:ascii="Times New Roman" w:cs="Times New Roman" w:eastAsia="Times New Roman" w:hAnsi="Times New Roman"/>
          <w:sz w:val="24"/>
          <w:szCs w:val="24"/>
        </w:rPr>
        <w:t xml:space="preserve">% of Gujarat reads above CE loss 5.0: 53.7%</w:t>
      </w:r>
    </w:p>
    <w:p>
      <w:pPr>
        <w:pStyle w:val="ListParagraph"/>
        <w:numPr>
          <w:ilvl w:val="0"/>
          <w:numId w:val="1"/>
        </w:numPr>
        <w:spacing w:after="80"/>
        <w:ind w:left="720"/>
      </w:pPr>
      <w:r>
        <w:rPr>
          <w:rFonts w:ascii="Times New Roman" w:cs="Times New Roman" w:eastAsia="Times New Roman" w:hAnsi="Times New Roman"/>
          <w:sz w:val="24"/>
          <w:szCs w:val="24"/>
        </w:rPr>
        <w:t xml:space="preserve">% of US reads above CE loss 5.0: approximately 55%</w:t>
      </w:r>
    </w:p>
    <w:p>
      <w:pPr>
        <w:spacing w:after="80"/>
      </w:pPr>
    </w:p>
    <w:p>
      <w:pPr>
        <w:spacing w:after="160" w:line="360" w:lineRule="auto"/>
        <w:ind w:firstLine="720"/>
        <w:jc w:val="both"/>
      </w:pPr>
      <w:r>
        <w:rPr>
          <w:rFonts w:ascii="Times New Roman" w:cs="Times New Roman" w:eastAsia="Times New Roman" w:hAnsi="Times New Roman"/>
          <w:sz w:val="24"/>
          <w:szCs w:val="24"/>
        </w:rPr>
        <w:t xml:space="preserve">The upper tail (high anomaly reads) is nearly identical between US and Gujarat. Both datasets have about 53–55% of reads above CE loss 5.0. The difference is entirely in the lower tail: Gujarat has 4.5× fewer low-anomaly reads (below CE loss 2.0) than US wastewater.</w:t>
      </w:r>
    </w:p>
    <w:p>
      <w:pPr>
        <w:spacing w:after="160" w:line="360" w:lineRule="auto"/>
        <w:ind w:firstLine="720"/>
        <w:jc w:val="both"/>
      </w:pPr>
      <w:r>
        <w:rPr>
          <w:rFonts w:ascii="Times New Roman" w:cs="Times New Roman" w:eastAsia="Times New Roman" w:hAnsi="Times New Roman"/>
          <w:sz w:val="24"/>
          <w:szCs w:val="24"/>
        </w:rPr>
        <w:t xml:space="preserve">This means: the model does not find Indian wastewater more uniformly foreign — it finds it specifically lacking in familiar sequences. The 10% of US reads that score below 2.0 correspond to common wastewater bacteria and organisms that appear in both US and Indian wastewater (E. coli, Bacteroides, common enteric organisms). These are sequences the model recognises from training. In Indian wastewater, only 2.3% of reads fall into this familiar category — 4.5× fewer. The model's training data contained far fewer Indian microbial sequences.</w:t>
      </w:r>
    </w:p>
    <w:p>
      <w:pPr>
        <w:spacing w:after="160" w:line="360" w:lineRule="auto"/>
        <w:ind w:firstLine="720"/>
        <w:jc w:val="both"/>
      </w:pPr>
      <w:r>
        <w:rPr>
          <w:rFonts w:ascii="Times New Roman" w:cs="Times New Roman" w:eastAsia="Times New Roman" w:hAnsi="Times New Roman"/>
          <w:sz w:val="24"/>
          <w:szCs w:val="24"/>
        </w:rPr>
        <w:t xml:space="preserve">The percentile breakdown confirmed this:</w:t>
      </w:r>
    </w:p>
    <w:p>
      <w:pPr>
        <w:pStyle w:val="ListParagraph"/>
        <w:numPr>
          <w:ilvl w:val="0"/>
          <w:numId w:val="1"/>
        </w:numPr>
        <w:spacing w:after="80"/>
        <w:ind w:left="720"/>
      </w:pPr>
      <w:r>
        <w:rPr>
          <w:rFonts w:ascii="Times New Roman" w:cs="Times New Roman" w:eastAsia="Times New Roman" w:hAnsi="Times New Roman"/>
          <w:sz w:val="24"/>
          <w:szCs w:val="24"/>
        </w:rPr>
        <w:t xml:space="preserve">p10: Gujarat 4.181, US ~1.990 → Gap = +2.191 (enormous gap in low tail)</w:t>
      </w:r>
    </w:p>
    <w:p>
      <w:pPr>
        <w:pStyle w:val="ListParagraph"/>
        <w:numPr>
          <w:ilvl w:val="0"/>
          <w:numId w:val="1"/>
        </w:numPr>
        <w:spacing w:after="80"/>
        <w:ind w:left="720"/>
      </w:pPr>
      <w:r>
        <w:rPr>
          <w:rFonts w:ascii="Times New Roman" w:cs="Times New Roman" w:eastAsia="Times New Roman" w:hAnsi="Times New Roman"/>
          <w:sz w:val="24"/>
          <w:szCs w:val="24"/>
        </w:rPr>
        <w:t xml:space="preserve">p25: Gujarat 4.675, US ~3.200 → Gap = +1.475</w:t>
      </w:r>
    </w:p>
    <w:p>
      <w:pPr>
        <w:pStyle w:val="ListParagraph"/>
        <w:numPr>
          <w:ilvl w:val="0"/>
          <w:numId w:val="1"/>
        </w:numPr>
        <w:spacing w:after="80"/>
        <w:ind w:left="720"/>
      </w:pPr>
      <w:r>
        <w:rPr>
          <w:rFonts w:ascii="Times New Roman" w:cs="Times New Roman" w:eastAsia="Times New Roman" w:hAnsi="Times New Roman"/>
          <w:sz w:val="24"/>
          <w:szCs w:val="24"/>
        </w:rPr>
        <w:t xml:space="preserve">p50: Gujarat 5.048, US ~4.930 → Gap = +0.118 (nearly identical at median)</w:t>
      </w:r>
    </w:p>
    <w:p>
      <w:pPr>
        <w:pStyle w:val="ListParagraph"/>
        <w:numPr>
          <w:ilvl w:val="0"/>
          <w:numId w:val="1"/>
        </w:numPr>
        <w:spacing w:after="80"/>
        <w:ind w:left="720"/>
      </w:pPr>
      <w:r>
        <w:rPr>
          <w:rFonts w:ascii="Times New Roman" w:cs="Times New Roman" w:eastAsia="Times New Roman" w:hAnsi="Times New Roman"/>
          <w:sz w:val="24"/>
          <w:szCs w:val="24"/>
        </w:rPr>
        <w:t xml:space="preserve">p75: Gujarat 5.338, US ~5.600 → Gap = -0.262 (US slightly higher in upper tail)</w:t>
      </w:r>
    </w:p>
    <w:p>
      <w:pPr>
        <w:pStyle w:val="ListParagraph"/>
        <w:numPr>
          <w:ilvl w:val="0"/>
          <w:numId w:val="1"/>
        </w:numPr>
        <w:spacing w:after="80"/>
        <w:ind w:left="720"/>
      </w:pPr>
      <w:r>
        <w:rPr>
          <w:rFonts w:ascii="Times New Roman" w:cs="Times New Roman" w:eastAsia="Times New Roman" w:hAnsi="Times New Roman"/>
          <w:sz w:val="24"/>
          <w:szCs w:val="24"/>
        </w:rPr>
        <w:t xml:space="preserve">p90: Gujarat 5.542, US ~5.750 → Gap = -0.208 (US higher in upper tail)</w:t>
      </w:r>
    </w:p>
    <w:p>
      <w:r>
        <w:br w:type="page"/>
      </w:r>
    </w:p>
    <w:p>
      <w:pPr>
        <w:pStyle w:val="Heading1"/>
        <w:spacing w:after="200" w:before="480"/>
      </w:pPr>
      <w:r>
        <w:rPr>
          <w:rFonts w:ascii="Times New Roman" w:cs="Times New Roman" w:eastAsia="Times New Roman" w:hAnsi="Times New Roman"/>
          <w:b/>
          <w:bCs/>
          <w:sz w:val="32"/>
          <w:szCs w:val="32"/>
        </w:rPr>
        <w:t xml:space="preserve">7. Statistical Characterisation of the Gujarat Dataset</w:t>
      </w:r>
    </w:p>
    <w:p>
      <w:pPr>
        <w:pStyle w:val="Heading2"/>
        <w:spacing w:after="120" w:before="320"/>
      </w:pPr>
      <w:r>
        <w:rPr>
          <w:rFonts w:ascii="Times New Roman" w:cs="Times New Roman" w:eastAsia="Times New Roman" w:hAnsi="Times New Roman"/>
          <w:b/>
          <w:bCs/>
          <w:sz w:val="28"/>
          <w:szCs w:val="28"/>
        </w:rPr>
        <w:t xml:space="preserve">7.1 Two-Way ANOVA: City × Season</w:t>
      </w:r>
    </w:p>
    <w:p>
      <w:pPr>
        <w:spacing w:after="160" w:line="360" w:lineRule="auto"/>
        <w:ind w:firstLine="720"/>
        <w:jc w:val="both"/>
      </w:pPr>
      <w:r>
        <w:rPr>
          <w:rFonts w:ascii="Times New Roman" w:cs="Times New Roman" w:eastAsia="Times New Roman" w:hAnsi="Times New Roman"/>
          <w:sz w:val="24"/>
          <w:szCs w:val="24"/>
        </w:rPr>
        <w:t xml:space="preserve">The within-Gujarat statistical analysis aimed to characterise how CE loss varies systematically by city and season. A two-way ANOVA with city and season as fixed effects was applied to the individual sample CE loss scores (n=95 samples).</w:t>
      </w:r>
    </w:p>
    <w:p>
      <w:pPr>
        <w:spacing w:after="160" w:line="360" w:lineRule="auto"/>
        <w:ind w:firstLine="720"/>
        <w:jc w:val="both"/>
      </w:pPr>
      <w:r>
        <w:rPr>
          <w:rFonts w:ascii="Times New Roman" w:cs="Times New Roman" w:eastAsia="Times New Roman" w:hAnsi="Times New Roman"/>
          <w:sz w:val="24"/>
          <w:szCs w:val="24"/>
        </w:rPr>
        <w:t xml:space="preserve">Rationale: A one-way ANOVA could test either city or season effects, but a two-way ANOVA simultaneously tests both main effects and their interaction. The interaction term is particularly informative: a significant interaction means seasonal effects differ across cities, which has implications for any surveillance system that would deploy anomaly scoring across multiple urban locations.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2760"/>
      </w:tblGrid>
      <w:tr>
        <w:trPr>
          <w:tblHeader/>
        </w:trPr>
        <w:tc>
          <w:tcPr>
            <w:tcW w:type="dxa" w:w="240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Effect</w:t>
            </w:r>
          </w:p>
        </w:tc>
        <w:tc>
          <w:tcPr>
            <w:tcW w:type="dxa" w:w="140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F statistic</w:t>
            </w:r>
          </w:p>
        </w:tc>
        <w:tc>
          <w:tcPr>
            <w:tcW w:type="dxa" w:w="140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p-value</w:t>
            </w:r>
          </w:p>
        </w:tc>
        <w:tc>
          <w:tcPr>
            <w:tcW w:type="dxa" w:w="140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η² (effect size)</w:t>
            </w:r>
          </w:p>
        </w:tc>
        <w:tc>
          <w:tcPr>
            <w:tcW w:type="dxa" w:w="276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Interpretation</w:t>
            </w:r>
          </w:p>
        </w:tc>
      </w:tr>
      <w:tr>
        <w:trPr>
          <w:tblHeader w:val="false"/>
        </w:trP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Season</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F(3,72)*</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&lt;0.0001</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0.491</w:t>
            </w:r>
          </w:p>
        </w:tc>
        <w:tc>
          <w:tcPr>
            <w:tcW w:type="dxa" w:w="27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Season explains 49.1% of variance</w:t>
            </w:r>
          </w:p>
        </w:tc>
      </w:tr>
      <w:tr>
        <w:trPr>
          <w:tblHeader w:val="false"/>
        </w:trP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City</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F(3,72)*</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0.0008</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0.355</w:t>
            </w:r>
          </w:p>
        </w:tc>
        <w:tc>
          <w:tcPr>
            <w:tcW w:type="dxa" w:w="27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City explains 35.5% of variance</w:t>
            </w:r>
          </w:p>
        </w:tc>
      </w:tr>
      <w:tr>
        <w:trPr>
          <w:tblHeader w:val="false"/>
        </w:trP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City × Season interaction</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F(9,72)*</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&lt;0.0001</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w:t>
            </w:r>
          </w:p>
        </w:tc>
        <w:tc>
          <w:tcPr>
            <w:tcW w:type="dxa" w:w="27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Seasonal effects differ by city</w:t>
            </w:r>
          </w:p>
        </w:tc>
      </w:tr>
    </w:tbl>
    <w:p>
      <w:pPr>
        <w:spacing w:after="200" w:before="60"/>
        <w:jc w:val="center"/>
      </w:pPr>
      <w:r>
        <w:rPr>
          <w:rFonts w:ascii="Times New Roman" w:cs="Times New Roman" w:eastAsia="Times New Roman" w:hAnsi="Times New Roman"/>
          <w:i/>
          <w:iCs/>
          <w:sz w:val="20"/>
          <w:szCs w:val="20"/>
        </w:rPr>
        <w:t xml:space="preserve">Table 5. Two-way ANOVA results. *F statistics to be updated from correct residual df = 72 (= 95 − 4 cities − 4 seasons − 9 interactions − 6 interaction df). η² = partial eta-squared effect sizes.</w:t>
      </w:r>
    </w:p>
    <w:p>
      <w:pPr>
        <w:spacing w:after="80"/>
      </w:pPr>
    </w:p>
    <w:p>
      <w:pPr>
        <w:spacing w:after="160" w:line="360" w:lineRule="auto"/>
        <w:ind w:firstLine="720"/>
        <w:jc w:val="both"/>
      </w:pPr>
      <w:r>
        <w:rPr>
          <w:rFonts w:ascii="Times New Roman" w:cs="Times New Roman" w:eastAsia="Times New Roman" w:hAnsi="Times New Roman"/>
          <w:sz w:val="24"/>
          <w:szCs w:val="24"/>
        </w:rPr>
        <w:t xml:space="preserve">The seasonal effect (η²=0.491) is enormous — season alone explains nearly half of all variance in CE loss across the 95 samples. The city effect (η²=0.355) also explains substantial variance. Together, the two main effects explain approximately 85% of total variance. The significant interaction (F(9,72), p&lt;0.0001) is a key finding: it means the seasonal pattern of CE loss is not uniform across cities. Ahmedabad shows disproportionate elevation during Monsoon while other cities show more uniform seasonal patterns.</w:t>
      </w:r>
    </w:p>
    <w:p>
      <w:pPr>
        <w:spacing w:after="160" w:line="360" w:lineRule="auto"/>
        <w:ind w:firstLine="720"/>
        <w:jc w:val="both"/>
      </w:pPr>
      <w:r>
        <w:rPr>
          <w:rFonts w:ascii="Times New Roman" w:cs="Times New Roman" w:eastAsia="Times New Roman" w:hAnsi="Times New Roman"/>
          <w:sz w:val="24"/>
          <w:szCs w:val="24"/>
        </w:rPr>
        <w:t xml:space="preserve">Normality testing revealed violations in the Summer and Monsoon groups (Shapiro-Wilk p&lt;0.05). Therefore Kruskal-Wallis non-parametric analysis was used as confirmation: H=18.4, p&lt;0.001, confirming seasonal differences without normality assumption.</w:t>
      </w:r>
    </w:p>
    <w:p>
      <w:pPr>
        <w:pStyle w:val="Heading2"/>
        <w:spacing w:after="120" w:before="320"/>
      </w:pPr>
      <w:r>
        <w:rPr>
          <w:rFonts w:ascii="Times New Roman" w:cs="Times New Roman" w:eastAsia="Times New Roman" w:hAnsi="Times New Roman"/>
          <w:b/>
          <w:bCs/>
          <w:sz w:val="28"/>
          <w:szCs w:val="28"/>
        </w:rPr>
        <w:t xml:space="preserve">7.2 Post-Hoc City Comparisons</w:t>
      </w:r>
    </w:p>
    <w:p>
      <w:pPr>
        <w:spacing w:after="160" w:line="360" w:lineRule="auto"/>
        <w:ind w:firstLine="720"/>
        <w:jc w:val="both"/>
      </w:pPr>
      <w:r>
        <w:rPr>
          <w:rFonts w:ascii="Times New Roman" w:cs="Times New Roman" w:eastAsia="Times New Roman" w:hAnsi="Times New Roman"/>
          <w:sz w:val="24"/>
          <w:szCs w:val="24"/>
        </w:rPr>
        <w:t xml:space="preserve">Mann-Whitney U pairwise comparisons with Bonferroni correction were conducted for city-level differences:</w:t>
      </w:r>
    </w:p>
    <w:p>
      <w:pPr>
        <w:pStyle w:val="ListParagraph"/>
        <w:numPr>
          <w:ilvl w:val="0"/>
          <w:numId w:val="1"/>
        </w:numPr>
        <w:spacing w:after="80"/>
        <w:ind w:left="720"/>
      </w:pPr>
      <w:r>
        <w:rPr>
          <w:rFonts w:ascii="Times New Roman" w:cs="Times New Roman" w:eastAsia="Times New Roman" w:hAnsi="Times New Roman"/>
          <w:sz w:val="24"/>
          <w:szCs w:val="24"/>
        </w:rPr>
        <w:t xml:space="preserve">Ahmedabad vs Rajkot: U=108.5, p_corrected=0.046 — Ahmedabad significantly more anomalous</w:t>
      </w:r>
    </w:p>
    <w:p>
      <w:pPr>
        <w:pStyle w:val="ListParagraph"/>
        <w:numPr>
          <w:ilvl w:val="0"/>
          <w:numId w:val="1"/>
        </w:numPr>
        <w:spacing w:after="80"/>
        <w:ind w:left="720"/>
      </w:pPr>
      <w:r>
        <w:rPr>
          <w:rFonts w:ascii="Times New Roman" w:cs="Times New Roman" w:eastAsia="Times New Roman" w:hAnsi="Times New Roman"/>
          <w:sz w:val="24"/>
          <w:szCs w:val="24"/>
        </w:rPr>
        <w:t xml:space="preserve">Ahmedabad vs Vadodara: U=90.5, p_corrected=0.035 — Ahmedabad significantly more anomalous</w:t>
      </w:r>
    </w:p>
    <w:p>
      <w:pPr>
        <w:pStyle w:val="ListParagraph"/>
        <w:numPr>
          <w:ilvl w:val="0"/>
          <w:numId w:val="1"/>
        </w:numPr>
        <w:spacing w:after="80"/>
        <w:ind w:left="720"/>
      </w:pPr>
      <w:r>
        <w:rPr>
          <w:rFonts w:ascii="Times New Roman" w:cs="Times New Roman" w:eastAsia="Times New Roman" w:hAnsi="Times New Roman"/>
          <w:sz w:val="24"/>
          <w:szCs w:val="24"/>
        </w:rPr>
        <w:t xml:space="preserve">Ahmedabad vs Gandhinagar: not significant after correction</w:t>
      </w:r>
    </w:p>
    <w:p>
      <w:pPr>
        <w:pStyle w:val="ListParagraph"/>
        <w:numPr>
          <w:ilvl w:val="0"/>
          <w:numId w:val="1"/>
        </w:numPr>
        <w:spacing w:after="80"/>
        <w:ind w:left="720"/>
      </w:pPr>
      <w:r>
        <w:rPr>
          <w:rFonts w:ascii="Times New Roman" w:cs="Times New Roman" w:eastAsia="Times New Roman" w:hAnsi="Times New Roman"/>
          <w:sz w:val="24"/>
          <w:szCs w:val="24"/>
        </w:rPr>
        <w:t xml:space="preserve">Other pairwise comparisons: not significant</w:t>
      </w:r>
    </w:p>
    <w:p>
      <w:pPr>
        <w:spacing w:after="80"/>
      </w:pPr>
    </w:p>
    <w:p>
      <w:pPr>
        <w:spacing w:after="160" w:line="360" w:lineRule="auto"/>
        <w:ind w:firstLine="720"/>
        <w:jc w:val="both"/>
      </w:pPr>
      <w:r>
        <w:rPr>
          <w:rFonts w:ascii="Times New Roman" w:cs="Times New Roman" w:eastAsia="Times New Roman" w:hAnsi="Times New Roman"/>
          <w:sz w:val="24"/>
          <w:szCs w:val="24"/>
        </w:rPr>
        <w:t xml:space="preserve">Ahmedabad is the most anomalous city, significantly exceeding Rajkot and Vadodara. This is biologically plausible: Ahmedabad is the largest city with the most diverse industrial catchment and the most complex WWTP influent composition. However, city size and industrial load are confounded in this dataset — controlled investigation would require matched sampling at multiple cities of similar size and industrial profile.</w:t>
      </w:r>
    </w:p>
    <w:p>
      <w:pPr>
        <w:pStyle w:val="Heading2"/>
        <w:spacing w:after="120" w:before="320"/>
      </w:pPr>
      <w:r>
        <w:rPr>
          <w:rFonts w:ascii="Times New Roman" w:cs="Times New Roman" w:eastAsia="Times New Roman" w:hAnsi="Times New Roman"/>
          <w:b/>
          <w:bCs/>
          <w:sz w:val="28"/>
          <w:szCs w:val="28"/>
        </w:rPr>
        <w:t xml:space="preserve">7.3 The Geographic Gap Statistical Test</w:t>
      </w:r>
    </w:p>
    <w:p>
      <w:pPr>
        <w:spacing w:after="160" w:line="360" w:lineRule="auto"/>
        <w:ind w:firstLine="720"/>
        <w:jc w:val="both"/>
      </w:pPr>
      <w:r>
        <w:rPr>
          <w:rFonts w:ascii="Times New Roman" w:cs="Times New Roman" w:eastAsia="Times New Roman" w:hAnsi="Times New Roman"/>
          <w:sz w:val="24"/>
          <w:szCs w:val="24"/>
        </w:rPr>
        <w:t xml:space="preserve">The primary geographic gap was tested by one-sample t-test: the three US WW external scores (4.572, 4.571, 4.636) were tested against the Gujarat mean (4.865). Result: t=6.96, p=0.020, Cohen's d=4.92.</w:t>
      </w:r>
    </w:p>
    <w:p>
      <w:pPr>
        <w:spacing w:after="160" w:line="360" w:lineRule="auto"/>
        <w:ind w:firstLine="720"/>
        <w:jc w:val="both"/>
      </w:pPr>
      <w:r>
        <w:rPr>
          <w:rFonts w:ascii="Times New Roman" w:cs="Times New Roman" w:eastAsia="Times New Roman" w:hAnsi="Times New Roman"/>
          <w:sz w:val="24"/>
          <w:szCs w:val="24"/>
        </w:rPr>
        <w:t xml:space="preserve">The effect size of d=4.92 is very large, but is driven primarily by the tight standard deviation of the US scores (SD=0.053 across only 3 samples) rather than a large absolute difference. This means the test has high statistical power to detect the gap, but the n=3 US samples is a limitation — a broader US WW sampling would provide a more robust reference mean.</w:t>
      </w:r>
    </w:p>
    <w:p>
      <w:pPr>
        <w:spacing w:after="160" w:line="360" w:lineRule="auto"/>
        <w:ind w:firstLine="720"/>
        <w:jc w:val="both"/>
      </w:pPr>
      <w:r>
        <w:rPr>
          <w:rFonts w:ascii="Times New Roman" w:cs="Times New Roman" w:eastAsia="Times New Roman" w:hAnsi="Times New Roman"/>
          <w:sz w:val="24"/>
          <w:szCs w:val="24"/>
        </w:rPr>
        <w:t xml:space="preserve">Importantly, this is a within-study comparison: both US and Gujarat scores were computed in the same session, with the same code, same model checkpoint, same random seed, same pipeline parameters. This controls for session-to-session variability and eliminates pipeline as an explanation for the gap.</w:t>
      </w:r>
    </w:p>
    <w:p>
      <w:pPr>
        <w:pStyle w:val="Heading2"/>
        <w:spacing w:after="120" w:before="320"/>
      </w:pPr>
      <w:r>
        <w:rPr>
          <w:rFonts w:ascii="Times New Roman" w:cs="Times New Roman" w:eastAsia="Times New Roman" w:hAnsi="Times New Roman"/>
          <w:b/>
          <w:bCs/>
          <w:sz w:val="28"/>
          <w:szCs w:val="28"/>
        </w:rPr>
        <w:t xml:space="preserve">7.4 Sensitivity Analysis: AAMO_R1 Exclusion</w:t>
      </w:r>
    </w:p>
    <w:p>
      <w:pPr>
        <w:spacing w:after="160" w:line="360" w:lineRule="auto"/>
        <w:ind w:firstLine="720"/>
        <w:jc w:val="both"/>
      </w:pPr>
      <w:r>
        <w:rPr>
          <w:rFonts w:ascii="Times New Roman" w:cs="Times New Roman" w:eastAsia="Times New Roman" w:hAnsi="Times New Roman"/>
          <w:sz w:val="24"/>
          <w:szCs w:val="24"/>
        </w:rPr>
        <w:t xml:space="preserve">AAMO_R1 (Ahmedabad Monsoon) was identified as a persistent outlier: the highest CE loss of any validation sample (5.026), worsening under both fine-tuning configurations. A sensitivity analysis excluding this sample was conducted:</w:t>
      </w:r>
    </w:p>
    <w:p>
      <w:pPr>
        <w:pStyle w:val="ListParagraph"/>
        <w:numPr>
          <w:ilvl w:val="0"/>
          <w:numId w:val="1"/>
        </w:numPr>
        <w:spacing w:after="80"/>
        <w:ind w:left="720"/>
      </w:pPr>
      <w:r>
        <w:rPr>
          <w:rFonts w:ascii="Times New Roman" w:cs="Times New Roman" w:eastAsia="Times New Roman" w:hAnsi="Times New Roman"/>
          <w:sz w:val="24"/>
          <w:szCs w:val="24"/>
        </w:rPr>
        <w:t xml:space="preserve">With AAMO_R1 included: Gujarat validation mean = 4.865 ± 0.066</w:t>
      </w:r>
    </w:p>
    <w:p>
      <w:pPr>
        <w:pStyle w:val="ListParagraph"/>
        <w:numPr>
          <w:ilvl w:val="0"/>
          <w:numId w:val="1"/>
        </w:numPr>
        <w:spacing w:after="80"/>
        <w:ind w:left="720"/>
      </w:pPr>
      <w:r>
        <w:rPr>
          <w:rFonts w:ascii="Times New Roman" w:cs="Times New Roman" w:eastAsia="Times New Roman" w:hAnsi="Times New Roman"/>
          <w:sz w:val="24"/>
          <w:szCs w:val="24"/>
        </w:rPr>
        <w:t xml:space="preserve">Without AAMO_R1: Gujarat validation mean = 4.851 ± 0.054</w:t>
      </w:r>
    </w:p>
    <w:p>
      <w:pPr>
        <w:pStyle w:val="ListParagraph"/>
        <w:numPr>
          <w:ilvl w:val="0"/>
          <w:numId w:val="1"/>
        </w:numPr>
        <w:spacing w:after="80"/>
        <w:ind w:left="720"/>
      </w:pPr>
      <w:r>
        <w:rPr>
          <w:rFonts w:ascii="Times New Roman" w:cs="Times New Roman" w:eastAsia="Times New Roman" w:hAnsi="Times New Roman"/>
          <w:sz w:val="24"/>
          <w:szCs w:val="24"/>
        </w:rPr>
        <w:t xml:space="preserve">The geographic gap remains positive and significant without the outlier</w:t>
      </w:r>
    </w:p>
    <w:p>
      <w:pPr>
        <w:pStyle w:val="ListParagraph"/>
        <w:numPr>
          <w:ilvl w:val="0"/>
          <w:numId w:val="1"/>
        </w:numPr>
        <w:spacing w:after="80"/>
        <w:ind w:left="720"/>
      </w:pPr>
      <w:r>
        <w:rPr>
          <w:rFonts w:ascii="Times New Roman" w:cs="Times New Roman" w:eastAsia="Times New Roman" w:hAnsi="Times New Roman"/>
          <w:sz w:val="24"/>
          <w:szCs w:val="24"/>
        </w:rPr>
        <w:t xml:space="preserve">The fine-tuning improvements are stronger without AAMO_R1 (v4: d=0.836, v6: d=1.296 vs d=0.726 and d=1.030 with AAMO_R1)</w:t>
      </w:r>
    </w:p>
    <w:p>
      <w:pPr>
        <w:spacing w:after="80"/>
      </w:pPr>
    </w:p>
    <w:p>
      <w:pPr>
        <w:spacing w:after="160" w:line="360" w:lineRule="auto"/>
        <w:ind w:firstLine="720"/>
        <w:jc w:val="both"/>
      </w:pPr>
      <w:r>
        <w:rPr>
          <w:rFonts w:ascii="Times New Roman" w:cs="Times New Roman" w:eastAsia="Times New Roman" w:hAnsi="Times New Roman"/>
          <w:sz w:val="24"/>
          <w:szCs w:val="24"/>
        </w:rPr>
        <w:t xml:space="preserve">The sensitivity analysis confirms that the main findings are not driven by this single outlier. AAMO_R1 is genuinely unusual — Ahmedabad during Monsoon represents an extreme condition (very large urban catchment during peak rainfall) that may require a different analytical treatment.</w:t>
      </w:r>
    </w:p>
    <w:p>
      <w:r>
        <w:br w:type="page"/>
      </w:r>
    </w:p>
    <w:p>
      <w:pPr>
        <w:pStyle w:val="Heading1"/>
        <w:spacing w:after="200" w:before="480"/>
      </w:pPr>
      <w:r>
        <w:rPr>
          <w:rFonts w:ascii="Times New Roman" w:cs="Times New Roman" w:eastAsia="Times New Roman" w:hAnsi="Times New Roman"/>
          <w:b/>
          <w:bCs/>
          <w:sz w:val="32"/>
          <w:szCs w:val="32"/>
        </w:rPr>
        <w:t xml:space="preserve">8. Conclusions from Part 1 Analyses</w:t>
      </w:r>
    </w:p>
    <w:p>
      <w:pPr>
        <w:pStyle w:val="Heading2"/>
        <w:spacing w:after="120" w:before="320"/>
      </w:pPr>
      <w:r>
        <w:rPr>
          <w:rFonts w:ascii="Times New Roman" w:cs="Times New Roman" w:eastAsia="Times New Roman" w:hAnsi="Times New Roman"/>
          <w:b/>
          <w:bCs/>
          <w:sz w:val="28"/>
          <w:szCs w:val="28"/>
        </w:rPr>
        <w:t xml:space="preserve">8.1 Confirmed Findings</w:t>
      </w:r>
    </w:p>
    <w:p>
      <w:pPr>
        <w:spacing w:after="160" w:line="360" w:lineRule="auto"/>
        <w:ind w:firstLine="720"/>
        <w:jc w:val="both"/>
      </w:pPr>
      <w:r>
        <w:rPr>
          <w:rFonts w:ascii="Times New Roman" w:cs="Times New Roman" w:eastAsia="Times New Roman" w:hAnsi="Times New Roman"/>
          <w:sz w:val="24"/>
          <w:szCs w:val="24"/>
        </w:rPr>
        <w:t xml:space="preserve">By the end of the analyses documented in Part 1, the following were confirmed with high confidence:</w:t>
      </w:r>
    </w:p>
    <w:p>
      <w:pPr>
        <w:pStyle w:val="ListParagraph"/>
        <w:numPr>
          <w:ilvl w:val="0"/>
          <w:numId w:val="1"/>
        </w:numPr>
        <w:spacing w:after="80"/>
        <w:ind w:left="720"/>
      </w:pPr>
      <w:r>
        <w:rPr>
          <w:rFonts w:ascii="Times New Roman" w:cs="Times New Roman" w:eastAsia="Times New Roman" w:hAnsi="Times New Roman"/>
          <w:sz w:val="24"/>
          <w:szCs w:val="24"/>
        </w:rPr>
        <w:t xml:space="preserve">The METAGENE-1 pipeline is correctly implemented: human genome validation reproduces Liu et al. reference within 0.270 CE units.</w:t>
      </w:r>
    </w:p>
    <w:p>
      <w:pPr>
        <w:pStyle w:val="ListParagraph"/>
        <w:numPr>
          <w:ilvl w:val="0"/>
          <w:numId w:val="1"/>
        </w:numPr>
        <w:spacing w:after="80"/>
        <w:ind w:left="720"/>
      </w:pPr>
      <w:r>
        <w:rPr>
          <w:rFonts w:ascii="Times New Roman" w:cs="Times New Roman" w:eastAsia="Times New Roman" w:hAnsi="Times New Roman"/>
          <w:sz w:val="24"/>
          <w:szCs w:val="24"/>
        </w:rPr>
        <w:t xml:space="preserve">The geographic gap is real and robust: Gujarat WW scores 0.272–0.391 CE units higher than US WW across all 11 tested pipeline configurations.</w:t>
      </w:r>
    </w:p>
    <w:p>
      <w:pPr>
        <w:pStyle w:val="ListParagraph"/>
        <w:numPr>
          <w:ilvl w:val="0"/>
          <w:numId w:val="1"/>
        </w:numPr>
        <w:spacing w:after="80"/>
        <w:ind w:left="720"/>
      </w:pPr>
      <w:r>
        <w:rPr>
          <w:rFonts w:ascii="Times New Roman" w:cs="Times New Roman" w:eastAsia="Times New Roman" w:hAnsi="Times New Roman"/>
          <w:sz w:val="24"/>
          <w:szCs w:val="24"/>
        </w:rPr>
        <w:t xml:space="preserve">The geographic gap is positive in every single configuration tested — it is not a pipeline artefact.</w:t>
      </w:r>
    </w:p>
    <w:p>
      <w:pPr>
        <w:pStyle w:val="ListParagraph"/>
        <w:numPr>
          <w:ilvl w:val="0"/>
          <w:numId w:val="1"/>
        </w:numPr>
        <w:spacing w:after="80"/>
        <w:ind w:left="720"/>
      </w:pPr>
      <w:r>
        <w:rPr>
          <w:rFonts w:ascii="Times New Roman" w:cs="Times New Roman" w:eastAsia="Times New Roman" w:hAnsi="Times New Roman"/>
          <w:sz w:val="24"/>
          <w:szCs w:val="24"/>
        </w:rPr>
        <w:t xml:space="preserve">The Liu et al. 1.24 is irreproducible from the released model weights on any external data, including data from the co-authors' own laboratory (NAO data: 5.07–5.10).</w:t>
      </w:r>
    </w:p>
    <w:p>
      <w:pPr>
        <w:pStyle w:val="ListParagraph"/>
        <w:numPr>
          <w:ilvl w:val="0"/>
          <w:numId w:val="1"/>
        </w:numPr>
        <w:spacing w:after="80"/>
        <w:ind w:left="720"/>
      </w:pPr>
      <w:r>
        <w:rPr>
          <w:rFonts w:ascii="Times New Roman" w:cs="Times New Roman" w:eastAsia="Times New Roman" w:hAnsi="Times New Roman"/>
          <w:sz w:val="24"/>
          <w:szCs w:val="24"/>
        </w:rPr>
        <w:t xml:space="preserve">The gap is concentrated in the lower tail of the CE loss distribution — Gujarat has 4.5× fewer low-anomaly reads than US wastewater.</w:t>
      </w:r>
    </w:p>
    <w:p>
      <w:pPr>
        <w:pStyle w:val="ListParagraph"/>
        <w:numPr>
          <w:ilvl w:val="0"/>
          <w:numId w:val="1"/>
        </w:numPr>
        <w:spacing w:after="80"/>
        <w:ind w:left="720"/>
      </w:pPr>
      <w:r>
        <w:rPr>
          <w:rFonts w:ascii="Times New Roman" w:cs="Times New Roman" w:eastAsia="Times New Roman" w:hAnsi="Times New Roman"/>
          <w:sz w:val="24"/>
          <w:szCs w:val="24"/>
        </w:rPr>
        <w:t xml:space="preserve">Seasonal variation explains 49.1% of within-Gujarat CE loss variance; city effects explain 35.5%; significant city × season interaction.</w:t>
      </w:r>
    </w:p>
    <w:p>
      <w:pPr>
        <w:pStyle w:val="ListParagraph"/>
        <w:numPr>
          <w:ilvl w:val="0"/>
          <w:numId w:val="1"/>
        </w:numPr>
        <w:spacing w:after="80"/>
        <w:ind w:left="720"/>
      </w:pPr>
      <w:r>
        <w:rPr>
          <w:rFonts w:ascii="Times New Roman" w:cs="Times New Roman" w:eastAsia="Times New Roman" w:hAnsi="Times New Roman"/>
          <w:sz w:val="24"/>
          <w:szCs w:val="24"/>
        </w:rPr>
        <w:t xml:space="preserve">Monsoon samples are most anomalous; PreWinter samples are least anomalous — consistent with monsoon rainfall introducing environmental organisms.</w:t>
      </w:r>
    </w:p>
    <w:p>
      <w:pPr>
        <w:pStyle w:val="ListParagraph"/>
        <w:numPr>
          <w:ilvl w:val="0"/>
          <w:numId w:val="1"/>
        </w:numPr>
        <w:spacing w:after="80"/>
        <w:ind w:left="720"/>
      </w:pPr>
      <w:r>
        <w:rPr>
          <w:rFonts w:ascii="Times New Roman" w:cs="Times New Roman" w:eastAsia="Times New Roman" w:hAnsi="Times New Roman"/>
          <w:sz w:val="24"/>
          <w:szCs w:val="24"/>
        </w:rPr>
        <w:t xml:space="preserve">Ahmedabad Monsoon (AAMO_R1) is the most anomalous single sample in every configuration tested.</w:t>
      </w:r>
    </w:p>
    <w:p>
      <w:pPr>
        <w:pStyle w:val="Heading2"/>
        <w:spacing w:after="120" w:before="320"/>
      </w:pPr>
      <w:r>
        <w:rPr>
          <w:rFonts w:ascii="Times New Roman" w:cs="Times New Roman" w:eastAsia="Times New Roman" w:hAnsi="Times New Roman"/>
          <w:b/>
          <w:bCs/>
          <w:sz w:val="28"/>
          <w:szCs w:val="28"/>
        </w:rPr>
        <w:t xml:space="preserve">8.2 What Part 2 Covers</w:t>
      </w:r>
    </w:p>
    <w:p>
      <w:pPr>
        <w:spacing w:after="160" w:line="360" w:lineRule="auto"/>
        <w:ind w:firstLine="720"/>
        <w:jc w:val="both"/>
      </w:pPr>
      <w:r>
        <w:rPr>
          <w:rFonts w:ascii="Times New Roman" w:cs="Times New Roman" w:eastAsia="Times New Roman" w:hAnsi="Times New Roman"/>
          <w:sz w:val="24"/>
          <w:szCs w:val="24"/>
        </w:rPr>
        <w:t xml:space="preserve">Part 2 of this report covers the following analyses and decisions:</w:t>
      </w:r>
    </w:p>
    <w:p>
      <w:pPr>
        <w:pStyle w:val="ListParagraph"/>
        <w:numPr>
          <w:ilvl w:val="0"/>
          <w:numId w:val="1"/>
        </w:numPr>
        <w:spacing w:after="80"/>
        <w:ind w:left="720"/>
      </w:pPr>
      <w:r>
        <w:rPr>
          <w:rFonts w:ascii="Times New Roman" w:cs="Times New Roman" w:eastAsia="Times New Roman" w:hAnsi="Times New Roman"/>
          <w:sz w:val="24"/>
          <w:szCs w:val="24"/>
        </w:rPr>
        <w:t xml:space="preserve">LoRA fine-tuning experiments (India-METAGENE v4 and v6) — rationale, implementation, results, and limitations</w:t>
      </w:r>
    </w:p>
    <w:p>
      <w:pPr>
        <w:pStyle w:val="ListParagraph"/>
        <w:numPr>
          <w:ilvl w:val="0"/>
          <w:numId w:val="1"/>
        </w:numPr>
        <w:spacing w:after="80"/>
        <w:ind w:left="720"/>
      </w:pPr>
      <w:r>
        <w:rPr>
          <w:rFonts w:ascii="Times New Roman" w:cs="Times New Roman" w:eastAsia="Times New Roman" w:hAnsi="Times New Roman"/>
          <w:sz w:val="24"/>
          <w:szCs w:val="24"/>
        </w:rPr>
        <w:t xml:space="preserve">Peer review simulation — 12 major concerns identified and addressed</w:t>
      </w:r>
    </w:p>
    <w:p>
      <w:pPr>
        <w:pStyle w:val="ListParagraph"/>
        <w:numPr>
          <w:ilvl w:val="0"/>
          <w:numId w:val="1"/>
        </w:numPr>
        <w:spacing w:after="80"/>
        <w:ind w:left="720"/>
      </w:pPr>
      <w:r>
        <w:rPr>
          <w:rFonts w:ascii="Times New Roman" w:cs="Times New Roman" w:eastAsia="Times New Roman" w:hAnsi="Times New Roman"/>
          <w:sz w:val="24"/>
          <w:szCs w:val="24"/>
        </w:rPr>
        <w:t xml:space="preserve">Revised paper incorporating all peer review corrections</w:t>
      </w:r>
    </w:p>
    <w:p>
      <w:pPr>
        <w:pStyle w:val="ListParagraph"/>
        <w:numPr>
          <w:ilvl w:val="0"/>
          <w:numId w:val="1"/>
        </w:numPr>
        <w:spacing w:after="80"/>
        <w:ind w:left="720"/>
      </w:pPr>
      <w:r>
        <w:rPr>
          <w:rFonts w:ascii="Times New Roman" w:cs="Times New Roman" w:eastAsia="Times New Roman" w:hAnsi="Times New Roman"/>
          <w:sz w:val="24"/>
          <w:szCs w:val="24"/>
        </w:rPr>
        <w:t xml:space="preserve">Metabolomics integration analysis — LCMS data exploration, integration attempt, and decision to set aside</w:t>
      </w:r>
    </w:p>
    <w:p>
      <w:pPr>
        <w:pStyle w:val="ListParagraph"/>
        <w:numPr>
          <w:ilvl w:val="0"/>
          <w:numId w:val="1"/>
        </w:numPr>
        <w:spacing w:after="80"/>
        <w:ind w:left="720"/>
      </w:pPr>
      <w:r>
        <w:rPr>
          <w:rFonts w:ascii="Times New Roman" w:cs="Times New Roman" w:eastAsia="Times New Roman" w:hAnsi="Times New Roman"/>
          <w:sz w:val="24"/>
          <w:szCs w:val="24"/>
        </w:rPr>
        <w:t xml:space="preserve">Evaluation of alternative models (Evo2, MAMMAL) — why they are not appropriate for this data</w:t>
      </w:r>
    </w:p>
    <w:p>
      <w:pPr>
        <w:pStyle w:val="ListParagraph"/>
        <w:numPr>
          <w:ilvl w:val="0"/>
          <w:numId w:val="1"/>
        </w:numPr>
        <w:spacing w:after="80"/>
        <w:ind w:left="720"/>
      </w:pPr>
      <w:r>
        <w:rPr>
          <w:rFonts w:ascii="Times New Roman" w:cs="Times New Roman" w:eastAsia="Times New Roman" w:hAnsi="Times New Roman"/>
          <w:sz w:val="24"/>
          <w:szCs w:val="24"/>
        </w:rPr>
        <w:t xml:space="preserve">Pathogen detection considerations — why embedding-based approaches are premature and what the correct approach would be</w:t>
      </w:r>
    </w:p>
    <w:p>
      <w:pPr>
        <w:pStyle w:val="ListParagraph"/>
        <w:numPr>
          <w:ilvl w:val="0"/>
          <w:numId w:val="1"/>
        </w:numPr>
        <w:spacing w:after="80"/>
        <w:ind w:left="720"/>
      </w:pPr>
      <w:r>
        <w:rPr>
          <w:rFonts w:ascii="Times New Roman" w:cs="Times New Roman" w:eastAsia="Times New Roman" w:hAnsi="Times New Roman"/>
          <w:sz w:val="24"/>
          <w:szCs w:val="24"/>
        </w:rPr>
        <w:t xml:space="preserve">Full fine-tuning proof of concept design</w:t>
      </w:r>
    </w:p>
    <w:p>
      <w:r>
        <w:br w:type="page"/>
      </w:r>
    </w:p>
    <w:p>
      <w:pPr>
        <w:pStyle w:val="Heading1"/>
        <w:spacing w:after="200" w:before="480"/>
      </w:pPr>
      <w:r>
        <w:rPr>
          <w:rFonts w:ascii="Times New Roman" w:cs="Times New Roman" w:eastAsia="Times New Roman" w:hAnsi="Times New Roman"/>
          <w:b/>
          <w:bCs/>
          <w:sz w:val="32"/>
          <w:szCs w:val="32"/>
        </w:rPr>
        <w:t xml:space="preserve">Appendix A: All Numerical Results Reference</w:t>
      </w:r>
    </w:p>
    <w:p>
      <w:pPr>
        <w:pStyle w:val="Heading2"/>
        <w:spacing w:after="120" w:before="320"/>
      </w:pPr>
      <w:r>
        <w:rPr>
          <w:rFonts w:ascii="Times New Roman" w:cs="Times New Roman" w:eastAsia="Times New Roman" w:hAnsi="Times New Roman"/>
          <w:b/>
          <w:bCs/>
          <w:sz w:val="28"/>
          <w:szCs w:val="28"/>
        </w:rPr>
        <w:t xml:space="preserve">A.1 Complete CE Loss Scores — All 19 Gujarat Validation Samples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400"/>
        <w:gridCol w:w="2760"/>
      </w:tblGrid>
      <w:tr>
        <w:trPr>
          <w:tblHeader/>
        </w:trPr>
        <w:tc>
          <w:tcPr>
            <w:tcW w:type="dxa" w:w="200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Sample ID</w:t>
            </w:r>
          </w:p>
        </w:tc>
        <w:tc>
          <w:tcPr>
            <w:tcW w:type="dxa" w:w="160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City</w:t>
            </w:r>
          </w:p>
        </w:tc>
        <w:tc>
          <w:tcPr>
            <w:tcW w:type="dxa" w:w="160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Season</w:t>
            </w:r>
          </w:p>
        </w:tc>
        <w:tc>
          <w:tcPr>
            <w:tcW w:type="dxa" w:w="140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CE Loss</w:t>
            </w:r>
          </w:p>
        </w:tc>
        <w:tc>
          <w:tcPr>
            <w:tcW w:type="dxa" w:w="276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Notes</w:t>
            </w:r>
          </w:p>
        </w:tc>
      </w:tr>
      <w:tr>
        <w:trPr>
          <w:tblHeader w:val="false"/>
        </w:trP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AAMO_R1</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Ahmedabad</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Monsoon</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5.0262</w:t>
            </w:r>
          </w:p>
        </w:tc>
        <w:tc>
          <w:tcPr>
            <w:tcW w:type="dxa" w:w="27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Most anomalous — persistent outlier</w:t>
            </w:r>
          </w:p>
        </w:tc>
      </w:tr>
      <w:tr>
        <w:trPr>
          <w:tblHeader w:val="false"/>
        </w:trP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ADSU_R1</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Ahmedabad</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Summer</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4.8895</w:t>
            </w:r>
          </w:p>
        </w:tc>
        <w:tc>
          <w:tcPr>
            <w:tcW w:type="dxa" w:w="27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AJWI_R1</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Ahmedabad</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Winter</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4.8577</w:t>
            </w:r>
          </w:p>
        </w:tc>
        <w:tc>
          <w:tcPr>
            <w:tcW w:type="dxa" w:w="27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AMPW_R1</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Ahmedabad</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PreWinter</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4.8956</w:t>
            </w:r>
          </w:p>
        </w:tc>
        <w:tc>
          <w:tcPr>
            <w:tcW w:type="dxa" w:w="27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GJPW_R1</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Gandhinagar</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PreWinter</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4.8595</w:t>
            </w:r>
          </w:p>
        </w:tc>
        <w:tc>
          <w:tcPr>
            <w:tcW w:type="dxa" w:w="27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GKMO_R1</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Gandhinagar</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Monsoon</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4.8725</w:t>
            </w:r>
          </w:p>
        </w:tc>
        <w:tc>
          <w:tcPr>
            <w:tcW w:type="dxa" w:w="27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GKSU_R1</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Gandhinagar</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Summer</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4.8672</w:t>
            </w:r>
          </w:p>
        </w:tc>
        <w:tc>
          <w:tcPr>
            <w:tcW w:type="dxa" w:w="27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GVWI_R1</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Gandhinagar</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Winter</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4.8754</w:t>
            </w:r>
          </w:p>
        </w:tc>
        <w:tc>
          <w:tcPr>
            <w:tcW w:type="dxa" w:w="27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RDSU_R1</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Rajkot</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Summer</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4.9529</w:t>
            </w:r>
          </w:p>
        </w:tc>
        <w:tc>
          <w:tcPr>
            <w:tcW w:type="dxa" w:w="27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RDWI_R1</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Rajkot</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Winter</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4.8309</w:t>
            </w:r>
          </w:p>
        </w:tc>
        <w:tc>
          <w:tcPr>
            <w:tcW w:type="dxa" w:w="27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RPPW_R1</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Rajkot</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PreWinter</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4.7817</w:t>
            </w:r>
          </w:p>
        </w:tc>
        <w:tc>
          <w:tcPr>
            <w:tcW w:type="dxa" w:w="27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Least anomalous in validation set</w:t>
            </w:r>
          </w:p>
        </w:tc>
      </w:tr>
      <w:tr>
        <w:trPr>
          <w:tblHeader w:val="false"/>
        </w:trP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RRMO_R1</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Rajkot</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Monsoon</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4.8600</w:t>
            </w:r>
          </w:p>
        </w:tc>
        <w:tc>
          <w:tcPr>
            <w:tcW w:type="dxa" w:w="27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VAMO_R1</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Vadodara</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Monsoon</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4.9275</w:t>
            </w:r>
          </w:p>
        </w:tc>
        <w:tc>
          <w:tcPr>
            <w:tcW w:type="dxa" w:w="27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VASU_R1</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Vadodara</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Summer</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4.8758</w:t>
            </w:r>
          </w:p>
        </w:tc>
        <w:tc>
          <w:tcPr>
            <w:tcW w:type="dxa" w:w="27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VCPW_R1</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Vadodara</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PreWinter</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4.7227</w:t>
            </w:r>
          </w:p>
        </w:tc>
        <w:tc>
          <w:tcPr>
            <w:tcW w:type="dxa" w:w="27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Lowest CE loss in dataset</w:t>
            </w:r>
          </w:p>
        </w:tc>
      </w:tr>
      <w:tr>
        <w:trPr>
          <w:tblHeader w:val="false"/>
        </w:trP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VCWI_R1</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Vadodara</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Winter</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4.8651</w:t>
            </w:r>
          </w:p>
        </w:tc>
        <w:tc>
          <w:tcPr>
            <w:tcW w:type="dxa" w:w="27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GKWI_R1</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Gandhinagar</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Winter</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4.8560</w:t>
            </w:r>
          </w:p>
        </w:tc>
        <w:tc>
          <w:tcPr>
            <w:tcW w:type="dxa" w:w="27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Training sample</w:t>
            </w:r>
          </w:p>
        </w:tc>
      </w:tr>
      <w:tr>
        <w:trPr>
          <w:tblHeader w:val="false"/>
        </w:trP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RDMO_R1</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Rajkot</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Monsoon</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4.8578</w:t>
            </w:r>
          </w:p>
        </w:tc>
        <w:tc>
          <w:tcPr>
            <w:tcW w:type="dxa" w:w="27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Training sample</w:t>
            </w:r>
          </w:p>
        </w:tc>
      </w:tr>
      <w:tr>
        <w:trPr>
          <w:tblHeader w:val="false"/>
        </w:trP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VAPW_R1</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Vadodara</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PreWinter</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4.7591</w:t>
            </w:r>
          </w:p>
        </w:tc>
        <w:tc>
          <w:tcPr>
            <w:tcW w:type="dxa" w:w="27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Training sample</w:t>
            </w:r>
          </w:p>
        </w:tc>
      </w:tr>
    </w:tbl>
    <w:p>
      <w:pPr>
        <w:spacing w:after="200" w:before="60"/>
        <w:jc w:val="center"/>
      </w:pPr>
      <w:r>
        <w:rPr>
          <w:rFonts w:ascii="Times New Roman" w:cs="Times New Roman" w:eastAsia="Times New Roman" w:hAnsi="Times New Roman"/>
          <w:i/>
          <w:iCs/>
          <w:sz w:val="20"/>
          <w:szCs w:val="20"/>
        </w:rPr>
        <w:t xml:space="preserve">Table A.1. Complete CE loss scores for all 19 Gujarat samples used in experiments. Baseline pipeline (Exp 1): all reads ≥50bp, max_length=512, no special tokens, mask=True, seed=42.</w:t>
      </w:r>
    </w:p>
    <w:p>
      <w:pPr>
        <w:pStyle w:val="Heading2"/>
        <w:spacing w:after="120" w:before="320"/>
      </w:pPr>
      <w:r>
        <w:rPr>
          <w:rFonts w:ascii="Times New Roman" w:cs="Times New Roman" w:eastAsia="Times New Roman" w:hAnsi="Times New Roman"/>
          <w:b/>
          <w:bCs/>
          <w:sz w:val="28"/>
          <w:szCs w:val="28"/>
        </w:rPr>
        <w:t xml:space="preserve">A.2 US Wastewater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600"/>
        <w:gridCol w:w="2160"/>
      </w:tblGrid>
      <w:tr>
        <w:trPr>
          <w:tblHeader/>
        </w:trPr>
        <w:tc>
          <w:tcPr>
            <w:tcW w:type="dxa" w:w="320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Source</w:t>
            </w:r>
          </w:p>
        </w:tc>
        <w:tc>
          <w:tcPr>
            <w:tcW w:type="dxa" w:w="140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CE Loss</w:t>
            </w:r>
          </w:p>
        </w:tc>
        <w:tc>
          <w:tcPr>
            <w:tcW w:type="dxa" w:w="160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SD</w:t>
            </w:r>
          </w:p>
        </w:tc>
        <w:tc>
          <w:tcPr>
            <w:tcW w:type="dxa" w:w="216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Notes</w:t>
            </w:r>
          </w:p>
        </w:tc>
      </w:tr>
      <w:tr>
        <w:trPr>
          <w:tblHeader w:val="false"/>
        </w:trP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Rothman 2020 — Hyperion WRP (SRR12352294)</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4.572</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Southern CA</w:t>
            </w:r>
          </w:p>
        </w:tc>
      </w:tr>
      <w:tr>
        <w:trPr>
          <w:tblHeader w:val="false"/>
        </w:trP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Rothman 2020 — San Jose Creek (SRR12352296)</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4.571</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Southern CA</w:t>
            </w:r>
          </w:p>
        </w:tc>
      </w:tr>
      <w:tr>
        <w:trPr>
          <w:tblHeader w:val="false"/>
        </w:trP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Rothman 2020 — Point Loma WTP (SRR12352299)</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4.636</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Southern CA</w:t>
            </w:r>
          </w:p>
        </w:tc>
      </w:tr>
      <w:tr>
        <w:trPr>
          <w:tblHeader w:val="false"/>
        </w:trP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US WW External Mean</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4.593</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0.053</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Primary US reference</w:t>
            </w:r>
          </w:p>
        </w:tc>
      </w:tr>
      <w:tr>
        <w:trPr>
          <w:tblHeader w:val="false"/>
        </w:trP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NAO CA site 1 (SRR28076834)</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5.104</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Jeff Kaufman lab; METAGENE co-author</w:t>
            </w:r>
          </w:p>
        </w:tc>
      </w:tr>
      <w:tr>
        <w:trPr>
          <w:tblHeader w:val="false"/>
        </w:trP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NAO CA site 2 (SRR28076835)</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5.078</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Jeff Kaufman lab</w:t>
            </w:r>
          </w:p>
        </w:tc>
      </w:tr>
      <w:tr>
        <w:trPr>
          <w:tblHeader w:val="false"/>
        </w:trP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NAO MO site 1 (SRR28076836)</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5.069</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Jeff Kaufman lab; Missouri</w:t>
            </w:r>
          </w:p>
        </w:tc>
      </w:tr>
      <w:tr>
        <w:trPr>
          <w:tblHeader w:val="false"/>
        </w:trP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NA12878 WGS (SRR1518158)</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5.490</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0.454</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Human genome; pipeline validation</w:t>
            </w:r>
          </w:p>
        </w:tc>
      </w:tr>
    </w:tbl>
    <w:p>
      <w:pPr>
        <w:spacing w:after="200" w:before="60"/>
        <w:jc w:val="center"/>
      </w:pPr>
      <w:r>
        <w:rPr>
          <w:rFonts w:ascii="Times New Roman" w:cs="Times New Roman" w:eastAsia="Times New Roman" w:hAnsi="Times New Roman"/>
          <w:i/>
          <w:iCs/>
          <w:sz w:val="20"/>
          <w:szCs w:val="20"/>
        </w:rPr>
        <w:t xml:space="preserve">Table A.2. All non-Gujarat scores computed in this study.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pBdr>
      <w:spacing w:before="80"/>
      <w:jc w:val="center"/>
    </w:pPr>
    <w:r>
      <w:rPr>
        <w:rFonts w:ascii="Times New Roman" w:cs="Times New Roman" w:eastAsia="Times New Roman" w:hAnsi="Times New Roman"/>
        <w:color w:val="666666"/>
        <w:sz w:val="18"/>
        <w:szCs w:val="18"/>
      </w:rPr>
      <w:t xml:space="preserve">Page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r>
      <w:rPr>
        <w:rFonts w:ascii="Times New Roman" w:cs="Times New Roman" w:eastAsia="Times New Roman" w:hAnsi="Times New Roman"/>
        <w:color w:val="666666"/>
        <w:sz w:val="18"/>
        <w:szCs w:val="18"/>
      </w:rPr>
      <w:t xml:space="preserve"> | METAGENE-1 Gujarat Wastewater Study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pBdr>
      <w:jc w:val="center"/>
    </w:pPr>
    <w:r>
      <w:rPr>
        <w:rFonts w:ascii="Times New Roman" w:cs="Times New Roman" w:eastAsia="Times New Roman" w:hAnsi="Times New Roman"/>
        <w:i/>
        <w:iCs/>
        <w:color w:val="555555"/>
        <w:sz w:val="18"/>
        <w:szCs w:val="18"/>
      </w:rPr>
      <w:t xml:space="preserve">Comprehensive Study Report — Part 1: Background, Data, and Anomaly Scoring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80"/>
      <w:outlineLvl w:val="0"/>
    </w:pPr>
    <w:rPr>
      <w:rFonts w:ascii="Times New Roman" w:cs="Times New Roman" w:eastAsia="Times New Roman" w:hAnsi="Times New Roman"/>
      <w:b/>
      <w:bCs/>
      <w:color w:val="1a1a2e"/>
      <w:sz w:val="32"/>
      <w:szCs w:val="32"/>
    </w:rPr>
  </w:style>
  <w:style w:type="paragraph" w:styleId="Heading2">
    <w:name w:val="Heading 2"/>
    <w:basedOn w:val="Normal"/>
    <w:next w:val="Normal"/>
    <w:pPr>
      <w:spacing w:after="120" w:before="320"/>
      <w:outlineLvl w:val="1"/>
    </w:pPr>
    <w:rPr>
      <w:rFonts w:ascii="Times New Roman" w:cs="Times New Roman" w:eastAsia="Times New Roman" w:hAnsi="Times New Roman"/>
      <w:b/>
      <w:bCs/>
      <w:color w:val="16213e"/>
      <w:sz w:val="28"/>
      <w:szCs w:val="28"/>
    </w:rPr>
  </w:style>
  <w:style w:type="paragraph" w:styleId="Heading3">
    <w:name w:val="Heading 3"/>
    <w:basedOn w:val="Normal"/>
    <w:next w:val="Normal"/>
    <w:pPr>
      <w:spacing w:after="80" w:before="200"/>
      <w:outlineLvl w:val="2"/>
    </w:pPr>
    <w:rPr>
      <w:rFonts w:ascii="Times New Roman" w:cs="Times New Roman" w:eastAsia="Times New Roman" w:hAnsi="Times New Roman"/>
      <w:b/>
      <w:bCs/>
      <w:i/>
      <w:iCs/>
      <w:color w:val="0f34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2026-07-05T08:46:15.825Z</dcterms:created>
  <dcterms:modified xsi:type="dcterms:W3CDTF">2026-07-05T08:46:15.840Z</dcterms:modified>
</cp:coreProperties>
</file>

<file path=docProps/custom.xml><?xml version="1.0" encoding="utf-8"?>
<Properties xmlns="http://schemas.openxmlformats.org/officeDocument/2006/custom-properties" xmlns:vt="http://schemas.openxmlformats.org/officeDocument/2006/docPropsVTypes"/>
</file>