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jc w:val="center"/>
      </w:pPr>
      <w:r>
        <w:rPr>
          <w:rFonts w:ascii="Times New Roman" w:cs="Times New Roman" w:eastAsia="Times New Roman" w:hAnsi="Times New Roman"/>
          <w:b/>
          <w:bCs/>
          <w:sz w:val="40"/>
          <w:szCs w:val="40"/>
        </w:rPr>
        <w:t xml:space="preserve">COMPREHENSIVE STUDY REPORT</w:t>
      </w:r>
    </w:p>
    <w:p>
      <w:pPr>
        <w:spacing w:after="240"/>
        <w:jc w:val="center"/>
      </w:pPr>
      <w:r>
        <w:rPr>
          <w:rFonts w:ascii="Times New Roman" w:cs="Times New Roman" w:eastAsia="Times New Roman" w:hAnsi="Times New Roman"/>
          <w:b/>
          <w:bCs/>
          <w:color w:val="888888"/>
          <w:sz w:val="28"/>
          <w:szCs w:val="28"/>
        </w:rPr>
        <w:t xml:space="preserve">PART 2 OF 2</w:t>
      </w:r>
    </w:p>
    <w:p>
      <w:pPr>
        <w:spacing w:after="480"/>
        <w:jc w:val="center"/>
      </w:pPr>
      <w:r>
        <w:rPr>
          <w:rFonts w:ascii="Times New Roman" w:cs="Times New Roman" w:eastAsia="Times New Roman" w:hAnsi="Times New Roman"/>
          <w:b/>
          <w:bCs/>
          <w:sz w:val="30"/>
          <w:szCs w:val="30"/>
        </w:rPr>
        <w:t xml:space="preserve">Fine-Tuning | Peer Review | Metabolomics | Tool Evaluations | Final Decisions</w:t>
      </w:r>
    </w:p>
    <w:p>
      <w:pPr>
        <w:spacing w:after="80"/>
        <w:jc w:val="center"/>
      </w:pPr>
      <w:r>
        <w:rPr>
          <w:rFonts w:ascii="Times New Roman" w:cs="Times New Roman" w:eastAsia="Times New Roman" w:hAnsi="Times New Roman"/>
          <w:sz w:val="24"/>
          <w:szCs w:val="24"/>
        </w:rPr>
        <w:t xml:space="preserve">Continuation from Part 1: Background, Data, Anomaly Scoring, Systematic Replication, Statistical Analysis</w:t>
      </w:r>
    </w:p>
    <w:p>
      <w:r>
        <w:br w:type="page"/>
      </w:r>
    </w:p>
    <w:p>
      <w:pPr>
        <w:pStyle w:val="Heading1"/>
        <w:spacing w:after="200" w:before="480"/>
      </w:pPr>
      <w:r>
        <w:rPr>
          <w:rFonts w:ascii="Times New Roman" w:cs="Times New Roman" w:eastAsia="Times New Roman" w:hAnsi="Times New Roman"/>
          <w:b/>
          <w:bCs/>
          <w:sz w:val="32"/>
          <w:szCs w:val="32"/>
        </w:rPr>
        <w:t xml:space="preserve">9. LoRA Fine-Tuning Experiments</w:t>
      </w:r>
    </w:p>
    <w:p>
      <w:pPr>
        <w:pStyle w:val="Heading2"/>
        <w:spacing w:after="120" w:before="320"/>
      </w:pPr>
      <w:r>
        <w:rPr>
          <w:rFonts w:ascii="Times New Roman" w:cs="Times New Roman" w:eastAsia="Times New Roman" w:hAnsi="Times New Roman"/>
          <w:b/>
          <w:bCs/>
          <w:sz w:val="28"/>
          <w:szCs w:val="28"/>
        </w:rPr>
        <w:t xml:space="preserve">9.1 Rationale for Fine-Tuning</w:t>
      </w:r>
    </w:p>
    <w:p>
      <w:pPr>
        <w:spacing w:after="160" w:line="360" w:lineRule="auto"/>
        <w:ind w:firstLine="720"/>
        <w:jc w:val="both"/>
      </w:pPr>
      <w:r>
        <w:rPr>
          <w:rFonts w:ascii="Times New Roman" w:cs="Times New Roman" w:eastAsia="Times New Roman" w:hAnsi="Times New Roman"/>
          <w:sz w:val="24"/>
          <w:szCs w:val="24"/>
        </w:rPr>
        <w:t xml:space="preserve">Having established that METAGENE-1 shows a significant geographic distribution shift on Indian wastewater (CE loss gap 0.272 CE units, p=0.020), the natural next question was: can the model be adapted to Indian wastewater? Fine-tuning the model on local data should reduce CE loss by teaching the model the statistical patterns of Indian sequences, in the same way that the original training taught it US wastewater patterns.</w:t>
      </w:r>
    </w:p>
    <w:p>
      <w:pPr>
        <w:spacing w:after="160" w:line="360" w:lineRule="auto"/>
        <w:ind w:firstLine="720"/>
        <w:jc w:val="both"/>
      </w:pPr>
      <w:r>
        <w:rPr>
          <w:rFonts w:ascii="Times New Roman" w:cs="Times New Roman" w:eastAsia="Times New Roman" w:hAnsi="Times New Roman"/>
          <w:sz w:val="24"/>
          <w:szCs w:val="24"/>
        </w:rPr>
        <w:t xml:space="preserve">The motivation for fine-tuning is also practical: a model adapted to Indian wastewater would give more meaningful anomaly scores for surveillance purposes — distinguishing genuinely novel or pathogenic sequences from simply "Indian but normal" sequences. Without fine-tuning, the model flags everything as anomalous because it has never seen Indian wastewater. After fine-tuning, it would know what normal Indian wastewater looks like and could detect deviations from that baseline.</w:t>
      </w:r>
    </w:p>
    <w:p>
      <w:pPr>
        <w:spacing w:after="160" w:line="360" w:lineRule="auto"/>
        <w:ind w:firstLine="720"/>
        <w:jc w:val="both"/>
      </w:pPr>
      <w:r>
        <w:rPr>
          <w:rFonts w:ascii="Times New Roman" w:cs="Times New Roman" w:eastAsia="Times New Roman" w:hAnsi="Times New Roman"/>
          <w:sz w:val="24"/>
          <w:szCs w:val="24"/>
        </w:rPr>
        <w:t xml:space="preserve">Parameter-efficient fine-tuning via Low-Rank Adaptation (LoRA; Hu et al., 2022) was chosen over full fine-tuning for practical reasons: the full 7B parameter model requires 80–160 GB of GPU memory for gradient storage during training, while LoRA adds only small adapter matrices to selected layers, keeping memory requirements manageable on available hardware.</w:t>
      </w:r>
    </w:p>
    <w:p>
      <w:pPr>
        <w:pStyle w:val="Heading2"/>
        <w:spacing w:after="120" w:before="320"/>
      </w:pPr>
      <w:r>
        <w:rPr>
          <w:rFonts w:ascii="Times New Roman" w:cs="Times New Roman" w:eastAsia="Times New Roman" w:hAnsi="Times New Roman"/>
          <w:b/>
          <w:bCs/>
          <w:sz w:val="28"/>
          <w:szCs w:val="28"/>
        </w:rPr>
        <w:t xml:space="preserve">9.2 LoRA Technical Background</w:t>
      </w:r>
    </w:p>
    <w:p>
      <w:pPr>
        <w:spacing w:after="160" w:line="360" w:lineRule="auto"/>
        <w:ind w:firstLine="720"/>
        <w:jc w:val="both"/>
      </w:pPr>
      <w:r>
        <w:rPr>
          <w:rFonts w:ascii="Times New Roman" w:cs="Times New Roman" w:eastAsia="Times New Roman" w:hAnsi="Times New Roman"/>
          <w:sz w:val="24"/>
          <w:szCs w:val="24"/>
        </w:rPr>
        <w:t xml:space="preserve">LoRA works by inserting low-rank decomposition matrices alongside the frozen weight matrices in the model's attention layers. For a weight matrix W of dimension d×k, instead of updating W directly, LoRA adds an update ΔW = BA where B is d×r and A is r×k, with r &lt;&lt; min(d,k) being the rank. This reduces the number of trainable parameters from d×k to r×(d+k).</w:t>
      </w:r>
    </w:p>
    <w:p>
      <w:pPr>
        <w:spacing w:after="160" w:line="360" w:lineRule="auto"/>
        <w:ind w:firstLine="720"/>
        <w:jc w:val="both"/>
      </w:pPr>
      <w:r>
        <w:rPr>
          <w:rFonts w:ascii="Times New Roman" w:cs="Times New Roman" w:eastAsia="Times New Roman" w:hAnsi="Times New Roman"/>
          <w:sz w:val="24"/>
          <w:szCs w:val="24"/>
        </w:rPr>
        <w:t xml:space="preserve">The key parameter is the rank r. Higher rank = more parameters = more representational flexibility = potentially better adaptation, but also more memory and computation. A rank of 8 produces approximately 8.4 million trainable parameters (0.12% of 7B total); rank 32 produces approximately 67.1 million (0.96% of total).</w:t>
      </w:r>
    </w:p>
    <w:p>
      <w:pPr>
        <w:pStyle w:val="Heading2"/>
        <w:spacing w:after="120" w:before="320"/>
      </w:pPr>
      <w:r>
        <w:rPr>
          <w:rFonts w:ascii="Times New Roman" w:cs="Times New Roman" w:eastAsia="Times New Roman" w:hAnsi="Times New Roman"/>
          <w:b/>
          <w:bCs/>
          <w:sz w:val="28"/>
          <w:szCs w:val="28"/>
        </w:rPr>
        <w:t xml:space="preserve">9.3 India-METAGENE v4: Rank 8</w:t>
      </w:r>
    </w:p>
    <w:p>
      <w:pPr>
        <w:spacing w:after="160" w:line="360" w:lineRule="auto"/>
        <w:ind w:firstLine="720"/>
        <w:jc w:val="both"/>
      </w:pPr>
      <w:r>
        <w:rPr>
          <w:rFonts w:ascii="Times New Roman" w:cs="Times New Roman" w:eastAsia="Times New Roman" w:hAnsi="Times New Roman"/>
          <w:sz w:val="24"/>
          <w:szCs w:val="24"/>
        </w:rPr>
        <w:t xml:space="preserve">The first fine-tuning experiment (India-METAGENE v4) used:</w:t>
      </w:r>
    </w:p>
    <w:p>
      <w:pPr>
        <w:pStyle w:val="ListParagraph"/>
        <w:numPr>
          <w:ilvl w:val="0"/>
          <w:numId w:val="1"/>
        </w:numPr>
        <w:spacing w:after="80"/>
        <w:ind w:left="720"/>
      </w:pPr>
      <w:r>
        <w:rPr>
          <w:rFonts w:ascii="Times New Roman" w:cs="Times New Roman" w:eastAsia="Times New Roman" w:hAnsi="Times New Roman"/>
          <w:sz w:val="24"/>
          <w:szCs w:val="24"/>
        </w:rPr>
        <w:t xml:space="preserve">LoRA rank: 8, alpha: 16</w:t>
      </w:r>
    </w:p>
    <w:p>
      <w:pPr>
        <w:pStyle w:val="ListParagraph"/>
        <w:numPr>
          <w:ilvl w:val="0"/>
          <w:numId w:val="1"/>
        </w:numPr>
        <w:spacing w:after="80"/>
        <w:ind w:left="720"/>
      </w:pPr>
      <w:r>
        <w:rPr>
          <w:rFonts w:ascii="Times New Roman" w:cs="Times New Roman" w:eastAsia="Times New Roman" w:hAnsi="Times New Roman"/>
          <w:sz w:val="24"/>
          <w:szCs w:val="24"/>
        </w:rPr>
        <w:t xml:space="preserve">Target modules: q_proj and v_proj (query and value projections in all 32 attention layers)</w:t>
      </w:r>
    </w:p>
    <w:p>
      <w:pPr>
        <w:pStyle w:val="ListParagraph"/>
        <w:numPr>
          <w:ilvl w:val="0"/>
          <w:numId w:val="1"/>
        </w:numPr>
        <w:spacing w:after="80"/>
        <w:ind w:left="720"/>
      </w:pPr>
      <w:r>
        <w:rPr>
          <w:rFonts w:ascii="Times New Roman" w:cs="Times New Roman" w:eastAsia="Times New Roman" w:hAnsi="Times New Roman"/>
          <w:sz w:val="24"/>
          <w:szCs w:val="24"/>
        </w:rPr>
        <w:t xml:space="preserve">Trainable parameters: ~8.4M (0.12% of 7B total)</w:t>
      </w:r>
    </w:p>
    <w:p>
      <w:pPr>
        <w:pStyle w:val="ListParagraph"/>
        <w:numPr>
          <w:ilvl w:val="0"/>
          <w:numId w:val="1"/>
        </w:numPr>
        <w:spacing w:after="80"/>
        <w:ind w:left="720"/>
      </w:pPr>
      <w:r>
        <w:rPr>
          <w:rFonts w:ascii="Times New Roman" w:cs="Times New Roman" w:eastAsia="Times New Roman" w:hAnsi="Times New Roman"/>
          <w:sz w:val="24"/>
          <w:szCs w:val="24"/>
        </w:rPr>
        <w:t xml:space="preserve">Training data: 50,000 sequences per epoch × 10 epochs = 500,000 total (0.26% of available 190M reads)</w:t>
      </w:r>
    </w:p>
    <w:p>
      <w:pPr>
        <w:pStyle w:val="ListParagraph"/>
        <w:numPr>
          <w:ilvl w:val="0"/>
          <w:numId w:val="1"/>
        </w:numPr>
        <w:spacing w:after="80"/>
        <w:ind w:left="720"/>
      </w:pPr>
      <w:r>
        <w:rPr>
          <w:rFonts w:ascii="Times New Roman" w:cs="Times New Roman" w:eastAsia="Times New Roman" w:hAnsi="Times New Roman"/>
          <w:sz w:val="24"/>
          <w:szCs w:val="24"/>
        </w:rPr>
        <w:t xml:space="preserve">Effective batch size: 32 (micro-batch 2 × gradient accumulation 16)</w:t>
      </w:r>
    </w:p>
    <w:p>
      <w:pPr>
        <w:pStyle w:val="ListParagraph"/>
        <w:numPr>
          <w:ilvl w:val="0"/>
          <w:numId w:val="1"/>
        </w:numPr>
        <w:spacing w:after="80"/>
        <w:ind w:left="720"/>
      </w:pPr>
      <w:r>
        <w:rPr>
          <w:rFonts w:ascii="Times New Roman" w:cs="Times New Roman" w:eastAsia="Times New Roman" w:hAnsi="Times New Roman"/>
          <w:sz w:val="24"/>
          <w:szCs w:val="24"/>
        </w:rPr>
        <w:t xml:space="preserve">Learning rate: 1×10⁻⁵ with linear warmup over 50 steps</w:t>
      </w:r>
    </w:p>
    <w:p>
      <w:pPr>
        <w:pStyle w:val="ListParagraph"/>
        <w:numPr>
          <w:ilvl w:val="0"/>
          <w:numId w:val="1"/>
        </w:numPr>
        <w:spacing w:after="80"/>
        <w:ind w:left="720"/>
      </w:pPr>
      <w:r>
        <w:rPr>
          <w:rFonts w:ascii="Times New Roman" w:cs="Times New Roman" w:eastAsia="Times New Roman" w:hAnsi="Times New Roman"/>
          <w:sz w:val="24"/>
          <w:szCs w:val="24"/>
        </w:rPr>
        <w:t xml:space="preserve">Optimiser: AdamW with weight decay 0.01, betas (0.9, 0.95), gradient clipping 1.0</w:t>
      </w:r>
    </w:p>
    <w:p>
      <w:pPr>
        <w:pStyle w:val="ListParagraph"/>
        <w:numPr>
          <w:ilvl w:val="0"/>
          <w:numId w:val="1"/>
        </w:numPr>
        <w:spacing w:after="80"/>
        <w:ind w:left="720"/>
      </w:pPr>
      <w:r>
        <w:rPr>
          <w:rFonts w:ascii="Times New Roman" w:cs="Times New Roman" w:eastAsia="Times New Roman" w:hAnsi="Times New Roman"/>
          <w:sz w:val="24"/>
          <w:szCs w:val="24"/>
        </w:rPr>
        <w:t xml:space="preserve">Hardware: NVIDIA T4 (16GB VRAM)</w:t>
      </w:r>
    </w:p>
    <w:p>
      <w:pPr>
        <w:pStyle w:val="ListParagraph"/>
        <w:numPr>
          <w:ilvl w:val="0"/>
          <w:numId w:val="1"/>
        </w:numPr>
        <w:spacing w:after="80"/>
        <w:ind w:left="720"/>
      </w:pPr>
      <w:r>
        <w:rPr>
          <w:rFonts w:ascii="Times New Roman" w:cs="Times New Roman" w:eastAsia="Times New Roman" w:hAnsi="Times New Roman"/>
          <w:sz w:val="24"/>
          <w:szCs w:val="24"/>
        </w:rPr>
        <w:t xml:space="preserve">Training time: approximately 8 hours</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Training sequences were randomly sampled from the Gujarat training set (all samples except the 16 held-out validation samples) each epoch with a different random seed. This ensures the model sees diverse sequences and reduces overfitting to any specific sample's characteristics.</w:t>
      </w:r>
    </w:p>
    <w:p>
      <w:pPr>
        <w:pStyle w:val="Heading3"/>
        <w:spacing w:after="80" w:before="200"/>
      </w:pPr>
      <w:r>
        <w:rPr>
          <w:rFonts w:ascii="Times New Roman" w:cs="Times New Roman" w:eastAsia="Times New Roman" w:hAnsi="Times New Roman"/>
          <w:b/>
          <w:bCs/>
          <w:i/>
          <w:iCs/>
          <w:sz w:val="26"/>
          <w:szCs w:val="26"/>
        </w:rPr>
        <w:t xml:space="preserve">v4 Results</w:t>
      </w:r>
    </w:p>
    <w:p>
      <w:pPr>
        <w:spacing w:after="160" w:line="360" w:lineRule="auto"/>
        <w:ind w:firstLine="720"/>
        <w:jc w:val="both"/>
      </w:pPr>
      <w:r>
        <w:rPr>
          <w:rFonts w:ascii="Times New Roman" w:cs="Times New Roman" w:eastAsia="Times New Roman" w:hAnsi="Times New Roman"/>
          <w:sz w:val="24"/>
          <w:szCs w:val="24"/>
        </w:rPr>
        <w:t xml:space="preserve">India-METAGENE v4 achieved validation CE loss of 4.8046 after 10 epochs, compared to the baseline of 4.8697 — an improvement of 0.065 CE units (1.34%). Statistical test against baseline: t(15)=2.903, p=0.011, Cohen's d=0.726. Bootstrap 95% CI for the improvement: [0.017, 0.113]. The improvement is statistically significant with a medium-to-large effect size.</w:t>
      </w:r>
    </w:p>
    <w:p>
      <w:pPr>
        <w:spacing w:after="160" w:line="360" w:lineRule="auto"/>
        <w:ind w:firstLine="720"/>
        <w:jc w:val="both"/>
      </w:pPr>
      <w:r>
        <w:rPr>
          <w:rFonts w:ascii="Times New Roman" w:cs="Times New Roman" w:eastAsia="Times New Roman" w:hAnsi="Times New Roman"/>
          <w:sz w:val="24"/>
          <w:szCs w:val="24"/>
        </w:rPr>
        <w:t xml:space="preserve">Per-sample analysis showed heterogeneous response: PreWinter samples (RPPW_R1, VCPW_R1) showed the largest improvements, while AAMO_R1 (Ahmedabad Monsoon) showed essentially no improvement (val loss 4.805 — same as all other samples in v4 since v4 used mean-level validation rather than per-sample).</w:t>
      </w:r>
    </w:p>
    <w:p>
      <w:pPr>
        <w:pStyle w:val="Heading2"/>
        <w:spacing w:after="120" w:before="320"/>
      </w:pPr>
      <w:r>
        <w:rPr>
          <w:rFonts w:ascii="Times New Roman" w:cs="Times New Roman" w:eastAsia="Times New Roman" w:hAnsi="Times New Roman"/>
          <w:b/>
          <w:bCs/>
          <w:sz w:val="28"/>
          <w:szCs w:val="28"/>
        </w:rPr>
        <w:t xml:space="preserve">9.4 India-METAGENE v6: Rank 32</w:t>
      </w:r>
    </w:p>
    <w:p>
      <w:pPr>
        <w:spacing w:after="160" w:line="360" w:lineRule="auto"/>
        <w:ind w:firstLine="720"/>
        <w:jc w:val="both"/>
      </w:pPr>
      <w:r>
        <w:rPr>
          <w:rFonts w:ascii="Times New Roman" w:cs="Times New Roman" w:eastAsia="Times New Roman" w:hAnsi="Times New Roman"/>
          <w:sz w:val="24"/>
          <w:szCs w:val="24"/>
        </w:rPr>
        <w:t xml:space="preserve">The second fine-tuning experiment (India-METAGENE v6) used higher adapter capacity:</w:t>
      </w:r>
    </w:p>
    <w:p>
      <w:pPr>
        <w:pStyle w:val="ListParagraph"/>
        <w:numPr>
          <w:ilvl w:val="0"/>
          <w:numId w:val="1"/>
        </w:numPr>
        <w:spacing w:after="80"/>
        <w:ind w:left="720"/>
      </w:pPr>
      <w:r>
        <w:rPr>
          <w:rFonts w:ascii="Times New Roman" w:cs="Times New Roman" w:eastAsia="Times New Roman" w:hAnsi="Times New Roman"/>
          <w:sz w:val="24"/>
          <w:szCs w:val="24"/>
        </w:rPr>
        <w:t xml:space="preserve">LoRA rank: 32, alpha: 64</w:t>
      </w:r>
    </w:p>
    <w:p>
      <w:pPr>
        <w:pStyle w:val="ListParagraph"/>
        <w:numPr>
          <w:ilvl w:val="0"/>
          <w:numId w:val="1"/>
        </w:numPr>
        <w:spacing w:after="80"/>
        <w:ind w:left="720"/>
      </w:pPr>
      <w:r>
        <w:rPr>
          <w:rFonts w:ascii="Times New Roman" w:cs="Times New Roman" w:eastAsia="Times New Roman" w:hAnsi="Times New Roman"/>
          <w:sz w:val="24"/>
          <w:szCs w:val="24"/>
        </w:rPr>
        <w:t xml:space="preserve">Target modules: q_proj, v_proj, k_proj, o_proj (all four attention projection matrices in all 32 layers)</w:t>
      </w:r>
    </w:p>
    <w:p>
      <w:pPr>
        <w:pStyle w:val="ListParagraph"/>
        <w:numPr>
          <w:ilvl w:val="0"/>
          <w:numId w:val="1"/>
        </w:numPr>
        <w:spacing w:after="80"/>
        <w:ind w:left="720"/>
      </w:pPr>
      <w:r>
        <w:rPr>
          <w:rFonts w:ascii="Times New Roman" w:cs="Times New Roman" w:eastAsia="Times New Roman" w:hAnsi="Times New Roman"/>
          <w:sz w:val="24"/>
          <w:szCs w:val="24"/>
        </w:rPr>
        <w:t xml:space="preserve">Trainable parameters: ~67.1M (0.96% of 7B total)</w:t>
      </w:r>
    </w:p>
    <w:p>
      <w:pPr>
        <w:pStyle w:val="ListParagraph"/>
        <w:numPr>
          <w:ilvl w:val="0"/>
          <w:numId w:val="1"/>
        </w:numPr>
        <w:spacing w:after="80"/>
        <w:ind w:left="720"/>
      </w:pPr>
      <w:r>
        <w:rPr>
          <w:rFonts w:ascii="Times New Roman" w:cs="Times New Roman" w:eastAsia="Times New Roman" w:hAnsi="Times New Roman"/>
          <w:sz w:val="24"/>
          <w:szCs w:val="24"/>
        </w:rPr>
        <w:t xml:space="preserve">Training data: 200,000 sequences per epoch × 5 epochs = 1,000,000 total (0.53% of available data)</w:t>
      </w:r>
    </w:p>
    <w:p>
      <w:pPr>
        <w:pStyle w:val="ListParagraph"/>
        <w:numPr>
          <w:ilvl w:val="0"/>
          <w:numId w:val="1"/>
        </w:numPr>
        <w:spacing w:after="80"/>
        <w:ind w:left="720"/>
      </w:pPr>
      <w:r>
        <w:rPr>
          <w:rFonts w:ascii="Times New Roman" w:cs="Times New Roman" w:eastAsia="Times New Roman" w:hAnsi="Times New Roman"/>
          <w:sz w:val="24"/>
          <w:szCs w:val="24"/>
        </w:rPr>
        <w:t xml:space="preserve">Effective batch size: 32 (micro-batch 4 × gradient accumulation 8)</w:t>
      </w:r>
    </w:p>
    <w:p>
      <w:pPr>
        <w:pStyle w:val="ListParagraph"/>
        <w:numPr>
          <w:ilvl w:val="0"/>
          <w:numId w:val="1"/>
        </w:numPr>
        <w:spacing w:after="80"/>
        <w:ind w:left="720"/>
      </w:pPr>
      <w:r>
        <w:rPr>
          <w:rFonts w:ascii="Times New Roman" w:cs="Times New Roman" w:eastAsia="Times New Roman" w:hAnsi="Times New Roman"/>
          <w:sz w:val="24"/>
          <w:szCs w:val="24"/>
        </w:rPr>
        <w:t xml:space="preserve">Learning rate: 3×10⁻⁵ with linear warmup over 200 steps</w:t>
      </w:r>
    </w:p>
    <w:p>
      <w:pPr>
        <w:pStyle w:val="ListParagraph"/>
        <w:numPr>
          <w:ilvl w:val="0"/>
          <w:numId w:val="1"/>
        </w:numPr>
        <w:spacing w:after="80"/>
        <w:ind w:left="720"/>
      </w:pPr>
      <w:r>
        <w:rPr>
          <w:rFonts w:ascii="Times New Roman" w:cs="Times New Roman" w:eastAsia="Times New Roman" w:hAnsi="Times New Roman"/>
          <w:sz w:val="24"/>
          <w:szCs w:val="24"/>
        </w:rPr>
        <w:t xml:space="preserve">Hardware: NVIDIA A100 (40GB VRAM)</w:t>
      </w:r>
    </w:p>
    <w:p>
      <w:pPr>
        <w:pStyle w:val="ListParagraph"/>
        <w:numPr>
          <w:ilvl w:val="0"/>
          <w:numId w:val="1"/>
        </w:numPr>
        <w:spacing w:after="80"/>
        <w:ind w:left="720"/>
      </w:pPr>
      <w:r>
        <w:rPr>
          <w:rFonts w:ascii="Times New Roman" w:cs="Times New Roman" w:eastAsia="Times New Roman" w:hAnsi="Times New Roman"/>
          <w:sz w:val="24"/>
          <w:szCs w:val="24"/>
        </w:rPr>
        <w:t xml:space="preserve">Training time: approximately 18 hours</w:t>
      </w:r>
    </w:p>
    <w:p>
      <w:pPr>
        <w:pStyle w:val="ListParagraph"/>
        <w:numPr>
          <w:ilvl w:val="0"/>
          <w:numId w:val="1"/>
        </w:numPr>
        <w:spacing w:after="80"/>
        <w:ind w:left="720"/>
      </w:pPr>
      <w:r>
        <w:rPr>
          <w:rFonts w:ascii="Times New Roman" w:cs="Times New Roman" w:eastAsia="Times New Roman" w:hAnsi="Times New Roman"/>
          <w:sz w:val="24"/>
          <w:szCs w:val="24"/>
        </w:rPr>
        <w:t xml:space="preserve">Trained from base METAGENE-1 weights, not from v4 checkpoint (rank incompatibility)</w:t>
      </w:r>
    </w:p>
    <w:p>
      <w:pPr>
        <w:pStyle w:val="Heading3"/>
        <w:spacing w:after="80" w:before="200"/>
      </w:pPr>
      <w:r>
        <w:rPr>
          <w:rFonts w:ascii="Times New Roman" w:cs="Times New Roman" w:eastAsia="Times New Roman" w:hAnsi="Times New Roman"/>
          <w:b/>
          <w:bCs/>
          <w:i/>
          <w:iCs/>
          <w:sz w:val="26"/>
          <w:szCs w:val="26"/>
        </w:rPr>
        <w:t xml:space="preserve">v6 Training Curve</w:t>
      </w:r>
    </w:p>
    <w:p>
      <w:pPr>
        <w:spacing w:after="160" w:line="360" w:lineRule="auto"/>
        <w:ind w:firstLine="720"/>
        <w:jc w:val="both"/>
      </w:pPr>
      <w:r>
        <w:rPr>
          <w:rFonts w:ascii="Times New Roman" w:cs="Times New Roman" w:eastAsia="Times New Roman" w:hAnsi="Times New Roman"/>
          <w:sz w:val="24"/>
          <w:szCs w:val="24"/>
        </w:rPr>
        <w:t xml:space="preserve">The v6 training history showed smooth monotonic improvement across 5 epochs: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000"/>
        <w:gridCol w:w="2360"/>
      </w:tblGrid>
      <w:tr>
        <w:trPr>
          <w:tblHeader/>
        </w:trPr>
        <w:tc>
          <w:tcPr>
            <w:tcW w:type="dxa" w:w="1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Epoch</w:t>
            </w:r>
          </w:p>
        </w:tc>
        <w:tc>
          <w:tcPr>
            <w:tcW w:type="dxa" w:w="18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Val Loss</w:t>
            </w:r>
          </w:p>
        </w:tc>
        <w:tc>
          <w:tcPr>
            <w:tcW w:type="dxa" w:w="18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vs Baseline</w:t>
            </w:r>
          </w:p>
        </w:tc>
        <w:tc>
          <w:tcPr>
            <w:tcW w:type="dxa" w:w="20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vs v4</w:t>
            </w:r>
          </w:p>
        </w:tc>
        <w:tc>
          <w:tcPr>
            <w:tcW w:type="dxa" w:w="23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Notes</w:t>
            </w:r>
          </w:p>
        </w:tc>
      </w:tr>
      <w:tr>
        <w:trPr>
          <w:tblHeader w:val="false"/>
        </w:trP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4.8002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+0.070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+0.004</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Rapid initial improvement</w:t>
            </w:r>
          </w:p>
        </w:tc>
      </w:tr>
      <w:tr>
        <w:trPr>
          <w:tblHeader w:val="false"/>
        </w:trP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4.7920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+0.078</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+0.013</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4.7899</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+0.080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+0.015</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Near convergence</w:t>
            </w:r>
          </w:p>
        </w:tc>
      </w:tr>
      <w:tr>
        <w:trPr>
          <w:tblHeader w:val="false"/>
        </w:trP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4.7898</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+0.080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+0.015</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Fully converged; this is published checkpoint</w:t>
            </w:r>
          </w:p>
        </w:tc>
      </w:tr>
      <w:tr>
        <w:trPr>
          <w:tblHeader w:val="false"/>
        </w:trP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~4.790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+0.080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+0.015</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Identical to epoch 4; upload failed (storage limit)</w:t>
            </w:r>
          </w:p>
        </w:tc>
      </w:tr>
    </w:tbl>
    <w:p>
      <w:pPr>
        <w:spacing w:after="200" w:before="60"/>
        <w:jc w:val="center"/>
      </w:pPr>
      <w:r>
        <w:rPr>
          <w:rFonts w:ascii="Times New Roman" w:cs="Times New Roman" w:eastAsia="Times New Roman" w:hAnsi="Times New Roman"/>
          <w:i/>
          <w:iCs/>
          <w:sz w:val="20"/>
          <w:szCs w:val="20"/>
        </w:rPr>
        <w:t xml:space="preserve">Table 9.1. v6 epoch-by-epoch validation loss trajectory. The model converged after epoch 3 with no further improvement. Published model = epoch 4.</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The model converged at approximately epoch 3 with essentially no change in epochs 4 and 5. Within-epoch validation (computed every 500 gradient steps during epoch 5) showed val loss oscillating in 4.835–4.837 range with no trend — consistent with full convergence.</w:t>
      </w:r>
    </w:p>
    <w:p>
      <w:pPr>
        <w:spacing w:after="160" w:line="360" w:lineRule="auto"/>
        <w:ind w:firstLine="720"/>
        <w:jc w:val="both"/>
      </w:pPr>
      <w:r>
        <w:rPr>
          <w:rFonts w:ascii="Times New Roman" w:cs="Times New Roman" w:eastAsia="Times New Roman" w:hAnsi="Times New Roman"/>
          <w:sz w:val="24"/>
          <w:szCs w:val="24"/>
        </w:rPr>
        <w:t xml:space="preserve">A HuggingFace storage limit was hit during the epoch 5 final checkpoint upload (403 error at 134MB of 134MB, step 5700/6250). The epoch 5 final checkpoint was not successfully saved. Epoch 4 (val loss 4.7898) is the published model and differs negligibly from epoch 5 (~4.790).</w:t>
      </w:r>
    </w:p>
    <w:p>
      <w:pPr>
        <w:pStyle w:val="Heading3"/>
        <w:spacing w:after="80" w:before="200"/>
      </w:pPr>
      <w:r>
        <w:rPr>
          <w:rFonts w:ascii="Times New Roman" w:cs="Times New Roman" w:eastAsia="Times New Roman" w:hAnsi="Times New Roman"/>
          <w:b/>
          <w:bCs/>
          <w:i/>
          <w:iCs/>
          <w:sz w:val="26"/>
          <w:szCs w:val="26"/>
        </w:rPr>
        <w:t xml:space="preserve">v6 Per-Sample Results</w:t>
      </w:r>
    </w:p>
    <w:p>
      <w:pPr>
        <w:spacing w:after="160" w:line="360" w:lineRule="auto"/>
        <w:ind w:firstLine="720"/>
        <w:jc w:val="both"/>
      </w:pPr>
      <w:r>
        <w:rPr>
          <w:rFonts w:ascii="Times New Roman" w:cs="Times New Roman" w:eastAsia="Times New Roman" w:hAnsi="Times New Roman"/>
          <w:sz w:val="24"/>
          <w:szCs w:val="24"/>
        </w:rPr>
        <w:t xml:space="preserve">Detailed per-sample analysis for v6 revealed important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400"/>
        <w:gridCol w:w="1400"/>
        <w:gridCol w:w="2560"/>
      </w:tblGrid>
      <w:tr>
        <w:trPr>
          <w:tblHeader/>
        </w:trPr>
        <w:tc>
          <w:tcPr>
            <w:tcW w:type="dxa" w:w="18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Sample</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City</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Season</w:t>
            </w:r>
          </w:p>
        </w:tc>
        <w:tc>
          <w:tcPr>
            <w:tcW w:type="dxa" w:w="1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Baseline</w:t>
            </w:r>
          </w:p>
        </w:tc>
        <w:tc>
          <w:tcPr>
            <w:tcW w:type="dxa" w:w="1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v6</w:t>
            </w:r>
          </w:p>
        </w:tc>
        <w:tc>
          <w:tcPr>
            <w:tcW w:type="dxa" w:w="25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Change vs v4</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AAMO_R1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Ahmedabad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Monsoon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4.870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4.972</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−0.167 (WORSE)</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VCPW_R1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Vadodara</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PreWinter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4.870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4.658</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+0.147 (BEST)</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RPPW_R1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Rajkot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PreWinter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4.870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4.663</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+0.141</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RDWI_R1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Rajkot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Winter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4.870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4.750</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+0.055</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RRMO_R1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Rajkot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Monsoon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4.870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4.755</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+0.050</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GKMO_R1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Gandhinagar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Monsoon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4.870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4.769</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+0.036</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GVWI_R1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Gandhinagar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Winter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4.870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4.840</w:t>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−0.035 (slightly worse)</w:t>
            </w:r>
          </w:p>
        </w:tc>
      </w:tr>
    </w:tbl>
    <w:p>
      <w:pPr>
        <w:spacing w:after="200" w:before="60"/>
        <w:jc w:val="center"/>
      </w:pPr>
      <w:r>
        <w:rPr>
          <w:rFonts w:ascii="Times New Roman" w:cs="Times New Roman" w:eastAsia="Times New Roman" w:hAnsi="Times New Roman"/>
          <w:i/>
          <w:iCs/>
          <w:sz w:val="20"/>
          <w:szCs w:val="20"/>
        </w:rPr>
        <w:t xml:space="preserve">Table 9.2. Selected per-sample v6 results showing range of responses. PreWinter samples benefit most; AAMO_R1 is the persistent outlier.</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The most striking pattern: AAMO_R1 (Ahmedabad Monsoon) worsened from v4 to v6 (4.805 → 4.972, Δ=−0.167). This is the most anomalous sample in the dataset, and the higher-rank v6 adapters appear to have overfit to the majority of training samples at the expense of this extreme outlier. This is a well-known failure mode of fine-tuning: samples far outside the training distribution do not benefit from adaptation calibrated for the majority.</w:t>
      </w:r>
    </w:p>
    <w:p>
      <w:pPr>
        <w:spacing w:after="160" w:line="360" w:lineRule="auto"/>
        <w:ind w:firstLine="720"/>
        <w:jc w:val="both"/>
      </w:pPr>
      <w:r>
        <w:rPr>
          <w:rFonts w:ascii="Times New Roman" w:cs="Times New Roman" w:eastAsia="Times New Roman" w:hAnsi="Times New Roman"/>
          <w:sz w:val="24"/>
          <w:szCs w:val="24"/>
        </w:rPr>
        <w:t xml:space="preserve">PreWinter samples (VCPW_R1, RPPW_R1) showed the largest improvements under v6 (+0.141, +0.147). These are the least anomalous samples — those closest to the training distribution boundary — and therefore most amenable to small parameter updates from LoRA.</w:t>
      </w:r>
    </w:p>
    <w:p>
      <w:pPr>
        <w:pStyle w:val="Heading2"/>
        <w:spacing w:after="120" w:before="320"/>
      </w:pPr>
      <w:r>
        <w:rPr>
          <w:rFonts w:ascii="Times New Roman" w:cs="Times New Roman" w:eastAsia="Times New Roman" w:hAnsi="Times New Roman"/>
          <w:b/>
          <w:bCs/>
          <w:sz w:val="28"/>
          <w:szCs w:val="28"/>
        </w:rPr>
        <w:t xml:space="preserve">9.5 Statistical Comparison of Fine-Tuning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600"/>
        <w:gridCol w:w="2760"/>
      </w:tblGrid>
      <w:tr>
        <w:trPr>
          <w:tblHeader/>
        </w:trPr>
        <w:tc>
          <w:tcPr>
            <w:tcW w:type="dxa" w:w="20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Model</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Val CE Loss</w:t>
            </w:r>
          </w:p>
        </w:tc>
        <w:tc>
          <w:tcPr>
            <w:tcW w:type="dxa" w:w="1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vs Baseline</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Effect Size d</w:t>
            </w:r>
          </w:p>
        </w:tc>
        <w:tc>
          <w:tcPr>
            <w:tcW w:type="dxa" w:w="27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95% CI</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METAGENE-1 (baseline)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4.8697</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India-METAGENE v4 (rank 8)</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4.8046</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+0.065 (1.34%)*</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0.726</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[0.017, 0.113]</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India-METAGENE v6 (rank 32)</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4.7890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+0.081 (1.66%)***</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1.030</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[0.039, 0.123]</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v4 vs v6 ablation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0.016 diff</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p=0.207</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0.329</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~20% power</w:t>
            </w:r>
          </w:p>
        </w:tc>
      </w:tr>
    </w:tbl>
    <w:p>
      <w:pPr>
        <w:spacing w:after="200" w:before="60"/>
        <w:jc w:val="center"/>
      </w:pPr>
      <w:r>
        <w:rPr>
          <w:rFonts w:ascii="Times New Roman" w:cs="Times New Roman" w:eastAsia="Times New Roman" w:hAnsi="Times New Roman"/>
          <w:i/>
          <w:iCs/>
          <w:sz w:val="20"/>
          <w:szCs w:val="20"/>
        </w:rPr>
        <w:t xml:space="preserve">Table 9.3. Complete fine-tuning statistical summary. * p&lt;0.05, *** p&lt;0.001 by paired t-test, n=16 pairs. 95% CI by bootstrap (10,000 resamples). The v4 vs v6 ablation is underpowered at n=16.</w:t>
      </w:r>
    </w:p>
    <w:p>
      <w:pPr>
        <w:spacing w:after="80"/>
      </w:pPr>
    </w:p>
    <w:p>
      <w:pPr>
        <w:pStyle w:val="Heading2"/>
        <w:spacing w:after="120" w:before="320"/>
      </w:pPr>
      <w:r>
        <w:rPr>
          <w:rFonts w:ascii="Times New Roman" w:cs="Times New Roman" w:eastAsia="Times New Roman" w:hAnsi="Times New Roman"/>
          <w:b/>
          <w:bCs/>
          <w:sz w:val="28"/>
          <w:szCs w:val="28"/>
        </w:rPr>
        <w:t xml:space="preserve">9.6 Critical Design Limitation: The Confounded Ablation</w:t>
      </w:r>
    </w:p>
    <w:p>
      <w:pPr>
        <w:spacing w:after="160" w:line="360" w:lineRule="auto"/>
        <w:ind w:firstLine="720"/>
        <w:jc w:val="both"/>
      </w:pPr>
      <w:r>
        <w:rPr>
          <w:rFonts w:ascii="Times New Roman" w:cs="Times New Roman" w:eastAsia="Times New Roman" w:hAnsi="Times New Roman"/>
          <w:sz w:val="24"/>
          <w:szCs w:val="24"/>
        </w:rPr>
        <w:t xml:space="preserve">An important limitation acknowledged in the peer review simulation and incorporated into the revised paper: v4 and v6 differ in three variables simultaneously — LoRA rank (8 vs 32), attention matrix coverage (q/v only vs q/v/k/o all four), and total training sequences seen (500K vs 1M). This means the improvement from v4 to v6 cannot be attributed to rank alone.</w:t>
      </w:r>
    </w:p>
    <w:p>
      <w:pPr>
        <w:spacing w:after="160" w:line="360" w:lineRule="auto"/>
        <w:ind w:firstLine="720"/>
        <w:jc w:val="both"/>
      </w:pPr>
      <w:r>
        <w:rPr>
          <w:rFonts w:ascii="Times New Roman" w:cs="Times New Roman" w:eastAsia="Times New Roman" w:hAnsi="Times New Roman"/>
          <w:sz w:val="24"/>
          <w:szCs w:val="24"/>
        </w:rPr>
        <w:t xml:space="preserve">The improvement could be due to: higher rank (more parameters, more representational flexibility), broader attention coverage (updating k and o in addition to q and v), more training data (2× more sequences), or any combination. A controlled ablation would require: v4-extended (rank=8, 1M sequences, q/v/k/o) and v6-reduced (rank=32, 500K sequences, q/v only) as additional conditions. This is identified as a priority for future work.</w:t>
      </w:r>
    </w:p>
    <w:p>
      <w:pPr>
        <w:pStyle w:val="Heading2"/>
        <w:spacing w:after="120" w:before="320"/>
      </w:pPr>
      <w:r>
        <w:rPr>
          <w:rFonts w:ascii="Times New Roman" w:cs="Times New Roman" w:eastAsia="Times New Roman" w:hAnsi="Times New Roman"/>
          <w:b/>
          <w:bCs/>
          <w:sz w:val="28"/>
          <w:szCs w:val="28"/>
        </w:rPr>
        <w:t xml:space="preserve">9.7 The Case for Full Fine-Tuning</w:t>
      </w:r>
    </w:p>
    <w:p>
      <w:pPr>
        <w:spacing w:after="160" w:line="360" w:lineRule="auto"/>
        <w:ind w:firstLine="720"/>
        <w:jc w:val="both"/>
      </w:pPr>
      <w:r>
        <w:rPr>
          <w:rFonts w:ascii="Times New Roman" w:cs="Times New Roman" w:eastAsia="Times New Roman" w:hAnsi="Times New Roman"/>
          <w:sz w:val="24"/>
          <w:szCs w:val="24"/>
        </w:rPr>
        <w:t xml:space="preserve">Both LoRA configurations leave a substantial residual gap: 4.789 vs the US external baseline of 4.593 (remaining gap 0.196 CE units after v6). The fundamental constraint of LoRA is mathematical: it can only update a low-rank subspace of each weight matrix, spanning at most r/min(d,k) of possible update directions per matrix. At rank 32 with typical LLaMA-2 attention dimensions of 4,096, LoRA spans only 0.78% of possible update directions.</w:t>
      </w:r>
    </w:p>
    <w:p>
      <w:pPr>
        <w:spacing w:after="160" w:line="360" w:lineRule="auto"/>
        <w:ind w:firstLine="720"/>
        <w:jc w:val="both"/>
      </w:pPr>
      <w:r>
        <w:rPr>
          <w:rFonts w:ascii="Times New Roman" w:cs="Times New Roman" w:eastAsia="Times New Roman" w:hAnsi="Times New Roman"/>
          <w:sz w:val="24"/>
          <w:szCs w:val="24"/>
        </w:rPr>
        <w:t xml:space="preserve">Additionally, the feed-forward layers (approximately 67% of model parameters) were entirely frozen in both experiments. These layers store the US-specific distributional knowledge learned during pre-training. The token embedding layer was also frozen. Full fine-tuning — updating all 7B parameters — would allow complete redistribution of the model's statistical representations toward Indian wastewater patterns.</w:t>
      </w:r>
    </w:p>
    <w:p>
      <w:pPr>
        <w:spacing w:after="160" w:line="360" w:lineRule="auto"/>
        <w:ind w:firstLine="720"/>
        <w:jc w:val="both"/>
      </w:pPr>
      <w:r>
        <w:rPr>
          <w:rFonts w:ascii="Times New Roman" w:cs="Times New Roman" w:eastAsia="Times New Roman" w:hAnsi="Times New Roman"/>
          <w:sz w:val="24"/>
          <w:szCs w:val="24"/>
        </w:rPr>
        <w:t xml:space="preserve">Expected progression toward training-level loss under different fine-tuning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360"/>
      </w:tblGrid>
      <w:tr>
        <w:trPr>
          <w:tblHeader/>
        </w:trPr>
        <w:tc>
          <w:tcPr>
            <w:tcW w:type="dxa" w:w="28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Approach</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Trainable Params</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Expected Val Loss</w:t>
            </w:r>
          </w:p>
        </w:tc>
        <w:tc>
          <w:tcPr>
            <w:tcW w:type="dxa" w:w="23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Compute Required</w:t>
            </w:r>
          </w:p>
        </w:tc>
      </w:tr>
      <w:tr>
        <w:trPr>
          <w:tblHeader w:val="false"/>
        </w:trP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LoRA rank 8 (v4, done)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8.4M (0.12%)</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~4.80</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~8 GPU-hours T4</w:t>
            </w:r>
          </w:p>
        </w:tc>
      </w:tr>
      <w:tr>
        <w:trPr>
          <w:tblHeader w:val="false"/>
        </w:trP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LoRA rank 32 (v6, done)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67.1M (0.96%)</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~4.79</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~18 GPU-hours A100</w:t>
            </w:r>
          </w:p>
        </w:tc>
      </w:tr>
      <w:tr>
        <w:trPr>
          <w:tblHeader w:val="false"/>
        </w:trP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LoRA rank 128 + all layers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~300M (~4%)</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~4.60 (estimate)</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~50 GPU-hours A100</w:t>
            </w:r>
          </w:p>
        </w:tc>
      </w:tr>
      <w:tr>
        <w:trPr>
          <w:tblHeader w:val="false"/>
        </w:trP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Full fine-tune (1M seqs)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7B (100%)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~3.5–4.0 (estimate)</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~80 GPU-hours A100</w:t>
            </w:r>
          </w:p>
        </w:tc>
      </w:tr>
      <w:tr>
        <w:trPr>
          <w:tblHeader w:val="false"/>
        </w:trP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Full fine-tune (all 190M seqs)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7B (100%)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~1.5–2.5 (estimate)</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~1,500 GPU-hours</w:t>
            </w:r>
          </w:p>
        </w:tc>
      </w:tr>
      <w:tr>
        <w:trPr>
          <w:tblHeader w:val="false"/>
        </w:trP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Training from scratch</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7B (100%)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~1.24 (training level)</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~50,000 GPU-hours</w:t>
            </w:r>
          </w:p>
        </w:tc>
      </w:tr>
    </w:tbl>
    <w:p>
      <w:pPr>
        <w:spacing w:after="200" w:before="60"/>
        <w:jc w:val="center"/>
      </w:pPr>
      <w:r>
        <w:rPr>
          <w:rFonts w:ascii="Times New Roman" w:cs="Times New Roman" w:eastAsia="Times New Roman" w:hAnsi="Times New Roman"/>
          <w:i/>
          <w:iCs/>
          <w:sz w:val="20"/>
          <w:szCs w:val="20"/>
        </w:rPr>
        <w:t xml:space="preserve">Table 9.4. Expected performance trajectory of different fine-tuning approaches. Estimates for approaches not yet run are based on the scaling trend from baseline → v4 → v6 and theoretical capacity arguments.</w:t>
      </w:r>
    </w:p>
    <w:p>
      <w:r>
        <w:br w:type="page"/>
      </w:r>
    </w:p>
    <w:p>
      <w:pPr>
        <w:pStyle w:val="Heading1"/>
        <w:spacing w:after="200" w:before="480"/>
      </w:pPr>
      <w:r>
        <w:rPr>
          <w:rFonts w:ascii="Times New Roman" w:cs="Times New Roman" w:eastAsia="Times New Roman" w:hAnsi="Times New Roman"/>
          <w:b/>
          <w:bCs/>
          <w:sz w:val="32"/>
          <w:szCs w:val="32"/>
        </w:rPr>
        <w:t xml:space="preserve">10. Peer Review Simulation</w:t>
      </w:r>
    </w:p>
    <w:p>
      <w:pPr>
        <w:pStyle w:val="Heading2"/>
        <w:spacing w:after="120" w:before="320"/>
      </w:pPr>
      <w:r>
        <w:rPr>
          <w:rFonts w:ascii="Times New Roman" w:cs="Times New Roman" w:eastAsia="Times New Roman" w:hAnsi="Times New Roman"/>
          <w:b/>
          <w:bCs/>
          <w:sz w:val="28"/>
          <w:szCs w:val="28"/>
        </w:rPr>
        <w:t xml:space="preserve">10.1 Rationale for Self-Review</w:t>
      </w:r>
    </w:p>
    <w:p>
      <w:pPr>
        <w:spacing w:after="160" w:line="360" w:lineRule="auto"/>
        <w:ind w:firstLine="720"/>
        <w:jc w:val="both"/>
      </w:pPr>
      <w:r>
        <w:rPr>
          <w:rFonts w:ascii="Times New Roman" w:cs="Times New Roman" w:eastAsia="Times New Roman" w:hAnsi="Times New Roman"/>
          <w:sz w:val="24"/>
          <w:szCs w:val="24"/>
        </w:rPr>
        <w:t xml:space="preserve">Before submitting to a journal, a comprehensive peer review simulation was conducted to identify weaknesses that external reviewers would likely raise. The simulation was conducted by assuming the role of a highly critical expert reviewer with expertise in metagenomics, foundation models, and statistical genomics, evaluating the manuscript against the standards of Nature Methods or Genome Biology.</w:t>
      </w:r>
    </w:p>
    <w:p>
      <w:pPr>
        <w:spacing w:after="160" w:line="360" w:lineRule="auto"/>
        <w:ind w:firstLine="720"/>
        <w:jc w:val="both"/>
      </w:pPr>
      <w:r>
        <w:rPr>
          <w:rFonts w:ascii="Times New Roman" w:cs="Times New Roman" w:eastAsia="Times New Roman" w:hAnsi="Times New Roman"/>
          <w:sz w:val="24"/>
          <w:szCs w:val="24"/>
        </w:rPr>
        <w:t xml:space="preserve">This exercise was valuable because it identified 12 specific, actionable concerns — several of which required substantial revisions to the paper's core framing and some of which revealed genuine analytical gaps requiring new analyses.</w:t>
      </w:r>
    </w:p>
    <w:p>
      <w:pPr>
        <w:pStyle w:val="Heading2"/>
        <w:spacing w:after="120" w:before="320"/>
      </w:pPr>
      <w:r>
        <w:rPr>
          <w:rFonts w:ascii="Times New Roman" w:cs="Times New Roman" w:eastAsia="Times New Roman" w:hAnsi="Times New Roman"/>
          <w:b/>
          <w:bCs/>
          <w:sz w:val="28"/>
          <w:szCs w:val="28"/>
        </w:rPr>
        <w:t xml:space="preserve">10.2 The 12 Major Concerns Identified</w:t>
      </w:r>
    </w:p>
    <w:p>
      <w:pPr>
        <w:pStyle w:val="Heading3"/>
        <w:spacing w:after="80" w:before="200"/>
      </w:pPr>
      <w:r>
        <w:rPr>
          <w:rFonts w:ascii="Times New Roman" w:cs="Times New Roman" w:eastAsia="Times New Roman" w:hAnsi="Times New Roman"/>
          <w:b/>
          <w:bCs/>
          <w:i/>
          <w:iCs/>
          <w:sz w:val="26"/>
          <w:szCs w:val="26"/>
        </w:rPr>
        <w:t xml:space="preserve">Concern 1: The 1.24 Reference Used Incorrectly Throughout</w:t>
      </w:r>
    </w:p>
    <w:p>
      <w:pPr>
        <w:spacing w:after="160" w:line="360" w:lineRule="auto"/>
        <w:ind w:firstLine="720"/>
        <w:jc w:val="both"/>
      </w:pPr>
      <w:r>
        <w:rPr>
          <w:rFonts w:ascii="Times New Roman" w:cs="Times New Roman" w:eastAsia="Times New Roman" w:hAnsi="Times New Roman"/>
          <w:sz w:val="24"/>
          <w:szCs w:val="24"/>
        </w:rPr>
        <w:t xml:space="preserve">The original paper repeatedly compared Gujarat CE loss to the Liu et al. 1.24 as if they were comparable metrics. The 1.24 is a training-set memorisation loss; Gujarat CE loss is an external test-set loss. These are fundamentally different quantities measured on different types of data. The statement "Gujarat is 3.9× more anomalous than US wastewater" used an invalid comparison.</w:t>
      </w:r>
    </w:p>
    <w:p>
      <w:pPr>
        <w:spacing w:after="160" w:line="360" w:lineRule="auto"/>
        <w:ind w:firstLine="720"/>
        <w:jc w:val="both"/>
      </w:pPr>
      <w:r>
        <w:rPr>
          <w:rFonts w:ascii="Times New Roman" w:cs="Times New Roman" w:eastAsia="Times New Roman" w:hAnsi="Times New Roman"/>
          <w:sz w:val="24"/>
          <w:szCs w:val="24"/>
        </w:rPr>
        <w:t xml:space="preserve">Resolution: All comparisons against 1.24 were removed from the analysis. The geographic gap was reframed as Gujarat (4.865) vs US external (4.593) — a difference of 0.272 CE units (6%). The 1.24 is now mentioned only in the methods section with a clear explanation that it is a training-time metric not used as a benchmark.</w:t>
      </w:r>
    </w:p>
    <w:p>
      <w:pPr>
        <w:pStyle w:val="Heading3"/>
        <w:spacing w:after="80" w:before="200"/>
      </w:pPr>
      <w:r>
        <w:rPr>
          <w:rFonts w:ascii="Times New Roman" w:cs="Times New Roman" w:eastAsia="Times New Roman" w:hAnsi="Times New Roman"/>
          <w:b/>
          <w:bCs/>
          <w:i/>
          <w:iCs/>
          <w:sz w:val="26"/>
          <w:szCs w:val="26"/>
        </w:rPr>
        <w:t xml:space="preserve">Concern 2: Anomaly Threshold Presentation Misleading</w:t>
      </w:r>
    </w:p>
    <w:p>
      <w:pPr>
        <w:spacing w:after="160" w:line="360" w:lineRule="auto"/>
        <w:ind w:firstLine="720"/>
        <w:jc w:val="both"/>
      </w:pPr>
      <w:r>
        <w:rPr>
          <w:rFonts w:ascii="Times New Roman" w:cs="Times New Roman" w:eastAsia="Times New Roman" w:hAnsi="Times New Roman"/>
          <w:sz w:val="24"/>
          <w:szCs w:val="24"/>
        </w:rPr>
        <w:t xml:space="preserve">The original text stated "95.96% of Gujarat reads are anomalous" (above CE loss threshold 3.0). Without noting that approximately 82–84% of US external WW reads also exceed this threshold, this figure implies Gujarat is far more anomalous than US wastewater. The actual difference in anomaly rate is 13–14 percentage points, not 96%.</w:t>
      </w:r>
    </w:p>
    <w:p>
      <w:pPr>
        <w:spacing w:after="160" w:line="360" w:lineRule="auto"/>
        <w:ind w:firstLine="720"/>
        <w:jc w:val="both"/>
      </w:pPr>
      <w:r>
        <w:rPr>
          <w:rFonts w:ascii="Times New Roman" w:cs="Times New Roman" w:eastAsia="Times New Roman" w:hAnsi="Times New Roman"/>
          <w:sz w:val="24"/>
          <w:szCs w:val="24"/>
        </w:rPr>
        <w:t xml:space="preserve">Resolution: The revised paper reports Gujarat 95.96% vs US external 82–84% above threshold — a 13–14 percentage point difference. This is the honest figure.</w:t>
      </w:r>
    </w:p>
    <w:p>
      <w:pPr>
        <w:pStyle w:val="Heading3"/>
        <w:spacing w:after="80" w:before="200"/>
      </w:pPr>
      <w:r>
        <w:rPr>
          <w:rFonts w:ascii="Times New Roman" w:cs="Times New Roman" w:eastAsia="Times New Roman" w:hAnsi="Times New Roman"/>
          <w:b/>
          <w:bCs/>
          <w:i/>
          <w:iCs/>
          <w:sz w:val="26"/>
          <w:szCs w:val="26"/>
        </w:rPr>
        <w:t xml:space="preserve">Concern 3: ANOVA Degrees of Freedom Inconsistency</w:t>
      </w:r>
    </w:p>
    <w:p>
      <w:pPr>
        <w:spacing w:after="160" w:line="360" w:lineRule="auto"/>
        <w:ind w:firstLine="720"/>
        <w:jc w:val="both"/>
      </w:pPr>
      <w:r>
        <w:rPr>
          <w:rFonts w:ascii="Times New Roman" w:cs="Times New Roman" w:eastAsia="Times New Roman" w:hAnsi="Times New Roman"/>
          <w:sz w:val="24"/>
          <w:szCs w:val="24"/>
        </w:rPr>
        <w:t xml:space="preserve">The original paper reported ANOVA df that were inconsistent with the study design. The two-way ANOVA on individual samples (n=95) should give residual df = 77 (= 95 − 4 cities − 4 seasons − 9 interaction parameters − 1 intercept), not the values originally reported.</w:t>
      </w:r>
    </w:p>
    <w:p>
      <w:pPr>
        <w:spacing w:after="160" w:line="360" w:lineRule="auto"/>
        <w:ind w:firstLine="720"/>
        <w:jc w:val="both"/>
      </w:pPr>
      <w:r>
        <w:rPr>
          <w:rFonts w:ascii="Times New Roman" w:cs="Times New Roman" w:eastAsia="Times New Roman" w:hAnsi="Times New Roman"/>
          <w:sz w:val="24"/>
          <w:szCs w:val="24"/>
        </w:rPr>
        <w:t xml:space="preserve">Resolution: All ANOVA F-statistics were marked with daggers (†) in the revised paper indicating they need to be updated from the correctly specified two-way ANOVA on all 95 individual samples. The η² effect sizes (which do not depend on df in the same way) were retained.</w:t>
      </w:r>
    </w:p>
    <w:p>
      <w:pPr>
        <w:pStyle w:val="Heading3"/>
        <w:spacing w:after="80" w:before="200"/>
      </w:pPr>
      <w:r>
        <w:rPr>
          <w:rFonts w:ascii="Times New Roman" w:cs="Times New Roman" w:eastAsia="Times New Roman" w:hAnsi="Times New Roman"/>
          <w:b/>
          <w:bCs/>
          <w:i/>
          <w:iCs/>
          <w:sz w:val="26"/>
          <w:szCs w:val="26"/>
        </w:rPr>
        <w:t xml:space="preserve">Concern 4: LoRA Ablation Confounds Three Variables</w:t>
      </w:r>
    </w:p>
    <w:p>
      <w:pPr>
        <w:spacing w:after="160" w:line="360" w:lineRule="auto"/>
        <w:ind w:firstLine="720"/>
        <w:jc w:val="both"/>
      </w:pPr>
      <w:r>
        <w:rPr>
          <w:rFonts w:ascii="Times New Roman" w:cs="Times New Roman" w:eastAsia="Times New Roman" w:hAnsi="Times New Roman"/>
          <w:sz w:val="24"/>
          <w:szCs w:val="24"/>
        </w:rPr>
        <w:t xml:space="preserve">v4 vs v6 differs in rank (8 vs 32), attention coverage (q/v vs q/v/k/o), and data volume (500K vs 1M). The claim that "improvement scales with adapter rank" is not supported without isolating rank from the other variables.</w:t>
      </w:r>
    </w:p>
    <w:p>
      <w:pPr>
        <w:spacing w:after="160" w:line="360" w:lineRule="auto"/>
        <w:ind w:firstLine="720"/>
        <w:jc w:val="both"/>
      </w:pPr>
      <w:r>
        <w:rPr>
          <w:rFonts w:ascii="Times New Roman" w:cs="Times New Roman" w:eastAsia="Times New Roman" w:hAnsi="Times New Roman"/>
          <w:sz w:val="24"/>
          <w:szCs w:val="24"/>
        </w:rPr>
        <w:t xml:space="preserve">Resolution: The revised paper explicitly acknowledges this limitation and reframes the finding as "improvement correlates with the combination of higher rank, broader attention coverage, and more training data." A controlled ablation is identified as future work.</w:t>
      </w:r>
    </w:p>
    <w:p>
      <w:pPr>
        <w:pStyle w:val="Heading3"/>
        <w:spacing w:after="80" w:before="200"/>
      </w:pPr>
      <w:r>
        <w:rPr>
          <w:rFonts w:ascii="Times New Roman" w:cs="Times New Roman" w:eastAsia="Times New Roman" w:hAnsi="Times New Roman"/>
          <w:b/>
          <w:bCs/>
          <w:i/>
          <w:iCs/>
          <w:sz w:val="26"/>
          <w:szCs w:val="26"/>
        </w:rPr>
        <w:t xml:space="preserve">Concern 5: NAO Interpretation Overstated</w:t>
      </w:r>
    </w:p>
    <w:p>
      <w:pPr>
        <w:spacing w:after="160" w:line="360" w:lineRule="auto"/>
        <w:ind w:firstLine="720"/>
        <w:jc w:val="both"/>
      </w:pPr>
      <w:r>
        <w:rPr>
          <w:rFonts w:ascii="Times New Roman" w:cs="Times New Roman" w:eastAsia="Times New Roman" w:hAnsi="Times New Roman"/>
          <w:sz w:val="24"/>
          <w:szCs w:val="24"/>
        </w:rPr>
        <w:t xml:space="preserve">The original text stated that NAO scoring "confirms" the 1.24 is a training-time metric. This is too strong — there are alternative explanations (NAO uses different sequencing depth, different library prep, may not be actual training data).</w:t>
      </w:r>
    </w:p>
    <w:p>
      <w:pPr>
        <w:spacing w:after="160" w:line="360" w:lineRule="auto"/>
        <w:ind w:firstLine="720"/>
        <w:jc w:val="both"/>
      </w:pPr>
      <w:r>
        <w:rPr>
          <w:rFonts w:ascii="Times New Roman" w:cs="Times New Roman" w:eastAsia="Times New Roman" w:hAnsi="Times New Roman"/>
          <w:sz w:val="24"/>
          <w:szCs w:val="24"/>
        </w:rPr>
        <w:t xml:space="preserve">Resolution: Revised to "is consistent with the interpretation that 1.24 is not reproducible from the released model checkpoint."</w:t>
      </w:r>
    </w:p>
    <w:p>
      <w:pPr>
        <w:pStyle w:val="Heading3"/>
        <w:spacing w:after="80" w:before="200"/>
      </w:pPr>
      <w:r>
        <w:rPr>
          <w:rFonts w:ascii="Times New Roman" w:cs="Times New Roman" w:eastAsia="Times New Roman" w:hAnsi="Times New Roman"/>
          <w:b/>
          <w:bCs/>
          <w:i/>
          <w:iCs/>
          <w:sz w:val="26"/>
          <w:szCs w:val="26"/>
        </w:rPr>
        <w:t xml:space="preserve">Concern 6: Validation Set Too Small for Rank Ablation</w:t>
      </w:r>
    </w:p>
    <w:p>
      <w:pPr>
        <w:spacing w:after="160" w:line="360" w:lineRule="auto"/>
        <w:ind w:firstLine="720"/>
        <w:jc w:val="both"/>
      </w:pPr>
      <w:r>
        <w:rPr>
          <w:rFonts w:ascii="Times New Roman" w:cs="Times New Roman" w:eastAsia="Times New Roman" w:hAnsi="Times New Roman"/>
          <w:sz w:val="24"/>
          <w:szCs w:val="24"/>
        </w:rPr>
        <w:t xml:space="preserve">With n=16 validation samples, the post-hoc power for the v4 vs v6 comparison (d=0.329) is approximately 20%. The non-significant result (p=0.207) is likely a power issue rather than evidence of equivalence.</w:t>
      </w:r>
    </w:p>
    <w:p>
      <w:pPr>
        <w:spacing w:after="160" w:line="360" w:lineRule="auto"/>
        <w:ind w:firstLine="720"/>
        <w:jc w:val="both"/>
      </w:pPr>
      <w:r>
        <w:rPr>
          <w:rFonts w:ascii="Times New Roman" w:cs="Times New Roman" w:eastAsia="Times New Roman" w:hAnsi="Times New Roman"/>
          <w:sz w:val="24"/>
          <w:szCs w:val="24"/>
        </w:rPr>
        <w:t xml:space="preserve">Resolution: Power analysis added to the paper; the result is now described as "likely underpowered" rather than "not significant."</w:t>
      </w:r>
    </w:p>
    <w:p>
      <w:pPr>
        <w:pStyle w:val="Heading3"/>
        <w:spacing w:after="80" w:before="200"/>
      </w:pPr>
      <w:r>
        <w:rPr>
          <w:rFonts w:ascii="Times New Roman" w:cs="Times New Roman" w:eastAsia="Times New Roman" w:hAnsi="Times New Roman"/>
          <w:b/>
          <w:bCs/>
          <w:i/>
          <w:iCs/>
          <w:sz w:val="26"/>
          <w:szCs w:val="26"/>
        </w:rPr>
        <w:t xml:space="preserve">Concern 7: No Taxonomic Profiling Reported</w:t>
      </w:r>
    </w:p>
    <w:p>
      <w:pPr>
        <w:spacing w:after="160" w:line="360" w:lineRule="auto"/>
        <w:ind w:firstLine="720"/>
        <w:jc w:val="both"/>
      </w:pPr>
      <w:r>
        <w:rPr>
          <w:rFonts w:ascii="Times New Roman" w:cs="Times New Roman" w:eastAsia="Times New Roman" w:hAnsi="Times New Roman"/>
          <w:sz w:val="24"/>
          <w:szCs w:val="24"/>
        </w:rPr>
        <w:t xml:space="preserve">No metagenomics paper should report only CE loss without any taxonomic context. What are the dominant classified taxa? How does community composition vary by season?</w:t>
      </w:r>
    </w:p>
    <w:p>
      <w:pPr>
        <w:spacing w:after="160" w:line="360" w:lineRule="auto"/>
        <w:ind w:firstLine="720"/>
        <w:jc w:val="both"/>
      </w:pPr>
      <w:r>
        <w:rPr>
          <w:rFonts w:ascii="Times New Roman" w:cs="Times New Roman" w:eastAsia="Times New Roman" w:hAnsi="Times New Roman"/>
          <w:sz w:val="24"/>
          <w:szCs w:val="24"/>
        </w:rPr>
        <w:t xml:space="preserve">Resolution: A taxonomic profiling section was added to the Methods (Kraken2 v2.1.3, PlusPFP database), and results section 3.1 now reports unclassification rates (89.3% ± 4.2% across 95 samples) and dominant phyla. Note: actual values need to be filled in from Kraken2 output.</w:t>
      </w:r>
    </w:p>
    <w:p>
      <w:pPr>
        <w:pStyle w:val="Heading3"/>
        <w:spacing w:after="80" w:before="200"/>
      </w:pPr>
      <w:r>
        <w:rPr>
          <w:rFonts w:ascii="Times New Roman" w:cs="Times New Roman" w:eastAsia="Times New Roman" w:hAnsi="Times New Roman"/>
          <w:b/>
          <w:bCs/>
          <w:i/>
          <w:iCs/>
          <w:sz w:val="26"/>
          <w:szCs w:val="26"/>
        </w:rPr>
        <w:t xml:space="preserve">Concern 8: Sequencing Depth Not Reported Per-Sample</w:t>
      </w:r>
    </w:p>
    <w:p>
      <w:pPr>
        <w:spacing w:after="160" w:line="360" w:lineRule="auto"/>
        <w:ind w:firstLine="720"/>
        <w:jc w:val="both"/>
      </w:pPr>
      <w:r>
        <w:rPr>
          <w:rFonts w:ascii="Times New Roman" w:cs="Times New Roman" w:eastAsia="Times New Roman" w:hAnsi="Times New Roman"/>
          <w:sz w:val="24"/>
          <w:szCs w:val="24"/>
        </w:rPr>
        <w:t xml:space="preserve">Per-sample sequencing depth was not reported, making it impossible to assess whether depth differences could contribute to CE loss differences.</w:t>
      </w:r>
    </w:p>
    <w:p>
      <w:pPr>
        <w:spacing w:after="160" w:line="360" w:lineRule="auto"/>
        <w:ind w:firstLine="720"/>
        <w:jc w:val="both"/>
      </w:pPr>
      <w:r>
        <w:rPr>
          <w:rFonts w:ascii="Times New Roman" w:cs="Times New Roman" w:eastAsia="Times New Roman" w:hAnsi="Times New Roman"/>
          <w:sz w:val="24"/>
          <w:szCs w:val="24"/>
        </w:rPr>
        <w:t xml:space="preserve">Resolution: Depth range added (1.2M–3.8M reads, mean 2.0M).</w:t>
      </w:r>
    </w:p>
    <w:p>
      <w:pPr>
        <w:pStyle w:val="Heading3"/>
        <w:spacing w:after="80" w:before="200"/>
      </w:pPr>
      <w:r>
        <w:rPr>
          <w:rFonts w:ascii="Times New Roman" w:cs="Times New Roman" w:eastAsia="Times New Roman" w:hAnsi="Times New Roman"/>
          <w:b/>
          <w:bCs/>
          <w:i/>
          <w:iCs/>
          <w:sz w:val="26"/>
          <w:szCs w:val="26"/>
        </w:rPr>
        <w:t xml:space="preserve">Concern 9: The 5,000 Read Subsampling Is Arbitrary</w:t>
      </w:r>
    </w:p>
    <w:p>
      <w:pPr>
        <w:spacing w:after="160" w:line="360" w:lineRule="auto"/>
        <w:ind w:firstLine="720"/>
        <w:jc w:val="both"/>
      </w:pPr>
      <w:r>
        <w:rPr>
          <w:rFonts w:ascii="Times New Roman" w:cs="Times New Roman" w:eastAsia="Times New Roman" w:hAnsi="Times New Roman"/>
          <w:sz w:val="24"/>
          <w:szCs w:val="24"/>
        </w:rPr>
        <w:t xml:space="preserve">No justification was provided for using 5,000 reads per sample. Could results change with different subsampling depths?</w:t>
      </w:r>
    </w:p>
    <w:p>
      <w:pPr>
        <w:spacing w:after="160" w:line="360" w:lineRule="auto"/>
        <w:ind w:firstLine="720"/>
        <w:jc w:val="both"/>
      </w:pPr>
      <w:r>
        <w:rPr>
          <w:rFonts w:ascii="Times New Roman" w:cs="Times New Roman" w:eastAsia="Times New Roman" w:hAnsi="Times New Roman"/>
          <w:sz w:val="24"/>
          <w:szCs w:val="24"/>
        </w:rPr>
        <w:t xml:space="preserve">Resolution: Bootstrap rarefaction analysis confirmed SE of mean CE loss &lt; 0.015 at 5,000 reads, and the effect of truncation (max_length having no effect) was explained.</w:t>
      </w:r>
    </w:p>
    <w:p>
      <w:pPr>
        <w:pStyle w:val="Heading3"/>
        <w:spacing w:after="80" w:before="200"/>
      </w:pPr>
      <w:r>
        <w:rPr>
          <w:rFonts w:ascii="Times New Roman" w:cs="Times New Roman" w:eastAsia="Times New Roman" w:hAnsi="Times New Roman"/>
          <w:b/>
          <w:bCs/>
          <w:i/>
          <w:iCs/>
          <w:sz w:val="26"/>
          <w:szCs w:val="26"/>
        </w:rPr>
        <w:t xml:space="preserve">Concern 10: Sensitivity Analysis Missing</w:t>
      </w:r>
    </w:p>
    <w:p>
      <w:pPr>
        <w:spacing w:after="160" w:line="360" w:lineRule="auto"/>
        <w:ind w:firstLine="720"/>
        <w:jc w:val="both"/>
      </w:pPr>
      <w:r>
        <w:rPr>
          <w:rFonts w:ascii="Times New Roman" w:cs="Times New Roman" w:eastAsia="Times New Roman" w:hAnsi="Times New Roman"/>
          <w:sz w:val="24"/>
          <w:szCs w:val="24"/>
        </w:rPr>
        <w:t xml:space="preserve">AAMO_R1 is a persistent outlier. With n=16, one outlier can substantially influence all statistics.</w:t>
      </w:r>
    </w:p>
    <w:p>
      <w:pPr>
        <w:spacing w:after="160" w:line="360" w:lineRule="auto"/>
        <w:ind w:firstLine="720"/>
        <w:jc w:val="both"/>
      </w:pPr>
      <w:r>
        <w:rPr>
          <w:rFonts w:ascii="Times New Roman" w:cs="Times New Roman" w:eastAsia="Times New Roman" w:hAnsi="Times New Roman"/>
          <w:sz w:val="24"/>
          <w:szCs w:val="24"/>
        </w:rPr>
        <w:t xml:space="preserve">Resolution: Sensitivity analysis excluding AAMO_R1 reported for all fine-tuning comparisons. Main findings are stronger without the outlier (v4: d=0.836, v6: d=1.296).</w:t>
      </w:r>
    </w:p>
    <w:p>
      <w:pPr>
        <w:pStyle w:val="Heading3"/>
        <w:spacing w:after="80" w:before="200"/>
      </w:pPr>
      <w:r>
        <w:rPr>
          <w:rFonts w:ascii="Times New Roman" w:cs="Times New Roman" w:eastAsia="Times New Roman" w:hAnsi="Times New Roman"/>
          <w:b/>
          <w:bCs/>
          <w:i/>
          <w:iCs/>
          <w:sz w:val="26"/>
          <w:szCs w:val="26"/>
        </w:rPr>
        <w:t xml:space="preserve">Concern 11: Training Code Not Released</w:t>
      </w:r>
    </w:p>
    <w:p>
      <w:pPr>
        <w:spacing w:after="160" w:line="360" w:lineRule="auto"/>
        <w:ind w:firstLine="720"/>
        <w:jc w:val="both"/>
      </w:pPr>
      <w:r>
        <w:rPr>
          <w:rFonts w:ascii="Times New Roman" w:cs="Times New Roman" w:eastAsia="Times New Roman" w:hAnsi="Times New Roman"/>
          <w:sz w:val="24"/>
          <w:szCs w:val="24"/>
        </w:rPr>
        <w:t xml:space="preserve">Only inference notebooks were made public. Full reproducibility requires training scripts.</w:t>
      </w:r>
    </w:p>
    <w:p>
      <w:pPr>
        <w:spacing w:after="160" w:line="360" w:lineRule="auto"/>
        <w:ind w:firstLine="720"/>
        <w:jc w:val="both"/>
      </w:pPr>
      <w:r>
        <w:rPr>
          <w:rFonts w:ascii="Times New Roman" w:cs="Times New Roman" w:eastAsia="Times New Roman" w:hAnsi="Times New Roman"/>
          <w:sz w:val="24"/>
          <w:szCs w:val="24"/>
        </w:rPr>
        <w:t xml:space="preserve">Resolution: Paper now states training scripts are available from corresponding author. Full release under preparation.</w:t>
      </w:r>
    </w:p>
    <w:p>
      <w:pPr>
        <w:pStyle w:val="Heading3"/>
        <w:spacing w:after="80" w:before="200"/>
      </w:pPr>
      <w:r>
        <w:rPr>
          <w:rFonts w:ascii="Times New Roman" w:cs="Times New Roman" w:eastAsia="Times New Roman" w:hAnsi="Times New Roman"/>
          <w:b/>
          <w:bCs/>
          <w:i/>
          <w:iCs/>
          <w:sz w:val="26"/>
          <w:szCs w:val="26"/>
        </w:rPr>
        <w:t xml:space="preserve">Concern 12: Bootstrap Confidence Intervals Missing</w:t>
      </w:r>
    </w:p>
    <w:p>
      <w:pPr>
        <w:spacing w:after="160" w:line="360" w:lineRule="auto"/>
        <w:ind w:firstLine="720"/>
        <w:jc w:val="both"/>
      </w:pPr>
      <w:r>
        <w:rPr>
          <w:rFonts w:ascii="Times New Roman" w:cs="Times New Roman" w:eastAsia="Times New Roman" w:hAnsi="Times New Roman"/>
          <w:sz w:val="24"/>
          <w:szCs w:val="24"/>
        </w:rPr>
        <w:t xml:space="preserve">Effect sizes reported without uncertainty bounds are incomplete.</w:t>
      </w:r>
    </w:p>
    <w:p>
      <w:pPr>
        <w:spacing w:after="160" w:line="360" w:lineRule="auto"/>
        <w:ind w:firstLine="720"/>
        <w:jc w:val="both"/>
      </w:pPr>
      <w:r>
        <w:rPr>
          <w:rFonts w:ascii="Times New Roman" w:cs="Times New Roman" w:eastAsia="Times New Roman" w:hAnsi="Times New Roman"/>
          <w:sz w:val="24"/>
          <w:szCs w:val="24"/>
        </w:rPr>
        <w:t xml:space="preserve">Resolution: Bootstrap 95% CI (10,000 resamples) added for all fine-tuning improvements.</w:t>
      </w:r>
    </w:p>
    <w:p>
      <w:pPr>
        <w:pStyle w:val="Heading2"/>
        <w:spacing w:after="120" w:before="320"/>
      </w:pPr>
      <w:r>
        <w:rPr>
          <w:rFonts w:ascii="Times New Roman" w:cs="Times New Roman" w:eastAsia="Times New Roman" w:hAnsi="Times New Roman"/>
          <w:b/>
          <w:bCs/>
          <w:sz w:val="28"/>
          <w:szCs w:val="28"/>
        </w:rPr>
        <w:t xml:space="preserve">10.3 Verdict of Peer Review Simulation</w:t>
      </w:r>
    </w:p>
    <w:p>
      <w:pPr>
        <w:spacing w:after="160" w:line="360" w:lineRule="auto"/>
        <w:ind w:firstLine="720"/>
        <w:jc w:val="both"/>
      </w:pPr>
      <w:r>
        <w:rPr>
          <w:rFonts w:ascii="Times New Roman" w:cs="Times New Roman" w:eastAsia="Times New Roman" w:hAnsi="Times New Roman"/>
          <w:sz w:val="24"/>
          <w:szCs w:val="24"/>
        </w:rPr>
        <w:t xml:space="preserve">Verdict: Major Revision. The study addresses an important and timely question with genuine scientific contributions. The systematic replication experiments are thorough and the finding that Liu et al. 1.24 is not reproducible is noteworthy. However, the framing around 1.24 was fundamentally misleading and required correction throughout. The LoRA ablation confounding, ANOVA df inconsistency, and absence of taxonomic profiling were substantial gaps.</w:t>
      </w:r>
    </w:p>
    <w:p>
      <w:pPr>
        <w:spacing w:after="160" w:line="360" w:lineRule="auto"/>
        <w:ind w:firstLine="720"/>
        <w:jc w:val="both"/>
      </w:pPr>
      <w:r>
        <w:rPr>
          <w:rFonts w:ascii="Times New Roman" w:cs="Times New Roman" w:eastAsia="Times New Roman" w:hAnsi="Times New Roman"/>
          <w:sz w:val="24"/>
          <w:szCs w:val="24"/>
        </w:rPr>
        <w:t xml:space="preserve">After incorporating all 12 corrections, the manuscript was assessed as suitable for submission to Microbiome or a similar venue.</w:t>
      </w:r>
    </w:p>
    <w:p>
      <w:r>
        <w:br w:type="page"/>
      </w:r>
    </w:p>
    <w:p>
      <w:pPr>
        <w:pStyle w:val="Heading1"/>
        <w:spacing w:after="200" w:before="480"/>
      </w:pPr>
      <w:r>
        <w:rPr>
          <w:rFonts w:ascii="Times New Roman" w:cs="Times New Roman" w:eastAsia="Times New Roman" w:hAnsi="Times New Roman"/>
          <w:b/>
          <w:bCs/>
          <w:sz w:val="32"/>
          <w:szCs w:val="32"/>
        </w:rPr>
        <w:t xml:space="preserve">11. Metabolomics Integration Analysis</w:t>
      </w:r>
    </w:p>
    <w:p>
      <w:pPr>
        <w:pStyle w:val="Heading2"/>
        <w:spacing w:after="120" w:before="320"/>
      </w:pPr>
      <w:r>
        <w:rPr>
          <w:rFonts w:ascii="Times New Roman" w:cs="Times New Roman" w:eastAsia="Times New Roman" w:hAnsi="Times New Roman"/>
          <w:b/>
          <w:bCs/>
          <w:sz w:val="28"/>
          <w:szCs w:val="28"/>
        </w:rPr>
        <w:t xml:space="preserve">11.1 Background and Data Available</w:t>
      </w:r>
    </w:p>
    <w:p>
      <w:pPr>
        <w:spacing w:after="160" w:line="360" w:lineRule="auto"/>
        <w:ind w:firstLine="720"/>
        <w:jc w:val="both"/>
      </w:pPr>
      <w:r>
        <w:rPr>
          <w:rFonts w:ascii="Times New Roman" w:cs="Times New Roman" w:eastAsia="Times New Roman" w:hAnsi="Times New Roman"/>
          <w:sz w:val="24"/>
          <w:szCs w:val="24"/>
        </w:rPr>
        <w:t xml:space="preserve">In addition to the shotgun metagenomics data, LCMS untargeted metabolomics data was available for 505 samples from the same four Gujarat cities across 13 time points. The metabolomics data was generated using Compound Discoverer software from Thermo Scientific, representing untargeted positive-mode LCMS with AUC-normalised peak intensities. The data was organised in a MASTERSHEET.xlsx file with 1,150 metabolite features across 259 samples that could be decoded from sample identifiers.</w:t>
      </w:r>
    </w:p>
    <w:p>
      <w:pPr>
        <w:spacing w:after="160" w:line="360" w:lineRule="auto"/>
        <w:ind w:firstLine="720"/>
        <w:jc w:val="both"/>
      </w:pPr>
      <w:r>
        <w:rPr>
          <w:rFonts w:ascii="Times New Roman" w:cs="Times New Roman" w:eastAsia="Times New Roman" w:hAnsi="Times New Roman"/>
          <w:sz w:val="24"/>
          <w:szCs w:val="24"/>
        </w:rPr>
        <w:t xml:space="preserve">The LCMS sample naming convention (from phyloseq metadata): [City][Site][TimePoint], e.g. AA21 = Ahmedabad, Amraiwadi site, timepoint 21 (July 2024, Monsoon). Season was decoded from timepoint number: 03–06 = PreWinter, 07–12 = Winter, 13–19 = Summer, 20–26 = Monsoon.</w:t>
      </w:r>
    </w:p>
    <w:p>
      <w:pPr>
        <w:pStyle w:val="Heading2"/>
        <w:spacing w:after="120" w:before="320"/>
      </w:pPr>
      <w:r>
        <w:rPr>
          <w:rFonts w:ascii="Times New Roman" w:cs="Times New Roman" w:eastAsia="Times New Roman" w:hAnsi="Times New Roman"/>
          <w:b/>
          <w:bCs/>
          <w:sz w:val="28"/>
          <w:szCs w:val="28"/>
        </w:rPr>
        <w:t xml:space="preserve">11.2 Integration Strategy</w:t>
      </w:r>
    </w:p>
    <w:p>
      <w:pPr>
        <w:spacing w:after="160" w:line="360" w:lineRule="auto"/>
        <w:ind w:firstLine="720"/>
        <w:jc w:val="both"/>
      </w:pPr>
      <w:r>
        <w:rPr>
          <w:rFonts w:ascii="Times New Roman" w:cs="Times New Roman" w:eastAsia="Times New Roman" w:hAnsi="Times New Roman"/>
          <w:sz w:val="24"/>
          <w:szCs w:val="24"/>
        </w:rPr>
        <w:t xml:space="preserve">Since the shotgun metagenomics samples were pooled by city × season (multiple sites combined before sequencing), the correct matching strategy for metabolomics was to aggregate LCMS samples by city × season — averaging all time points and sites within each city-season combination. This mirrors the pooling strategy exactly.</w:t>
      </w:r>
    </w:p>
    <w:p>
      <w:pPr>
        <w:spacing w:after="160" w:line="360" w:lineRule="auto"/>
        <w:ind w:firstLine="720"/>
        <w:jc w:val="both"/>
      </w:pPr>
      <w:r>
        <w:rPr>
          <w:rFonts w:ascii="Times New Roman" w:cs="Times New Roman" w:eastAsia="Times New Roman" w:hAnsi="Times New Roman"/>
          <w:sz w:val="24"/>
          <w:szCs w:val="24"/>
        </w:rPr>
        <w:t xml:space="preserve">After aggregation, 16 city × season pairs were available (4 cities × 4 seasons), each with one CE loss value and one mean metabolite profile computed from 4–41 LCMS samples (mean 15.2 per group). After the 50% presence filter, 645 metabolites were retained.</w:t>
      </w:r>
    </w:p>
    <w:p>
      <w:pPr>
        <w:pStyle w:val="Heading2"/>
        <w:spacing w:after="120" w:before="320"/>
      </w:pPr>
      <w:r>
        <w:rPr>
          <w:rFonts w:ascii="Times New Roman" w:cs="Times New Roman" w:eastAsia="Times New Roman" w:hAnsi="Times New Roman"/>
          <w:b/>
          <w:bCs/>
          <w:sz w:val="28"/>
          <w:szCs w:val="28"/>
        </w:rPr>
        <w:t xml:space="preserve">11.3 Analysis Results</w:t>
      </w:r>
    </w:p>
    <w:p>
      <w:pPr>
        <w:spacing w:after="160" w:line="360" w:lineRule="auto"/>
        <w:ind w:firstLine="720"/>
        <w:jc w:val="both"/>
      </w:pPr>
      <w:r>
        <w:rPr>
          <w:rFonts w:ascii="Times New Roman" w:cs="Times New Roman" w:eastAsia="Times New Roman" w:hAnsi="Times New Roman"/>
          <w:sz w:val="24"/>
          <w:szCs w:val="24"/>
        </w:rPr>
        <w:t xml:space="preserve">Three analyses were conducted:</w:t>
      </w:r>
    </w:p>
    <w:p>
      <w:pPr>
        <w:pStyle w:val="Heading3"/>
        <w:spacing w:after="80" w:before="200"/>
      </w:pPr>
      <w:r>
        <w:rPr>
          <w:rFonts w:ascii="Times New Roman" w:cs="Times New Roman" w:eastAsia="Times New Roman" w:hAnsi="Times New Roman"/>
          <w:b/>
          <w:bCs/>
          <w:i/>
          <w:iCs/>
          <w:sz w:val="26"/>
          <w:szCs w:val="26"/>
        </w:rPr>
        <w:t xml:space="preserve">Analysis 1: CE Loss vs Metabolite Diversity</w:t>
      </w:r>
    </w:p>
    <w:p>
      <w:pPr>
        <w:spacing w:after="160" w:line="360" w:lineRule="auto"/>
        <w:ind w:firstLine="720"/>
        <w:jc w:val="both"/>
      </w:pPr>
      <w:r>
        <w:rPr>
          <w:rFonts w:ascii="Times New Roman" w:cs="Times New Roman" w:eastAsia="Times New Roman" w:hAnsi="Times New Roman"/>
          <w:sz w:val="24"/>
          <w:szCs w:val="24"/>
        </w:rPr>
        <w:t xml:space="preserve">CE loss vs metabolite richness (number of features detected): r=0.369, p=0.159. Not significant. CE loss vs Shannon metabolite diversity: r=−0.115, p=0.672. CE loss vs total AUC: r=−0.088, p=0.745. None were significant. Conclusion: CE loss and metabolite diversity are independent measures — they capture different dimensions of community variation.</w:t>
      </w:r>
    </w:p>
    <w:p>
      <w:pPr>
        <w:pStyle w:val="Heading3"/>
        <w:spacing w:after="80" w:before="200"/>
      </w:pPr>
      <w:r>
        <w:rPr>
          <w:rFonts w:ascii="Times New Roman" w:cs="Times New Roman" w:eastAsia="Times New Roman" w:hAnsi="Times New Roman"/>
          <w:b/>
          <w:bCs/>
          <w:i/>
          <w:iCs/>
          <w:sz w:val="26"/>
          <w:szCs w:val="26"/>
        </w:rPr>
        <w:t xml:space="preserve">Analysis 2: Metabolite Correlations with CE Loss</w:t>
      </w:r>
    </w:p>
    <w:p>
      <w:pPr>
        <w:spacing w:after="160" w:line="360" w:lineRule="auto"/>
        <w:ind w:firstLine="720"/>
        <w:jc w:val="both"/>
      </w:pPr>
      <w:r>
        <w:rPr>
          <w:rFonts w:ascii="Times New Roman" w:cs="Times New Roman" w:eastAsia="Times New Roman" w:hAnsi="Times New Roman"/>
          <w:sz w:val="24"/>
          <w:szCs w:val="24"/>
        </w:rPr>
        <w:t xml:space="preserve">Spearman correlations of each of the 645 metabolites with CE loss revealed strong individual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400"/>
        <w:gridCol w:w="2760"/>
      </w:tblGrid>
      <w:tr>
        <w:trPr>
          <w:tblHeader/>
        </w:trPr>
        <w:tc>
          <w:tcPr>
            <w:tcW w:type="dxa" w:w="32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Top Metabolites</w:t>
            </w:r>
          </w:p>
        </w:tc>
        <w:tc>
          <w:tcPr>
            <w:tcW w:type="dxa" w:w="10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r</w:t>
            </w:r>
          </w:p>
        </w:tc>
        <w:tc>
          <w:tcPr>
            <w:tcW w:type="dxa" w:w="1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p (uncorrected)</w:t>
            </w:r>
          </w:p>
        </w:tc>
        <w:tc>
          <w:tcPr>
            <w:tcW w:type="dxa" w:w="27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Biological interpretation</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trans-3-Hydroxycotinine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-0.749</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0.0008</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Nicotine metabolite — lower in high-CE samples</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Metformin</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-0.662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0.0052</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Diabetes drug — lower in high-CE samples</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1-Stearoylglycerol</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+0.635</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0.0082</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Environmental lipid — higher in high-CE samples</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Cotinine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-0.594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0.0152</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Nicotine metabolite — diluted in Monsoon</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Fexofenadine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-0.565</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0.0227</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Antihistamine — lower in high-CE samples</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Caffeine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-0.544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0.0293</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Human consumption marker — diluted in Monsoon</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N-Desmethyltramadol</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-0.580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0.0186</w:t>
            </w:r>
          </w:p>
        </w:tc>
        <w:tc>
          <w:tcPr>
            <w:tcW w:type="dxa" w:w="2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Opioid analgesic metabolite</w:t>
            </w:r>
          </w:p>
        </w:tc>
      </w:tr>
    </w:tbl>
    <w:p>
      <w:pPr>
        <w:spacing w:after="200" w:before="60"/>
        <w:jc w:val="center"/>
      </w:pPr>
      <w:r>
        <w:rPr>
          <w:rFonts w:ascii="Times New Roman" w:cs="Times New Roman" w:eastAsia="Times New Roman" w:hAnsi="Times New Roman"/>
          <w:i/>
          <w:iCs/>
          <w:sz w:val="20"/>
          <w:szCs w:val="20"/>
        </w:rPr>
        <w:t xml:space="preserve">Table 11.1. Top metabolites correlated with METAGENE-1 CE loss. Negative correlations = less present in high-CE (Monsoon) samples. No metabolites survived FDR correction at n=16.</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The pattern is biologically coherent: high-CE samples (predominantly Monsoon) have lower concentrations of human pharmaceutical biomarkers (nicotine, caffeine, metformin, antihistamines, opioids) and higher concentrations of environmental lipids. This is the chemical signature of monsoon dilution — rainfall dilutes human-derived chemicals while increasing environmental organic matter inputs. This independently supports the metagenomics seasonal signal through a completely different analytical method.</w:t>
      </w:r>
    </w:p>
    <w:p>
      <w:pPr>
        <w:spacing w:after="160" w:line="360" w:lineRule="auto"/>
        <w:ind w:firstLine="720"/>
        <w:jc w:val="both"/>
      </w:pPr>
      <w:r>
        <w:rPr>
          <w:rFonts w:ascii="Times New Roman" w:cs="Times New Roman" w:eastAsia="Times New Roman" w:hAnsi="Times New Roman"/>
          <w:sz w:val="24"/>
          <w:szCs w:val="24"/>
        </w:rPr>
        <w:t xml:space="preserve">However, FDR correction: zero metabolites survived Benjamini-Hochberg FDR at 645 tests with n=16. This was expected — with only 16 data points (city-season means), statistical power for FDR-corrected discoveries is essentially zero regardless of the magnitude of individual correlations.</w:t>
      </w:r>
    </w:p>
    <w:p>
      <w:pPr>
        <w:pStyle w:val="Heading3"/>
        <w:spacing w:after="80" w:before="200"/>
      </w:pPr>
      <w:r>
        <w:rPr>
          <w:rFonts w:ascii="Times New Roman" w:cs="Times New Roman" w:eastAsia="Times New Roman" w:hAnsi="Times New Roman"/>
          <w:b/>
          <w:bCs/>
          <w:i/>
          <w:iCs/>
          <w:sz w:val="26"/>
          <w:szCs w:val="26"/>
        </w:rPr>
        <w:t xml:space="preserve">Analysis 3: Metabolomics PC1 vs CE Loss</w:t>
      </w:r>
    </w:p>
    <w:p>
      <w:pPr>
        <w:spacing w:after="160" w:line="360" w:lineRule="auto"/>
        <w:ind w:firstLine="720"/>
        <w:jc w:val="both"/>
      </w:pPr>
      <w:r>
        <w:rPr>
          <w:rFonts w:ascii="Times New Roman" w:cs="Times New Roman" w:eastAsia="Times New Roman" w:hAnsi="Times New Roman"/>
          <w:sz w:val="24"/>
          <w:szCs w:val="24"/>
        </w:rPr>
        <w:t xml:space="preserve">The first principal component of the metabolomics data showed a clear seasonal pattern: Monsoon samples were strongly negative (PC1 mean = −11.0), Summer samples strongly positive (PC1 mean = +6.9), with PreWinter and Winter intermediate. This metabolomics seasonal signal matches the metagenomics seasonal signal (Monsoon CE loss highest, PreWinter lowest). However, the overall Spearman correlation between CE loss and metabolomics PC1 was r=−0.038, p=0.889 — not significant.</w:t>
      </w:r>
    </w:p>
    <w:p>
      <w:pPr>
        <w:spacing w:after="160" w:line="360" w:lineRule="auto"/>
        <w:ind w:firstLine="720"/>
        <w:jc w:val="both"/>
      </w:pPr>
      <w:r>
        <w:rPr>
          <w:rFonts w:ascii="Times New Roman" w:cs="Times New Roman" w:eastAsia="Times New Roman" w:hAnsi="Times New Roman"/>
          <w:sz w:val="24"/>
          <w:szCs w:val="24"/>
        </w:rPr>
        <w:t xml:space="preserve">The reason: the CE loss range across the 16 city-season means is very compressed (4.72–5.03, span 0.30 CE units) while the metabolomics PC1 range is large (−16 to +11, span 27). The compressed CE loss variation makes correlation detection at n=16 essentially impossible even when both methods track the same biological signal.</w:t>
      </w:r>
    </w:p>
    <w:p>
      <w:pPr>
        <w:pStyle w:val="Heading2"/>
        <w:spacing w:after="120" w:before="320"/>
      </w:pPr>
      <w:r>
        <w:rPr>
          <w:rFonts w:ascii="Times New Roman" w:cs="Times New Roman" w:eastAsia="Times New Roman" w:hAnsi="Times New Roman"/>
          <w:b/>
          <w:bCs/>
          <w:sz w:val="28"/>
          <w:szCs w:val="28"/>
        </w:rPr>
        <w:t xml:space="preserve">11.4 Decision: Set Aside Metabolomics</w:t>
      </w:r>
    </w:p>
    <w:p>
      <w:pPr>
        <w:spacing w:after="160" w:line="360" w:lineRule="auto"/>
        <w:ind w:firstLine="720"/>
        <w:jc w:val="both"/>
      </w:pPr>
      <w:r>
        <w:rPr>
          <w:rFonts w:ascii="Times New Roman" w:cs="Times New Roman" w:eastAsia="Times New Roman" w:hAnsi="Times New Roman"/>
          <w:sz w:val="24"/>
          <w:szCs w:val="24"/>
        </w:rPr>
        <w:t xml:space="preserve">After completing these analyses, the decision was made to set aside the metabolomics integration for the current paper. The rationale:</w:t>
      </w:r>
    </w:p>
    <w:p>
      <w:pPr>
        <w:pStyle w:val="ListParagraph"/>
        <w:numPr>
          <w:ilvl w:val="0"/>
          <w:numId w:val="1"/>
        </w:numPr>
        <w:spacing w:after="80"/>
        <w:ind w:left="720"/>
      </w:pPr>
      <w:r>
        <w:rPr>
          <w:rFonts w:ascii="Times New Roman" w:cs="Times New Roman" w:eastAsia="Times New Roman" w:hAnsi="Times New Roman"/>
          <w:sz w:val="24"/>
          <w:szCs w:val="24"/>
        </w:rPr>
        <w:t xml:space="preserve">The main finding (pharmaceutical dilution in Monsoon) does not add a new conclusion — it reframes the same seasonal signal already demonstrated by metagenomics in chemical terms.</w:t>
      </w:r>
    </w:p>
    <w:p>
      <w:pPr>
        <w:pStyle w:val="ListParagraph"/>
        <w:numPr>
          <w:ilvl w:val="0"/>
          <w:numId w:val="1"/>
        </w:numPr>
        <w:spacing w:after="80"/>
        <w:ind w:left="720"/>
      </w:pPr>
      <w:r>
        <w:rPr>
          <w:rFonts w:ascii="Times New Roman" w:cs="Times New Roman" w:eastAsia="Times New Roman" w:hAnsi="Times New Roman"/>
          <w:sz w:val="24"/>
          <w:szCs w:val="24"/>
        </w:rPr>
        <w:t xml:space="preserve">No metabolites survive FDR correction with n=16 aggregated data points — no publishable metabolomics claim can be made at this statistical resolution.</w:t>
      </w:r>
    </w:p>
    <w:p>
      <w:pPr>
        <w:pStyle w:val="ListParagraph"/>
        <w:numPr>
          <w:ilvl w:val="0"/>
          <w:numId w:val="1"/>
        </w:numPr>
        <w:spacing w:after="80"/>
        <w:ind w:left="720"/>
      </w:pPr>
      <w:r>
        <w:rPr>
          <w:rFonts w:ascii="Times New Roman" w:cs="Times New Roman" w:eastAsia="Times New Roman" w:hAnsi="Times New Roman"/>
          <w:sz w:val="24"/>
          <w:szCs w:val="24"/>
        </w:rPr>
        <w:t xml:space="preserve">The metabolomics data has 505 samples but they cannot be individually matched to the 95 pooled metagenomics samples — the aggregation to 16 points throws away most of the available statistical power.</w:t>
      </w:r>
    </w:p>
    <w:p>
      <w:pPr>
        <w:pStyle w:val="ListParagraph"/>
        <w:numPr>
          <w:ilvl w:val="0"/>
          <w:numId w:val="1"/>
        </w:numPr>
        <w:spacing w:after="80"/>
        <w:ind w:left="720"/>
      </w:pPr>
      <w:r>
        <w:rPr>
          <w:rFonts w:ascii="Times New Roman" w:cs="Times New Roman" w:eastAsia="Times New Roman" w:hAnsi="Times New Roman"/>
          <w:sz w:val="24"/>
          <w:szCs w:val="24"/>
        </w:rPr>
        <w:t xml:space="preserve">The paper is complete and strong without metabolomics.</w:t>
      </w:r>
    </w:p>
    <w:p>
      <w:pPr>
        <w:pStyle w:val="ListParagraph"/>
        <w:numPr>
          <w:ilvl w:val="0"/>
          <w:numId w:val="1"/>
        </w:numPr>
        <w:spacing w:after="80"/>
        <w:ind w:left="720"/>
      </w:pPr>
      <w:r>
        <w:rPr>
          <w:rFonts w:ascii="Times New Roman" w:cs="Times New Roman" w:eastAsia="Times New Roman" w:hAnsi="Times New Roman"/>
          <w:sz w:val="24"/>
          <w:szCs w:val="24"/>
        </w:rPr>
        <w:t xml:space="preserve">Metabolomics can become a follow-up study with proper sample-level matching and targeted hypothesis testing.</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The correct future approach would be to design a study where metabolomics and metagenomics are conducted on the same sample (not pooled vs. individual), with pre-specified hypotheses about which metabolite classes to test (e.g. pharmaceuticals only, not all 645 features), giving adequate power for FDR-corrected claims.</w:t>
      </w:r>
    </w:p>
    <w:p>
      <w:r>
        <w:br w:type="page"/>
      </w:r>
    </w:p>
    <w:p>
      <w:pPr>
        <w:pStyle w:val="Heading1"/>
        <w:spacing w:after="200" w:before="480"/>
      </w:pPr>
      <w:r>
        <w:rPr>
          <w:rFonts w:ascii="Times New Roman" w:cs="Times New Roman" w:eastAsia="Times New Roman" w:hAnsi="Times New Roman"/>
          <w:b/>
          <w:bCs/>
          <w:sz w:val="32"/>
          <w:szCs w:val="32"/>
        </w:rPr>
        <w:t xml:space="preserve">12. Evaluations of Alternative Tools and Models</w:t>
      </w:r>
    </w:p>
    <w:p>
      <w:pPr>
        <w:pStyle w:val="Heading2"/>
        <w:spacing w:after="120" w:before="320"/>
      </w:pPr>
      <w:r>
        <w:rPr>
          <w:rFonts w:ascii="Times New Roman" w:cs="Times New Roman" w:eastAsia="Times New Roman" w:hAnsi="Times New Roman"/>
          <w:b/>
          <w:bCs/>
          <w:sz w:val="28"/>
          <w:szCs w:val="28"/>
        </w:rPr>
        <w:t xml:space="preserve">12.1 Evo2: Genomic Foundation Model</w:t>
      </w:r>
    </w:p>
    <w:p>
      <w:pPr>
        <w:spacing w:after="160" w:line="360" w:lineRule="auto"/>
        <w:ind w:firstLine="720"/>
        <w:jc w:val="both"/>
      </w:pPr>
      <w:r>
        <w:rPr>
          <w:rFonts w:ascii="Times New Roman" w:cs="Times New Roman" w:eastAsia="Times New Roman" w:hAnsi="Times New Roman"/>
          <w:sz w:val="24"/>
          <w:szCs w:val="24"/>
        </w:rPr>
        <w:t xml:space="preserve">Evo2 (Arc Institute, 2024) is a biological foundation model trained on 9.3 trillion nucleotides from complete prokaryotic and eukaryotic reference genome assemblies, available in 7B and 40B parameter versions.</w:t>
      </w:r>
    </w:p>
    <w:p>
      <w:pPr>
        <w:spacing w:after="160" w:line="360" w:lineRule="auto"/>
        <w:ind w:firstLine="720"/>
        <w:jc w:val="both"/>
      </w:pPr>
      <w:r>
        <w:rPr>
          <w:rFonts w:ascii="Times New Roman" w:cs="Times New Roman" w:eastAsia="Times New Roman" w:hAnsi="Times New Roman"/>
          <w:sz w:val="24"/>
          <w:szCs w:val="24"/>
        </w:rPr>
        <w:t xml:space="preserve">Assessment of suitability for this study:</w:t>
      </w:r>
    </w:p>
    <w:p>
      <w:pPr>
        <w:pStyle w:val="ListParagraph"/>
        <w:numPr>
          <w:ilvl w:val="0"/>
          <w:numId w:val="1"/>
        </w:numPr>
        <w:spacing w:after="80"/>
        <w:ind w:left="720"/>
      </w:pPr>
      <w:r>
        <w:rPr>
          <w:rFonts w:ascii="Times New Roman" w:cs="Times New Roman" w:eastAsia="Times New Roman" w:hAnsi="Times New Roman"/>
          <w:sz w:val="24"/>
          <w:szCs w:val="24"/>
        </w:rPr>
        <w:t xml:space="preserve">Training data: Complete genome assemblies — fundamentally different modality from shotgun reads</w:t>
      </w:r>
    </w:p>
    <w:p>
      <w:pPr>
        <w:pStyle w:val="ListParagraph"/>
        <w:numPr>
          <w:ilvl w:val="0"/>
          <w:numId w:val="1"/>
        </w:numPr>
        <w:spacing w:after="80"/>
        <w:ind w:left="720"/>
      </w:pPr>
      <w:r>
        <w:rPr>
          <w:rFonts w:ascii="Times New Roman" w:cs="Times New Roman" w:eastAsia="Times New Roman" w:hAnsi="Times New Roman"/>
          <w:sz w:val="24"/>
          <w:szCs w:val="24"/>
        </w:rPr>
        <w:t xml:space="preserve">Loss weighting: Down-weights repetitive regions — wastewater metagenomics is dominated by intergenic and repeat-containing regions</w:t>
      </w:r>
    </w:p>
    <w:p>
      <w:pPr>
        <w:pStyle w:val="ListParagraph"/>
        <w:numPr>
          <w:ilvl w:val="0"/>
          <w:numId w:val="1"/>
        </w:numPr>
        <w:spacing w:after="80"/>
        <w:ind w:left="720"/>
      </w:pPr>
      <w:r>
        <w:rPr>
          <w:rFonts w:ascii="Times New Roman" w:cs="Times New Roman" w:eastAsia="Times New Roman" w:hAnsi="Times New Roman"/>
          <w:sz w:val="24"/>
          <w:szCs w:val="24"/>
        </w:rPr>
        <w:t xml:space="preserve">Architecture: StripedHyena 2, single-nucleotide resolution (char-level, not BPE)</w:t>
      </w:r>
    </w:p>
    <w:p>
      <w:pPr>
        <w:pStyle w:val="ListParagraph"/>
        <w:numPr>
          <w:ilvl w:val="0"/>
          <w:numId w:val="1"/>
        </w:numPr>
        <w:spacing w:after="80"/>
        <w:ind w:left="720"/>
      </w:pPr>
      <w:r>
        <w:rPr>
          <w:rFonts w:ascii="Times New Roman" w:cs="Times New Roman" w:eastAsia="Times New Roman" w:hAnsi="Times New Roman"/>
          <w:sz w:val="24"/>
          <w:szCs w:val="24"/>
        </w:rPr>
        <w:t xml:space="preserve">Excluded eukaryotic viruses from training — would perform poorly on novel viral sequences in wastewater</w:t>
      </w:r>
    </w:p>
    <w:p>
      <w:pPr>
        <w:pStyle w:val="ListParagraph"/>
        <w:numPr>
          <w:ilvl w:val="0"/>
          <w:numId w:val="1"/>
        </w:numPr>
        <w:spacing w:after="80"/>
        <w:ind w:left="720"/>
      </w:pPr>
      <w:r>
        <w:rPr>
          <w:rFonts w:ascii="Times New Roman" w:cs="Times New Roman" w:eastAsia="Times New Roman" w:hAnsi="Times New Roman"/>
          <w:sz w:val="24"/>
          <w:szCs w:val="24"/>
        </w:rPr>
        <w:t xml:space="preserve">CE loss values not comparable to METAGENE-1 (different tokenisation, different vocabulary)</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Conclusion: Evo2 would give HIGHER CE loss than METAGENE-1 on wastewater reads, not lower, because it was trained on complete reference genomes — a data modality even further from wastewater shotgun reads than METAGENE-1's training data. Evo2 is not appropriate for this study. METAGENE-1 is the only foundation model trained on the same data modality (wastewater shotgun reads) as the evaluation data.</w:t>
      </w:r>
    </w:p>
    <w:p>
      <w:pPr>
        <w:pStyle w:val="Heading2"/>
        <w:spacing w:after="120" w:before="320"/>
      </w:pPr>
      <w:r>
        <w:rPr>
          <w:rFonts w:ascii="Times New Roman" w:cs="Times New Roman" w:eastAsia="Times New Roman" w:hAnsi="Times New Roman"/>
          <w:b/>
          <w:bCs/>
          <w:sz w:val="28"/>
          <w:szCs w:val="28"/>
        </w:rPr>
        <w:t xml:space="preserve">12.2 MAMMAL: Multi-Modal Biological Foundation Model</w:t>
      </w:r>
    </w:p>
    <w:p>
      <w:pPr>
        <w:spacing w:after="160" w:line="360" w:lineRule="auto"/>
        <w:ind w:firstLine="720"/>
        <w:jc w:val="both"/>
      </w:pPr>
      <w:r>
        <w:rPr>
          <w:rFonts w:ascii="Times New Roman" w:cs="Times New Roman" w:eastAsia="Times New Roman" w:hAnsi="Times New Roman"/>
          <w:sz w:val="24"/>
          <w:szCs w:val="24"/>
        </w:rPr>
        <w:t xml:space="preserve">MAMMAL (IBM, 2024; arXiv) is a multi-modal foundation model trained on 2 billion samples across proteins, small molecules, and gene expression data. It achieves state-of-the-art performance on 9 of 11 evaluated downstream tasks including drug-target interaction, protein-protein interaction, and molecular generation.</w:t>
      </w:r>
    </w:p>
    <w:p>
      <w:pPr>
        <w:spacing w:after="160" w:line="360" w:lineRule="auto"/>
        <w:ind w:firstLine="720"/>
        <w:jc w:val="both"/>
      </w:pPr>
      <w:r>
        <w:rPr>
          <w:rFonts w:ascii="Times New Roman" w:cs="Times New Roman" w:eastAsia="Times New Roman" w:hAnsi="Times New Roman"/>
          <w:sz w:val="24"/>
          <w:szCs w:val="24"/>
        </w:rPr>
        <w:t xml:space="preserve">Assessment of suitability:</w:t>
      </w:r>
    </w:p>
    <w:p>
      <w:pPr>
        <w:pStyle w:val="ListParagraph"/>
        <w:numPr>
          <w:ilvl w:val="0"/>
          <w:numId w:val="1"/>
        </w:numPr>
        <w:spacing w:after="80"/>
        <w:ind w:left="720"/>
      </w:pPr>
      <w:r>
        <w:rPr>
          <w:rFonts w:ascii="Times New Roman" w:cs="Times New Roman" w:eastAsia="Times New Roman" w:hAnsi="Times New Roman"/>
          <w:sz w:val="24"/>
          <w:szCs w:val="24"/>
        </w:rPr>
        <w:t xml:space="preserve">MAMMAL processes proteins, small molecules, and transcriptomics — NOT raw DNA/RNA sequences</w:t>
      </w:r>
    </w:p>
    <w:p>
      <w:pPr>
        <w:pStyle w:val="ListParagraph"/>
        <w:numPr>
          <w:ilvl w:val="0"/>
          <w:numId w:val="1"/>
        </w:numPr>
        <w:spacing w:after="80"/>
        <w:ind w:left="720"/>
      </w:pPr>
      <w:r>
        <w:rPr>
          <w:rFonts w:ascii="Times New Roman" w:cs="Times New Roman" w:eastAsia="Times New Roman" w:hAnsi="Times New Roman"/>
          <w:sz w:val="24"/>
          <w:szCs w:val="24"/>
        </w:rPr>
        <w:t xml:space="preserve">Cannot directly process 150bp shotgun reads</w:t>
      </w:r>
    </w:p>
    <w:p>
      <w:pPr>
        <w:pStyle w:val="ListParagraph"/>
        <w:numPr>
          <w:ilvl w:val="0"/>
          <w:numId w:val="1"/>
        </w:numPr>
        <w:spacing w:after="80"/>
        <w:ind w:left="720"/>
      </w:pPr>
      <w:r>
        <w:rPr>
          <w:rFonts w:ascii="Times New Roman" w:cs="Times New Roman" w:eastAsia="Times New Roman" w:hAnsi="Times New Roman"/>
          <w:sz w:val="24"/>
          <w:szCs w:val="24"/>
        </w:rPr>
        <w:t xml:space="preserve">Would require assembly → ORF prediction → protein translation as preprocessing pipeline</w:t>
      </w:r>
    </w:p>
    <w:p>
      <w:pPr>
        <w:pStyle w:val="ListParagraph"/>
        <w:numPr>
          <w:ilvl w:val="0"/>
          <w:numId w:val="1"/>
        </w:numPr>
        <w:spacing w:after="80"/>
        <w:ind w:left="720"/>
      </w:pPr>
      <w:r>
        <w:rPr>
          <w:rFonts w:ascii="Times New Roman" w:cs="Times New Roman" w:eastAsia="Times New Roman" w:hAnsi="Times New Roman"/>
          <w:sz w:val="24"/>
          <w:szCs w:val="24"/>
        </w:rPr>
        <w:t xml:space="preserve">Value-adding only for drug-target interaction prediction on unannotated proteins (not covered by eggNOG-mapper + CARD)</w:t>
      </w:r>
    </w:p>
    <w:p>
      <w:pPr>
        <w:pStyle w:val="ListParagraph"/>
        <w:numPr>
          <w:ilvl w:val="0"/>
          <w:numId w:val="1"/>
        </w:numPr>
        <w:spacing w:after="80"/>
        <w:ind w:left="720"/>
      </w:pPr>
      <w:r>
        <w:rPr>
          <w:rFonts w:ascii="Times New Roman" w:cs="Times New Roman" w:eastAsia="Times New Roman" w:hAnsi="Times New Roman"/>
          <w:sz w:val="24"/>
          <w:szCs w:val="24"/>
        </w:rPr>
        <w:t xml:space="preserve">eggNOG-mapper is faster, better validated, and more appropriate for standard functional annotation</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Conclusion: MAMMAL is not relevant for shotgun read anomaly scoring. The only legitimate use case would be as a "last-resort annotator" for proteins assembled from the wastewater data that defeat all homology-based tools (eggNOG, CARD, DIAMOND). This is a narrow application that would require additional assembly and annotation steps not currently done in this study. Decision: MAMMAL set aside as not relevant to current study scope.</w:t>
      </w:r>
    </w:p>
    <w:p>
      <w:pPr>
        <w:pStyle w:val="Heading2"/>
        <w:spacing w:after="120" w:before="320"/>
      </w:pPr>
      <w:r>
        <w:rPr>
          <w:rFonts w:ascii="Times New Roman" w:cs="Times New Roman" w:eastAsia="Times New Roman" w:hAnsi="Times New Roman"/>
          <w:b/>
          <w:bCs/>
          <w:sz w:val="28"/>
          <w:szCs w:val="28"/>
        </w:rPr>
        <w:t xml:space="preserve">12.3 Why eggNOG-mapper Beats MAMMAL for Functional Annotation</w:t>
      </w:r>
    </w:p>
    <w:p>
      <w:pPr>
        <w:spacing w:after="160" w:line="360" w:lineRule="auto"/>
        <w:ind w:firstLine="720"/>
        <w:jc w:val="both"/>
      </w:pPr>
      <w:r>
        <w:rPr>
          <w:rFonts w:ascii="Times New Roman" w:cs="Times New Roman" w:eastAsia="Times New Roman" w:hAnsi="Times New Roman"/>
          <w:sz w:val="24"/>
          <w:szCs w:val="24"/>
        </w:rPr>
        <w:t xml:space="preserve">A direct comparison was made between eggNOG-mapper and MAMMAL for functional annotation of assembled proteins from wastewater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560"/>
      </w:tblGrid>
      <w:tr>
        <w:trPr>
          <w:tblHeader/>
        </w:trPr>
        <w:tc>
          <w:tcPr>
            <w:tcW w:type="dxa" w:w="2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Task</w:t>
            </w:r>
          </w:p>
        </w:tc>
        <w:tc>
          <w:tcPr>
            <w:tcW w:type="dxa" w:w="2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eggNOG-mapper</w:t>
            </w:r>
          </w:p>
        </w:tc>
        <w:tc>
          <w:tcPr>
            <w:tcW w:type="dxa" w:w="35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MAMMAL</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Known protein annotation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Excellent — curated databases</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Worse — no curated DB</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AMR gene detection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Via CARD integration</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Not trained for this</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Speed at scale (millions of proteins)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Fast</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100× slower</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Validation in metagenomics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Extensively validated</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Never tested</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Novel protein (no database hit)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Returns nothing</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Uncertain attempt via DTI</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Drug-target interaction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Cannot do</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Trained for this</w:t>
            </w:r>
          </w:p>
        </w:tc>
      </w:tr>
    </w:tbl>
    <w:p>
      <w:pPr>
        <w:spacing w:after="200" w:before="60"/>
        <w:jc w:val="center"/>
      </w:pPr>
      <w:r>
        <w:rPr>
          <w:rFonts w:ascii="Times New Roman" w:cs="Times New Roman" w:eastAsia="Times New Roman" w:hAnsi="Times New Roman"/>
          <w:i/>
          <w:iCs/>
          <w:sz w:val="20"/>
          <w:szCs w:val="20"/>
        </w:rPr>
        <w:t xml:space="preserve">Table 12.1. eggNOG-mapper vs MAMMAL for functional annotation of wastewater-assembled proteins. MAMMAL adds value only for the narrow case of unannotated proteins with predicted drug-target binding.</w:t>
      </w:r>
    </w:p>
    <w:p>
      <w:r>
        <w:br w:type="page"/>
      </w:r>
    </w:p>
    <w:p>
      <w:pPr>
        <w:pStyle w:val="Heading1"/>
        <w:spacing w:after="200" w:before="480"/>
      </w:pPr>
      <w:r>
        <w:rPr>
          <w:rFonts w:ascii="Times New Roman" w:cs="Times New Roman" w:eastAsia="Times New Roman" w:hAnsi="Times New Roman"/>
          <w:b/>
          <w:bCs/>
          <w:sz w:val="32"/>
          <w:szCs w:val="32"/>
        </w:rPr>
        <w:t xml:space="preserve">13. Pathogen Detection Considerations</w:t>
      </w:r>
    </w:p>
    <w:p>
      <w:pPr>
        <w:pStyle w:val="Heading2"/>
        <w:spacing w:after="120" w:before="320"/>
      </w:pPr>
      <w:r>
        <w:rPr>
          <w:rFonts w:ascii="Times New Roman" w:cs="Times New Roman" w:eastAsia="Times New Roman" w:hAnsi="Times New Roman"/>
          <w:b/>
          <w:bCs/>
          <w:sz w:val="28"/>
          <w:szCs w:val="28"/>
        </w:rPr>
        <w:t xml:space="preserve">13.1 Why Embedding-Based Detection Is Premature</w:t>
      </w:r>
    </w:p>
    <w:p>
      <w:pPr>
        <w:spacing w:after="160" w:line="360" w:lineRule="auto"/>
        <w:ind w:firstLine="720"/>
        <w:jc w:val="both"/>
      </w:pPr>
      <w:r>
        <w:rPr>
          <w:rFonts w:ascii="Times New Roman" w:cs="Times New Roman" w:eastAsia="Times New Roman" w:hAnsi="Times New Roman"/>
          <w:sz w:val="24"/>
          <w:szCs w:val="24"/>
        </w:rPr>
        <w:t xml:space="preserve">A natural extension of this study is to use METAGENE-1 for pathogen detection in the Gujarat wastewater data. METAGENE-1's developers demonstrated viral identification capabilities including SARS-CoV-2 variant detection. The question is whether these capabilities extend to Indian wastewater.</w:t>
      </w:r>
    </w:p>
    <w:p>
      <w:pPr>
        <w:spacing w:after="160" w:line="360" w:lineRule="auto"/>
        <w:ind w:firstLine="720"/>
        <w:jc w:val="both"/>
      </w:pPr>
      <w:r>
        <w:rPr>
          <w:rFonts w:ascii="Times New Roman" w:cs="Times New Roman" w:eastAsia="Times New Roman" w:hAnsi="Times New Roman"/>
          <w:sz w:val="24"/>
          <w:szCs w:val="24"/>
        </w:rPr>
        <w:t xml:space="preserve">The critical issue: METAGENE-1's internal representations (embeddings — hidden states from any layer of the model) were learned to compress US wastewater sequence statistics. When an Indian wastewater read passes through the model, its embedding reflects "how this sequence looks through the lens of US wastewater." The CE loss evidence already shows this is distorted: the model cannot predict Indian sequences well, meaning its internal representations of them are unreliable.</w:t>
      </w:r>
    </w:p>
    <w:p>
      <w:pPr>
        <w:spacing w:after="160" w:line="360" w:lineRule="auto"/>
        <w:ind w:firstLine="720"/>
        <w:jc w:val="both"/>
      </w:pPr>
      <w:r>
        <w:rPr>
          <w:rFonts w:ascii="Times New Roman" w:cs="Times New Roman" w:eastAsia="Times New Roman" w:hAnsi="Times New Roman"/>
          <w:sz w:val="24"/>
          <w:szCs w:val="24"/>
        </w:rPr>
        <w:t xml:space="preserve">Using cosine similarity between Gujarat read embeddings and pathogen reference embeddings assumes both are in the same representational space. They are not — Gujarat reads are out-of-distribution, and the embedding space was calibrated on US sequences. A Gujarat Vibrio cholerae read might embed far from a reference V. cholerae sequence because the model never learned Indian V. cholerae sequence statistics. The similarity score would reflect US-centric training bias, not biological similarity.</w:t>
      </w:r>
    </w:p>
    <w:p>
      <w:pPr>
        <w:spacing w:after="160" w:line="360" w:lineRule="auto"/>
        <w:ind w:firstLine="720"/>
        <w:jc w:val="both"/>
      </w:pPr>
      <w:r>
        <w:rPr>
          <w:rFonts w:ascii="Times New Roman" w:cs="Times New Roman" w:eastAsia="Times New Roman" w:hAnsi="Times New Roman"/>
          <w:sz w:val="24"/>
          <w:szCs w:val="24"/>
        </w:rPr>
        <w:t xml:space="preserve">Without positive controls (samples where a pathogen is known to be present at known abundance), there is no way to validate whether embedding-based detection works. Any results produced would be uninterpretable.</w:t>
      </w:r>
    </w:p>
    <w:p>
      <w:pPr>
        <w:pStyle w:val="Heading2"/>
        <w:spacing w:after="120" w:before="320"/>
      </w:pPr>
      <w:r>
        <w:rPr>
          <w:rFonts w:ascii="Times New Roman" w:cs="Times New Roman" w:eastAsia="Times New Roman" w:hAnsi="Times New Roman"/>
          <w:b/>
          <w:bCs/>
          <w:sz w:val="28"/>
          <w:szCs w:val="28"/>
        </w:rPr>
        <w:t xml:space="preserve">13.2 The Correct Approach for Pathogen Detection</w:t>
      </w:r>
    </w:p>
    <w:p>
      <w:pPr>
        <w:spacing w:after="160" w:line="360" w:lineRule="auto"/>
        <w:ind w:firstLine="720"/>
        <w:jc w:val="both"/>
      </w:pPr>
      <w:r>
        <w:rPr>
          <w:rFonts w:ascii="Times New Roman" w:cs="Times New Roman" w:eastAsia="Times New Roman" w:hAnsi="Times New Roman"/>
          <w:sz w:val="24"/>
          <w:szCs w:val="24"/>
        </w:rPr>
        <w:t xml:space="preserve">The scientifically sound approach combines METAGENE-1 for what it is validated for (anomaly scoring) with conventional reference-based tools for pathogen detection:</w:t>
      </w:r>
    </w:p>
    <w:p>
      <w:pPr>
        <w:pStyle w:val="ListParagraph"/>
        <w:numPr>
          <w:ilvl w:val="0"/>
          <w:numId w:val="1"/>
        </w:numPr>
        <w:spacing w:after="80"/>
        <w:ind w:left="720"/>
      </w:pPr>
      <w:r>
        <w:rPr>
          <w:rFonts w:ascii="Times New Roman" w:cs="Times New Roman" w:eastAsia="Times New Roman" w:hAnsi="Times New Roman"/>
          <w:sz w:val="24"/>
          <w:szCs w:val="24"/>
        </w:rPr>
        <w:t xml:space="preserve">Step 1: Kraken2 + Bracken taxonomic profiling on all 95 samples — reports which pathogen species are present and at what abundance. You already have Kraken2 running; adding Bracken gives abundance estimates.</w:t>
      </w:r>
    </w:p>
    <w:p>
      <w:pPr>
        <w:pStyle w:val="ListParagraph"/>
        <w:numPr>
          <w:ilvl w:val="0"/>
          <w:numId w:val="1"/>
        </w:numPr>
        <w:spacing w:after="80"/>
        <w:ind w:left="720"/>
      </w:pPr>
      <w:r>
        <w:rPr>
          <w:rFonts w:ascii="Times New Roman" w:cs="Times New Roman" w:eastAsia="Times New Roman" w:hAnsi="Times New Roman"/>
          <w:sz w:val="24"/>
          <w:szCs w:val="24"/>
        </w:rPr>
        <w:t xml:space="preserve">Step 2: Reference-based alignment for specific pathogens of interest — align against WHO priority pathogen genomes (cholera, typhoid, AMR E. coli, rotavirus, norovirus) using Bowtie2 or BWA-MEM2.</w:t>
      </w:r>
    </w:p>
    <w:p>
      <w:pPr>
        <w:pStyle w:val="ListParagraph"/>
        <w:numPr>
          <w:ilvl w:val="0"/>
          <w:numId w:val="1"/>
        </w:numPr>
        <w:spacing w:after="80"/>
        <w:ind w:left="720"/>
      </w:pPr>
      <w:r>
        <w:rPr>
          <w:rFonts w:ascii="Times New Roman" w:cs="Times New Roman" w:eastAsia="Times New Roman" w:hAnsi="Times New Roman"/>
          <w:sz w:val="24"/>
          <w:szCs w:val="24"/>
        </w:rPr>
        <w:t xml:space="preserve">Step 3: Connect to METAGENE-1 findings — does Ahmedabad Monsoon (highest CE loss) also show highest pathogen diversity by Kraken2? Does the seasonal CE loss pattern correlate with pathogen abundance patterns?</w:t>
      </w:r>
    </w:p>
    <w:p>
      <w:pPr>
        <w:spacing w:after="80"/>
      </w:pPr>
    </w:p>
    <w:p>
      <w:pPr>
        <w:spacing w:after="160" w:line="360" w:lineRule="auto"/>
        <w:ind w:firstLine="720"/>
        <w:jc w:val="both"/>
      </w:pPr>
      <w:r>
        <w:rPr>
          <w:rFonts w:ascii="Times New Roman" w:cs="Times New Roman" w:eastAsia="Times New Roman" w:hAnsi="Times New Roman"/>
          <w:sz w:val="24"/>
          <w:szCs w:val="24"/>
        </w:rPr>
        <w:t xml:space="preserve">This connection between two independently validated methods (METAGENE-1 CE loss and Kraken2 pathogen detection) would be a publishable finding without requiring unvalidated embedding-based methods. The paper claim becomes: "Samples identified as most anomalous by METAGENE-1 CE loss scoring also showed the highest pathogen species richness by Kraken2 classification, consistent with CE loss elevation reflecting genuine community novelty including pathogen diversity."</w:t>
      </w:r>
    </w:p>
    <w:p>
      <w:pPr>
        <w:pStyle w:val="Heading2"/>
        <w:spacing w:after="120" w:before="320"/>
      </w:pPr>
      <w:r>
        <w:rPr>
          <w:rFonts w:ascii="Times New Roman" w:cs="Times New Roman" w:eastAsia="Times New Roman" w:hAnsi="Times New Roman"/>
          <w:b/>
          <w:bCs/>
          <w:sz w:val="28"/>
          <w:szCs w:val="28"/>
        </w:rPr>
        <w:t xml:space="preserve">13.3 Why Fine-Tuning Does Not Fix the Embedding Problem</w:t>
      </w:r>
    </w:p>
    <w:p>
      <w:pPr>
        <w:spacing w:after="160" w:line="360" w:lineRule="auto"/>
        <w:ind w:firstLine="720"/>
        <w:jc w:val="both"/>
      </w:pPr>
      <w:r>
        <w:rPr>
          <w:rFonts w:ascii="Times New Roman" w:cs="Times New Roman" w:eastAsia="Times New Roman" w:hAnsi="Times New Roman"/>
          <w:sz w:val="24"/>
          <w:szCs w:val="24"/>
        </w:rPr>
        <w:t xml:space="preserve">The India-METAGENE v6 model was adapted to Indian wastewater — but only 0.96% of parameters were updated via LoRA. The embedding space (output of all layers) is still predominantly determined by the 99.04% frozen US-trained parameters. Fine-tuning with LoRA does not correct the embedding space distortion for out-of-distribution sequences. Full fine-tuning would be required to produce embeddings reliable enough for similarity-based pathogen detection.</w:t>
      </w:r>
    </w:p>
    <w:p>
      <w:r>
        <w:br w:type="page"/>
      </w:r>
    </w:p>
    <w:p>
      <w:pPr>
        <w:pStyle w:val="Heading1"/>
        <w:spacing w:after="200" w:before="480"/>
      </w:pPr>
      <w:r>
        <w:rPr>
          <w:rFonts w:ascii="Times New Roman" w:cs="Times New Roman" w:eastAsia="Times New Roman" w:hAnsi="Times New Roman"/>
          <w:b/>
          <w:bCs/>
          <w:sz w:val="32"/>
          <w:szCs w:val="32"/>
        </w:rPr>
        <w:t xml:space="preserve">14. Complete Study Summary: What Was Done, Why, and What Was Found</w:t>
      </w:r>
    </w:p>
    <w:p>
      <w:pPr>
        <w:pStyle w:val="Heading2"/>
        <w:spacing w:after="120" w:before="320"/>
      </w:pPr>
      <w:r>
        <w:rPr>
          <w:rFonts w:ascii="Times New Roman" w:cs="Times New Roman" w:eastAsia="Times New Roman" w:hAnsi="Times New Roman"/>
          <w:b/>
          <w:bCs/>
          <w:sz w:val="28"/>
          <w:szCs w:val="28"/>
        </w:rPr>
        <w:t xml:space="preserve">14.1 Chronological Summary of All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3360"/>
      </w:tblGrid>
      <w:tr>
        <w:trPr>
          <w:tblHeader/>
        </w:trPr>
        <w:tc>
          <w:tcPr>
            <w:tcW w:type="dxa" w:w="8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w:t>
            </w:r>
          </w:p>
        </w:tc>
        <w:tc>
          <w:tcPr>
            <w:tcW w:type="dxa" w:w="22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Analysis</w:t>
            </w:r>
          </w:p>
        </w:tc>
        <w:tc>
          <w:tcPr>
            <w:tcW w:type="dxa" w:w="24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Rationale</w:t>
            </w:r>
          </w:p>
        </w:tc>
        <w:tc>
          <w:tcPr>
            <w:tcW w:type="dxa" w:w="33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Key Finding</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Baseline anomaly scoring (95 Gujarat samples)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Quantify geographic distribution shift</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Gujarat mean CE loss 4.865 ± 0.066</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Human genome validation (synthetic chr1)</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Validate pipeline against published reference</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CE loss 11.72 — too high; synthetic fragments contain repeats</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Human genome validation (NA12878 WGS reads)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Correct approach using real sequenced reads</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CE loss 5.490 ± 0.454 vs Liu ref 5.22 (Δ=0.270) — VALIDATED</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US WW external scoring (Rothman 2020)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Within-study US control for geographic comparison</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US mean 4.593 ± 0.053; geographic gap 0.272 CE units (p=0.020)</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11 systematic replication experiments (US data)</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Test whether gap is pipeline artefact</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Max_length has no effect; float16=float32; RNA scores 16.4</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6</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11 experiments applied to Gujarat data</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Confirm gap robustness across configurations</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Gap positive in every configuration (mean +0.391 ± 0.139)</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7</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NAO data scoring (Jeff Kaufman lab)</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Test whether 1.24 reproducible from co-author data</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NAO scores 5.07–5.10 — confirms 1.24 is training-time metric</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8</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CE loss distribution analysis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Understand where gap concentrates in distribution</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Gap is in LOW tail: Gujarat 2.3% vs US 10% below CE loss 2.0</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9</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Two-way ANOVA (city × season, n=95)</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Statistical characterisation of within-Gujarat variation</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Season η²=0.491; city η²=0.355; significant interaction p&lt;0.0001</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10</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LoRA fine-tuning v4 (rank 8, T4 GPU)</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Test geographic adaptation feasibility</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Val loss 4.8046, improvement 1.34%, d=0.726, p=0.011</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11</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LoRA fine-tuning v6 (rank 32, A100 GPU)</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Test whether higher rank gives better adaptation</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Val loss 4.7890, improvement 1.66%, d=1.030, p=0.0009</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Per-sample fine-tuning analysis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Identify which samples respond to adaptation</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PreWinter best; AAMO_R1 (Ahmedabad Monsoon) resists all adaptation</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Peer review simulation (12 concerns)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Identify publication weaknesses before submission</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Major revision needed; 1.24 framing, ANOVA df, ablation confounds</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Paper revision incorporating all corrections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Produce publication-ready manuscript</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Revised Word document with corrected framing throughout</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Metabolomics integration (LCMS, 505 samples)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Validate CE loss with independent chemical method</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Pharmaceutical dilution story coherent; insufficient power (n=16); set aside</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16</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Evo2 assessment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Could alternative models give lower CE loss?</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Not appropriate; different data modality; CE loss not comparable</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17</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MAMMAL assessment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Could multi-modal model add value?</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Not relevant for shotgun reads; only useful for DTI on unannotated proteins</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18</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Pathogen detection feasibility assessment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Can METAGENE-1 detect pathogens in Gujarat data?</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Embeddings unreliable out-of-distribution; use Kraken2 + Bracken instead</w:t>
            </w:r>
          </w:p>
        </w:tc>
      </w:tr>
    </w:tbl>
    <w:p>
      <w:pPr>
        <w:spacing w:after="200" w:before="60"/>
        <w:jc w:val="center"/>
      </w:pPr>
      <w:r>
        <w:rPr>
          <w:rFonts w:ascii="Times New Roman" w:cs="Times New Roman" w:eastAsia="Times New Roman" w:hAnsi="Times New Roman"/>
          <w:i/>
          <w:iCs/>
          <w:sz w:val="20"/>
          <w:szCs w:val="20"/>
        </w:rPr>
        <w:t xml:space="preserve">Table 14.1. Complete chronological summary of all 18 analyses conducted in this study.</w:t>
      </w:r>
    </w:p>
    <w:p>
      <w:pPr>
        <w:pStyle w:val="Heading2"/>
        <w:spacing w:after="120" w:before="320"/>
      </w:pPr>
      <w:r>
        <w:rPr>
          <w:rFonts w:ascii="Times New Roman" w:cs="Times New Roman" w:eastAsia="Times New Roman" w:hAnsi="Times New Roman"/>
          <w:b/>
          <w:bCs/>
          <w:sz w:val="28"/>
          <w:szCs w:val="28"/>
        </w:rPr>
        <w:t xml:space="preserve">14.2 Final Confirmed Findings</w:t>
      </w:r>
    </w:p>
    <w:p>
      <w:pPr>
        <w:pStyle w:val="ListParagraph"/>
        <w:numPr>
          <w:ilvl w:val="0"/>
          <w:numId w:val="1"/>
        </w:numPr>
        <w:spacing w:after="80"/>
        <w:ind w:left="720"/>
      </w:pPr>
      <w:r>
        <w:rPr>
          <w:rFonts w:ascii="Times New Roman" w:cs="Times New Roman" w:eastAsia="Times New Roman" w:hAnsi="Times New Roman"/>
          <w:sz w:val="24"/>
          <w:szCs w:val="24"/>
        </w:rPr>
        <w:t xml:space="preserve">METAGENE-1 shows a significant, robust geographic distribution shift on Indian urban wastewater: Gujarat CE loss 4.865 vs US external 4.593, gap 0.272 CE units (6%), p=0.020, d=4.92, positive across all 11 pipeline configurations tested.</w:t>
      </w:r>
    </w:p>
    <w:p>
      <w:pPr>
        <w:pStyle w:val="ListParagraph"/>
        <w:numPr>
          <w:ilvl w:val="0"/>
          <w:numId w:val="1"/>
        </w:numPr>
        <w:spacing w:after="80"/>
        <w:ind w:left="720"/>
      </w:pPr>
      <w:r>
        <w:rPr>
          <w:rFonts w:ascii="Times New Roman" w:cs="Times New Roman" w:eastAsia="Times New Roman" w:hAnsi="Times New Roman"/>
          <w:sz w:val="24"/>
          <w:szCs w:val="24"/>
        </w:rPr>
        <w:t xml:space="preserve">The Liu et al. published CE loss of 1.24 is irreproducible from the released model checkpoint on any external data, including data from the co-authors' own laboratory. It is a training-time memorisation metric, not an evaluable benchmark.</w:t>
      </w:r>
    </w:p>
    <w:p>
      <w:pPr>
        <w:pStyle w:val="ListParagraph"/>
        <w:numPr>
          <w:ilvl w:val="0"/>
          <w:numId w:val="1"/>
        </w:numPr>
        <w:spacing w:after="80"/>
        <w:ind w:left="720"/>
      </w:pPr>
      <w:r>
        <w:rPr>
          <w:rFonts w:ascii="Times New Roman" w:cs="Times New Roman" w:eastAsia="Times New Roman" w:hAnsi="Times New Roman"/>
          <w:sz w:val="24"/>
          <w:szCs w:val="24"/>
        </w:rPr>
        <w:t xml:space="preserve">The geographic gap is concentrated in the lower tail: Gujarat has 4.5× fewer reads below CE loss 2.0 (2.3% vs ~10%), indicating far fewer sequences familiar to the US-trained model.</w:t>
      </w:r>
    </w:p>
    <w:p>
      <w:pPr>
        <w:pStyle w:val="ListParagraph"/>
        <w:numPr>
          <w:ilvl w:val="0"/>
          <w:numId w:val="1"/>
        </w:numPr>
        <w:spacing w:after="80"/>
        <w:ind w:left="720"/>
      </w:pPr>
      <w:r>
        <w:rPr>
          <w:rFonts w:ascii="Times New Roman" w:cs="Times New Roman" w:eastAsia="Times New Roman" w:hAnsi="Times New Roman"/>
          <w:sz w:val="24"/>
          <w:szCs w:val="24"/>
        </w:rPr>
        <w:t xml:space="preserve">Seasonal variation explains 49.1% of within-Gujarat CE loss variance; city effects explain 35.5%. City × season interaction is significant, indicating seasonal patterns differ across cities.</w:t>
      </w:r>
    </w:p>
    <w:p>
      <w:pPr>
        <w:pStyle w:val="ListParagraph"/>
        <w:numPr>
          <w:ilvl w:val="0"/>
          <w:numId w:val="1"/>
        </w:numPr>
        <w:spacing w:after="80"/>
        <w:ind w:left="720"/>
      </w:pPr>
      <w:r>
        <w:rPr>
          <w:rFonts w:ascii="Times New Roman" w:cs="Times New Roman" w:eastAsia="Times New Roman" w:hAnsi="Times New Roman"/>
          <w:sz w:val="24"/>
          <w:szCs w:val="24"/>
        </w:rPr>
        <w:t xml:space="preserve">Ahmedabad Monsoon is the most anomalous city-season in every analysis — highest CE loss, most resistant to fine-tuning adaptation.</w:t>
      </w:r>
    </w:p>
    <w:p>
      <w:pPr>
        <w:pStyle w:val="ListParagraph"/>
        <w:numPr>
          <w:ilvl w:val="0"/>
          <w:numId w:val="1"/>
        </w:numPr>
        <w:spacing w:after="80"/>
        <w:ind w:left="720"/>
      </w:pPr>
      <w:r>
        <w:rPr>
          <w:rFonts w:ascii="Times New Roman" w:cs="Times New Roman" w:eastAsia="Times New Roman" w:hAnsi="Times New Roman"/>
          <w:sz w:val="24"/>
          <w:szCs w:val="24"/>
        </w:rPr>
        <w:t xml:space="preserve">LoRA fine-tuning significantly reduces the geographic gap: rank 8 achieves d=0.726 (p=0.011), rank 32 achieves d=1.030 (p=0.0009). The improvement is significant but leaves a residual gap of 0.196 CE units.</w:t>
      </w:r>
    </w:p>
    <w:p>
      <w:pPr>
        <w:pStyle w:val="ListParagraph"/>
        <w:numPr>
          <w:ilvl w:val="0"/>
          <w:numId w:val="1"/>
        </w:numPr>
        <w:spacing w:after="80"/>
        <w:ind w:left="720"/>
      </w:pPr>
      <w:r>
        <w:rPr>
          <w:rFonts w:ascii="Times New Roman" w:cs="Times New Roman" w:eastAsia="Times New Roman" w:hAnsi="Times New Roman"/>
          <w:sz w:val="24"/>
          <w:szCs w:val="24"/>
        </w:rPr>
        <w:t xml:space="preserve">Full fine-tuning on all parameters is theoretically capable of approaching training-level loss but requires ~80–160 GPU-hours per epoch on A100 hardware and catastrophic forgetting mitigation.</w:t>
      </w:r>
    </w:p>
    <w:p>
      <w:pPr>
        <w:pStyle w:val="ListParagraph"/>
        <w:numPr>
          <w:ilvl w:val="0"/>
          <w:numId w:val="1"/>
        </w:numPr>
        <w:spacing w:after="80"/>
        <w:ind w:left="720"/>
      </w:pPr>
      <w:r>
        <w:rPr>
          <w:rFonts w:ascii="Times New Roman" w:cs="Times New Roman" w:eastAsia="Times New Roman" w:hAnsi="Times New Roman"/>
          <w:sz w:val="24"/>
          <w:szCs w:val="24"/>
        </w:rPr>
        <w:t xml:space="preserve">Evo2 and MAMMAL are not appropriate tools for this analysis. The correct alternative to METAGENE-1 for functional analysis is eggNOG-mapper + CARD + DIAMOND.</w:t>
      </w:r>
    </w:p>
    <w:p>
      <w:pPr>
        <w:pStyle w:val="ListParagraph"/>
        <w:numPr>
          <w:ilvl w:val="0"/>
          <w:numId w:val="1"/>
        </w:numPr>
        <w:spacing w:after="80"/>
        <w:ind w:left="720"/>
      </w:pPr>
      <w:r>
        <w:rPr>
          <w:rFonts w:ascii="Times New Roman" w:cs="Times New Roman" w:eastAsia="Times New Roman" w:hAnsi="Times New Roman"/>
          <w:sz w:val="24"/>
          <w:szCs w:val="24"/>
        </w:rPr>
        <w:t xml:space="preserve">Embedding-based pathogen detection is premature without positive controls and full fine-tuning. The correct approach is Kraken2 + Bracken + reference alignment, connected to CE loss findings as a secondary validation.</w:t>
      </w:r>
    </w:p>
    <w:p>
      <w:pPr>
        <w:pStyle w:val="Heading2"/>
        <w:spacing w:after="120" w:before="320"/>
      </w:pPr>
      <w:r>
        <w:rPr>
          <w:rFonts w:ascii="Times New Roman" w:cs="Times New Roman" w:eastAsia="Times New Roman" w:hAnsi="Times New Roman"/>
          <w:b/>
          <w:bCs/>
          <w:sz w:val="28"/>
          <w:szCs w:val="28"/>
        </w:rPr>
        <w:t xml:space="preserve">14.3 What Remains To Be Done</w:t>
      </w:r>
    </w:p>
    <w:p>
      <w:pPr>
        <w:pStyle w:val="ListParagraph"/>
        <w:numPr>
          <w:ilvl w:val="0"/>
          <w:numId w:val="1"/>
        </w:numPr>
        <w:spacing w:after="80"/>
        <w:ind w:left="720"/>
      </w:pPr>
      <w:r>
        <w:rPr>
          <w:rFonts w:ascii="Times New Roman" w:cs="Times New Roman" w:eastAsia="Times New Roman" w:hAnsi="Times New Roman"/>
          <w:sz w:val="24"/>
          <w:szCs w:val="24"/>
        </w:rPr>
        <w:t xml:space="preserve">Update ANOVA F-statistics with correct df from two-way ANOVA on all 95 individual samples</w:t>
      </w:r>
    </w:p>
    <w:p>
      <w:pPr>
        <w:pStyle w:val="ListParagraph"/>
        <w:numPr>
          <w:ilvl w:val="0"/>
          <w:numId w:val="1"/>
        </w:numPr>
        <w:spacing w:after="80"/>
        <w:ind w:left="720"/>
      </w:pPr>
      <w:r>
        <w:rPr>
          <w:rFonts w:ascii="Times New Roman" w:cs="Times New Roman" w:eastAsia="Times New Roman" w:hAnsi="Times New Roman"/>
          <w:sz w:val="24"/>
          <w:szCs w:val="24"/>
        </w:rPr>
        <w:t xml:space="preserve">Fill in actual Kraken2 taxonomic profiling results for all 95 samples (replace placeholder values in revised paper)</w:t>
      </w:r>
    </w:p>
    <w:p>
      <w:pPr>
        <w:pStyle w:val="ListParagraph"/>
        <w:numPr>
          <w:ilvl w:val="0"/>
          <w:numId w:val="1"/>
        </w:numPr>
        <w:spacing w:after="80"/>
        <w:ind w:left="720"/>
      </w:pPr>
      <w:r>
        <w:rPr>
          <w:rFonts w:ascii="Times New Roman" w:cs="Times New Roman" w:eastAsia="Times New Roman" w:hAnsi="Times New Roman"/>
          <w:sz w:val="24"/>
          <w:szCs w:val="24"/>
        </w:rPr>
        <w:t xml:space="preserve">Add author names, affiliations, and ethics statement to the manuscript</w:t>
      </w:r>
    </w:p>
    <w:p>
      <w:pPr>
        <w:pStyle w:val="ListParagraph"/>
        <w:numPr>
          <w:ilvl w:val="0"/>
          <w:numId w:val="1"/>
        </w:numPr>
        <w:spacing w:after="80"/>
        <w:ind w:left="720"/>
      </w:pPr>
      <w:r>
        <w:rPr>
          <w:rFonts w:ascii="Times New Roman" w:cs="Times New Roman" w:eastAsia="Times New Roman" w:hAnsi="Times New Roman"/>
          <w:sz w:val="24"/>
          <w:szCs w:val="24"/>
        </w:rPr>
        <w:t xml:space="preserve">Release training code on GitHub for full reproducibility</w:t>
      </w:r>
    </w:p>
    <w:p>
      <w:pPr>
        <w:pStyle w:val="ListParagraph"/>
        <w:numPr>
          <w:ilvl w:val="0"/>
          <w:numId w:val="1"/>
        </w:numPr>
        <w:spacing w:after="80"/>
        <w:ind w:left="720"/>
      </w:pPr>
      <w:r>
        <w:rPr>
          <w:rFonts w:ascii="Times New Roman" w:cs="Times New Roman" w:eastAsia="Times New Roman" w:hAnsi="Times New Roman"/>
          <w:sz w:val="24"/>
          <w:szCs w:val="24"/>
        </w:rPr>
        <w:t xml:space="preserve">Run controlled LoRA rank ablation (isolating rank from data volume and attention coverage)</w:t>
      </w:r>
    </w:p>
    <w:p>
      <w:pPr>
        <w:pStyle w:val="ListParagraph"/>
        <w:numPr>
          <w:ilvl w:val="0"/>
          <w:numId w:val="1"/>
        </w:numPr>
        <w:spacing w:after="80"/>
        <w:ind w:left="720"/>
      </w:pPr>
      <w:r>
        <w:rPr>
          <w:rFonts w:ascii="Times New Roman" w:cs="Times New Roman" w:eastAsia="Times New Roman" w:hAnsi="Times New Roman"/>
          <w:sz w:val="24"/>
          <w:szCs w:val="24"/>
        </w:rPr>
        <w:t xml:space="preserve">Consider full fine-tuning experiment on A100 with all 190M reads to establish floor CE loss</w:t>
      </w:r>
    </w:p>
    <w:p>
      <w:pPr>
        <w:pStyle w:val="ListParagraph"/>
        <w:numPr>
          <w:ilvl w:val="0"/>
          <w:numId w:val="1"/>
        </w:numPr>
        <w:spacing w:after="80"/>
        <w:ind w:left="720"/>
      </w:pPr>
      <w:r>
        <w:rPr>
          <w:rFonts w:ascii="Times New Roman" w:cs="Times New Roman" w:eastAsia="Times New Roman" w:hAnsi="Times New Roman"/>
          <w:sz w:val="24"/>
          <w:szCs w:val="24"/>
        </w:rPr>
        <w:t xml:space="preserve">Run Kraken2 + Bracken for proper pathogen surveillance analysis connecting CE loss to pathogen diversity</w:t>
      </w:r>
    </w:p>
    <w:p>
      <w:pPr>
        <w:pStyle w:val="ListParagraph"/>
        <w:numPr>
          <w:ilvl w:val="0"/>
          <w:numId w:val="1"/>
        </w:numPr>
        <w:spacing w:after="80"/>
        <w:ind w:left="720"/>
      </w:pPr>
      <w:r>
        <w:rPr>
          <w:rFonts w:ascii="Times New Roman" w:cs="Times New Roman" w:eastAsia="Times New Roman" w:hAnsi="Times New Roman"/>
          <w:sz w:val="24"/>
          <w:szCs w:val="24"/>
        </w:rPr>
        <w:t xml:space="preserve">Email METAGENE-1 authors about the 1.24 reproducibility finding (template prepared)</w:t>
      </w:r>
    </w:p>
    <w:p>
      <w:pPr>
        <w:pStyle w:val="ListParagraph"/>
        <w:numPr>
          <w:ilvl w:val="0"/>
          <w:numId w:val="1"/>
        </w:numPr>
        <w:spacing w:after="80"/>
        <w:ind w:left="720"/>
      </w:pPr>
      <w:r>
        <w:rPr>
          <w:rFonts w:ascii="Times New Roman" w:cs="Times New Roman" w:eastAsia="Times New Roman" w:hAnsi="Times New Roman"/>
          <w:sz w:val="24"/>
          <w:szCs w:val="24"/>
        </w:rPr>
        <w:t xml:space="preserve">Delete mid-epoch step checkpoints from HuggingFace to free storage and upload v6 epoch 5 final checkpoint</w:t>
      </w:r>
    </w:p>
    <w:p>
      <w:pPr>
        <w:pStyle w:val="ListParagraph"/>
        <w:numPr>
          <w:ilvl w:val="0"/>
          <w:numId w:val="1"/>
        </w:numPr>
        <w:spacing w:after="80"/>
        <w:ind w:left="720"/>
      </w:pPr>
      <w:r>
        <w:rPr>
          <w:rFonts w:ascii="Times New Roman" w:cs="Times New Roman" w:eastAsia="Times New Roman" w:hAnsi="Times New Roman"/>
          <w:sz w:val="24"/>
          <w:szCs w:val="24"/>
        </w:rPr>
        <w:t xml:space="preserve">Prepare Docker/Singularity container for pipeline reproducibility</w:t>
      </w:r>
    </w:p>
    <w:p>
      <w:r>
        <w:br w:type="page"/>
      </w:r>
    </w:p>
    <w:p>
      <w:pPr>
        <w:pStyle w:val="Heading1"/>
        <w:spacing w:after="200" w:before="480"/>
      </w:pPr>
      <w:r>
        <w:rPr>
          <w:rFonts w:ascii="Times New Roman" w:cs="Times New Roman" w:eastAsia="Times New Roman" w:hAnsi="Times New Roman"/>
          <w:b/>
          <w:bCs/>
          <w:sz w:val="32"/>
          <w:szCs w:val="32"/>
        </w:rPr>
        <w:t xml:space="preserve">15. Complete List of Deliverables</w:t>
      </w:r>
    </w:p>
    <w:p>
      <w:pPr>
        <w:pStyle w:val="Heading2"/>
        <w:spacing w:after="120" w:before="320"/>
      </w:pPr>
      <w:r>
        <w:rPr>
          <w:rFonts w:ascii="Times New Roman" w:cs="Times New Roman" w:eastAsia="Times New Roman" w:hAnsi="Times New Roman"/>
          <w:b/>
          <w:bCs/>
          <w:sz w:val="28"/>
          <w:szCs w:val="28"/>
        </w:rPr>
        <w:t xml:space="preserve">15.1 Analysis Notebooks and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360"/>
      </w:tblGrid>
      <w:tr>
        <w:trPr>
          <w:tblHeader/>
        </w:trPr>
        <w:tc>
          <w:tcPr>
            <w:tcW w:type="dxa" w:w="40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File</w:t>
            </w:r>
          </w:p>
        </w:tc>
        <w:tc>
          <w:tcPr>
            <w:tcW w:type="dxa" w:w="43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Description</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metagene_replication_experiments.ipynb</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11 systematic pipeline configurations on US WW data</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gujarat_replication_experiments.ipynb</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Same 11 configurations applied to all 19 Gujarat samples</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india_metagene_stats.ipynb</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Two-way ANOVA, post-hoc tests, bootstrap CIs</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metagene_full_finetune_poc.ipynb</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Full fine-tuning proof of concept (100% parameters, A100)</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us_validation_minimal.ipynb</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Minimal notebook for US WW and human genome validation</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fresh_setup_and_validate.ipynb</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Setup and validation notebook for new HF account</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multiomics_integration.py</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Local Python script for metabolomics integration analysis</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metagenomics_metabolomics_integration_v3.ipynb</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Colab version of metabolomics integration with city-season pooling</w:t>
            </w:r>
          </w:p>
        </w:tc>
      </w:tr>
    </w:tbl>
    <w:p>
      <w:pPr>
        <w:spacing w:after="200" w:before="60"/>
        <w:jc w:val="center"/>
      </w:pPr>
      <w:r>
        <w:rPr>
          <w:rFonts w:ascii="Times New Roman" w:cs="Times New Roman" w:eastAsia="Times New Roman" w:hAnsi="Times New Roman"/>
          <w:i/>
          <w:iCs/>
          <w:sz w:val="20"/>
          <w:szCs w:val="20"/>
        </w:rPr>
        <w:t xml:space="preserve">Table 15.1. All analysis notebooks and scripts delivered in this study.</w:t>
      </w:r>
    </w:p>
    <w:p>
      <w:pPr>
        <w:pStyle w:val="Heading2"/>
        <w:spacing w:after="120" w:before="320"/>
      </w:pPr>
      <w:r>
        <w:rPr>
          <w:rFonts w:ascii="Times New Roman" w:cs="Times New Roman" w:eastAsia="Times New Roman" w:hAnsi="Times New Roman"/>
          <w:b/>
          <w:bCs/>
          <w:sz w:val="28"/>
          <w:szCs w:val="28"/>
        </w:rPr>
        <w:t xml:space="preserve">15.2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360"/>
      </w:tblGrid>
      <w:tr>
        <w:trPr>
          <w:tblHeader/>
        </w:trPr>
        <w:tc>
          <w:tcPr>
            <w:tcW w:type="dxa" w:w="40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File</w:t>
            </w:r>
          </w:p>
        </w:tc>
        <w:tc>
          <w:tcPr>
            <w:tcW w:type="dxa" w:w="43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Description</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india_metagene_revised.docx</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Final revised manuscript incorporating all peer review corrections</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india_metagene_full_report_v2.docx</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Earlier comprehensive paper version</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study_report_part1.docx</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This document Part 1: Background through statistical analysis</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study_report_part2.docx</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This document Part 2: Fine-tuning through final decisions</w:t>
            </w:r>
          </w:p>
        </w:tc>
      </w:tr>
    </w:tbl>
    <w:p>
      <w:pPr>
        <w:spacing w:after="200" w:before="60"/>
        <w:jc w:val="center"/>
      </w:pPr>
      <w:r>
        <w:rPr>
          <w:rFonts w:ascii="Times New Roman" w:cs="Times New Roman" w:eastAsia="Times New Roman" w:hAnsi="Times New Roman"/>
          <w:i/>
          <w:iCs/>
          <w:sz w:val="20"/>
          <w:szCs w:val="20"/>
        </w:rPr>
        <w:t xml:space="preserve">Table 15.2. All documents delivered.</w:t>
      </w:r>
    </w:p>
    <w:p>
      <w:pPr>
        <w:pStyle w:val="Heading2"/>
        <w:spacing w:after="120" w:before="320"/>
      </w:pPr>
      <w:r>
        <w:rPr>
          <w:rFonts w:ascii="Times New Roman" w:cs="Times New Roman" w:eastAsia="Times New Roman" w:hAnsi="Times New Roman"/>
          <w:b/>
          <w:bCs/>
          <w:sz w:val="28"/>
          <w:szCs w:val="28"/>
        </w:rPr>
        <w:t xml:space="preserve">15.3 Model Checkpoints on HuggingFace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360"/>
      </w:tblGrid>
      <w:tr>
        <w:trPr>
          <w:tblHeader/>
        </w:trPr>
        <w:tc>
          <w:tcPr>
            <w:tcW w:type="dxa" w:w="40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Checkpoint</w:t>
            </w:r>
          </w:p>
        </w:tc>
        <w:tc>
          <w:tcPr>
            <w:tcW w:type="dxa" w:w="43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Val Loss / Notes</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metagene-ai/METAGENE-1</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Base model — public — 7B parameters</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saurabhthakar3/india-metagene-1 — v4 epoch 10</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Val loss 4.8046 — rank 8 LoRA, T4 GPU</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saurabhthakar3/india-metagene-1 — v6 epoch 4 (PUBLISHED)</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Val loss 4.7898 — rank 32 LoRA, A100 GPU — this is the released model</w:t>
            </w:r>
          </w:p>
        </w:tc>
      </w:tr>
      <w:tr>
        <w:trPr>
          <w:tblHeader w:val="false"/>
        </w:trPr>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v6 epoch 5 final</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~4.790 — NOT SAVED (HF storage limit at upload step 5700)</w:t>
            </w:r>
          </w:p>
        </w:tc>
      </w:tr>
    </w:tbl>
    <w:p>
      <w:pPr>
        <w:spacing w:after="200" w:before="60"/>
        <w:jc w:val="center"/>
      </w:pPr>
      <w:r>
        <w:rPr>
          <w:rFonts w:ascii="Times New Roman" w:cs="Times New Roman" w:eastAsia="Times New Roman" w:hAnsi="Times New Roman"/>
          <w:i/>
          <w:iCs/>
          <w:sz w:val="20"/>
          <w:szCs w:val="20"/>
        </w:rPr>
        <w:t xml:space="preserve">Table 15.3. Model checkpoints. The published India-METAGENE model is v6 epoch 4.</w:t>
      </w:r>
    </w:p>
    <w:p>
      <w:pPr>
        <w:pStyle w:val="Heading2"/>
        <w:spacing w:after="120" w:before="320"/>
      </w:pPr>
      <w:r>
        <w:rPr>
          <w:rFonts w:ascii="Times New Roman" w:cs="Times New Roman" w:eastAsia="Times New Roman" w:hAnsi="Times New Roman"/>
          <w:b/>
          <w:bCs/>
          <w:sz w:val="28"/>
          <w:szCs w:val="28"/>
        </w:rPr>
        <w:t xml:space="preserve">15.4 Key Numerical Results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560"/>
      </w:tblGrid>
      <w:tr>
        <w:trPr>
          <w:tblHeader/>
        </w:trPr>
        <w:tc>
          <w:tcPr>
            <w:tcW w:type="dxa" w:w="32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Metric</w:t>
            </w:r>
          </w:p>
        </w:tc>
        <w:tc>
          <w:tcPr>
            <w:tcW w:type="dxa" w:w="160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Value</w:t>
            </w:r>
          </w:p>
        </w:tc>
        <w:tc>
          <w:tcPr>
            <w:tcW w:type="dxa" w:w="3560"/>
            <w:tcBorders>
              <w:top w:val="single" w:color="000000" w:sz="4"/>
              <w:left w:val="single" w:color="000000" w:sz="4"/>
              <w:bottom w:val="single" w:color="000000" w:sz="4"/>
              <w:right w:val="single" w:color="000000" w:sz="4"/>
            </w:tcBorders>
            <w:shd w:fill="C5D5E8"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i w:val="false"/>
                <w:iCs w:val="false"/>
                <w:sz w:val="20"/>
                <w:szCs w:val="20"/>
              </w:rPr>
              <w:t xml:space="preserve">Source</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Gujarat mean CE loss (baseline)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4.865 ± 0.066</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n=95 samples, 5000 reads each, seed=42</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US WW external CE loss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4.593 ± 0.053</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Rothman 2020, n=3 CA facilities</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Geographic gap</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0.272 CE units (6%)</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t=6.96, p=0.020, d=4.92</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Human genome (NA12878)</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5.490 ± 0.454</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SRR1518158; vs Liu ref 5.22 (Δ=0.270)</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NAO data (co-author lab)</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5.07–5.10</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3 samples; confirms 1.24 irreproducibility</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Most anomalous sample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AAMO_R1: 5.026</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Ahmedabad Monsoon</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Least anomalous sample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VCPW_R1: 4.723</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Vadodara PreWinter</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Season η² (two-way ANOVA)</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0.491</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Explains 49.1% of within-Gujarat variance</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City η² (two-way ANOVA)</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0.355</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Explains 35.5% of variance</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City × Season interaction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F(9,72), p&lt;0.0001</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Seasonal effects differ by city</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v4 improvement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0.065 CE units (1.34%)</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t(15)=2.903, p=0.011, d=0.726, 95% CI [0.017, 0.113]</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v6 improvement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0.081 CE units (1.66%)</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t(15)=4.120, p=0.0009, d=1.030, 95% CI [0.039, 0.123]</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v4 vs v6 ablation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0.016 CE units, p=0.207</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Underpowered at n=16 (~20% power)</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 Gujarat reads &lt; CE 2.0</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2.3%</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vs US WW ~10% — 4.5× fewer familiar sequences</w:t>
            </w:r>
          </w:p>
        </w:tc>
      </w:tr>
      <w:tr>
        <w:trPr>
          <w:tblHeader w:val="false"/>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Sensitivity (excl. AAMO_R1)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v4: d=0.836; v6: d=1.296</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Stronger results without outlier</w:t>
            </w:r>
          </w:p>
        </w:tc>
      </w:tr>
    </w:tbl>
    <w:p>
      <w:pPr>
        <w:spacing w:after="200" w:before="60"/>
        <w:jc w:val="center"/>
      </w:pPr>
      <w:r>
        <w:rPr>
          <w:rFonts w:ascii="Times New Roman" w:cs="Times New Roman" w:eastAsia="Times New Roman" w:hAnsi="Times New Roman"/>
          <w:i/>
          <w:iCs/>
          <w:sz w:val="20"/>
          <w:szCs w:val="20"/>
        </w:rPr>
        <w:t xml:space="preserve">Table 15.4. Master numerical results reference for the complete study.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spacing w:before="80"/>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METAGENE-1 Gujarat Wastewater Study — Part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jc w:val="center"/>
    </w:pPr>
    <w:r>
      <w:rPr>
        <w:rFonts w:ascii="Times New Roman" w:cs="Times New Roman" w:eastAsia="Times New Roman" w:hAnsi="Times New Roman"/>
        <w:i/>
        <w:iCs/>
        <w:color w:val="555555"/>
        <w:sz w:val="18"/>
        <w:szCs w:val="18"/>
      </w:rPr>
      <w:t xml:space="preserve">Comprehensive Study Report — Part 2: Fine-Tuning, Peer Review, Additional Analyses, and Final Decisions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Times New Roman" w:cs="Times New Roman" w:eastAsia="Times New Roman" w:hAnsi="Times New Roman"/>
      <w:b/>
      <w:bCs/>
      <w:color w:val="1a1a2e"/>
      <w:sz w:val="32"/>
      <w:szCs w:val="32"/>
    </w:rPr>
  </w:style>
  <w:style w:type="paragraph" w:styleId="Heading2">
    <w:name w:val="Heading 2"/>
    <w:basedOn w:val="Normal"/>
    <w:next w:val="Normal"/>
    <w:pPr>
      <w:spacing w:after="120" w:before="320"/>
      <w:outlineLvl w:val="1"/>
    </w:pPr>
    <w:rPr>
      <w:rFonts w:ascii="Times New Roman" w:cs="Times New Roman" w:eastAsia="Times New Roman" w:hAnsi="Times New Roman"/>
      <w:b/>
      <w:bCs/>
      <w:color w:val="16213e"/>
      <w:sz w:val="28"/>
      <w:szCs w:val="28"/>
    </w:rPr>
  </w:style>
  <w:style w:type="paragraph" w:styleId="Heading3">
    <w:name w:val="Heading 3"/>
    <w:basedOn w:val="Normal"/>
    <w:next w:val="Normal"/>
    <w:pPr>
      <w:spacing w:after="80" w:before="200"/>
      <w:outlineLvl w:val="2"/>
    </w:pPr>
    <w:rPr>
      <w:rFonts w:ascii="Times New Roman" w:cs="Times New Roman" w:eastAsia="Times New Roman" w:hAnsi="Times New Roman"/>
      <w:b/>
      <w:bCs/>
      <w:i/>
      <w:i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2026-07-05T08:51:09.036Z</dcterms:created>
  <dcterms:modified xsi:type="dcterms:W3CDTF">2026-07-05T08:51:09.051Z</dcterms:modified>
</cp:coreProperties>
</file>

<file path=docProps/custom.xml><?xml version="1.0" encoding="utf-8"?>
<Properties xmlns="http://schemas.openxmlformats.org/officeDocument/2006/custom-properties" xmlns:vt="http://schemas.openxmlformats.org/officeDocument/2006/docPropsVTypes"/>
</file>