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26" w:rsidRDefault="00567FDD">
      <w:pPr>
        <w:widowControl w:val="0"/>
        <w:spacing w:line="252" w:lineRule="auto"/>
        <w:jc w:val="both"/>
        <w:rPr>
          <w:sz w:val="18"/>
          <w:szCs w:val="18"/>
        </w:rPr>
      </w:pPr>
      <w:bookmarkStart w:id="0" w:name="_gjdgxs" w:colFirst="0" w:colLast="0"/>
      <w:bookmarkEnd w:id="0"/>
      <w:r>
        <w:rPr>
          <w:sz w:val="18"/>
          <w:szCs w:val="18"/>
          <w:vertAlign w:val="superscript"/>
        </w:rPr>
        <w:footnoteReference w:id="1"/>
      </w:r>
      <w:r>
        <w:rPr>
          <w:rFonts w:ascii="Symbol" w:eastAsia="Symbol" w:hAnsi="Symbol" w:cs="Symbol"/>
          <w:sz w:val="18"/>
          <w:szCs w:val="18"/>
        </w:rPr>
        <w:t></w:t>
      </w:r>
    </w:p>
    <w:p w:rsidR="00063F26" w:rsidRDefault="00567FDD">
      <w:pPr>
        <w:pStyle w:val="Title"/>
      </w:pPr>
      <w:r>
        <w:t>Preparation of Papers for IEEE T</w:t>
      </w:r>
      <w:r>
        <w:rPr>
          <w:sz w:val="40"/>
          <w:szCs w:val="40"/>
        </w:rPr>
        <w:t>RANSACTIONS</w:t>
      </w:r>
      <w:r>
        <w:t xml:space="preserve"> and J</w:t>
      </w:r>
      <w:r>
        <w:rPr>
          <w:sz w:val="40"/>
          <w:szCs w:val="40"/>
        </w:rPr>
        <w:t>OURNALS</w:t>
      </w:r>
      <w:r>
        <w:rPr>
          <w:i/>
        </w:rPr>
        <w:t xml:space="preserve"> </w:t>
      </w:r>
      <w:r>
        <w:t>(February 2017)</w:t>
      </w:r>
    </w:p>
    <w:p w:rsidR="00063F26" w:rsidRDefault="00567FDD">
      <w:pPr>
        <w:spacing w:after="320"/>
        <w:jc w:val="center"/>
        <w:rPr>
          <w:sz w:val="22"/>
          <w:szCs w:val="22"/>
        </w:rPr>
      </w:pPr>
      <w:r>
        <w:rPr>
          <w:sz w:val="22"/>
          <w:szCs w:val="22"/>
        </w:rPr>
        <w:t xml:space="preserve">First A. Author, </w:t>
      </w:r>
      <w:r>
        <w:rPr>
          <w:i/>
          <w:sz w:val="22"/>
          <w:szCs w:val="22"/>
        </w:rPr>
        <w:t>Fellow, IEEE</w:t>
      </w:r>
      <w:r>
        <w:rPr>
          <w:sz w:val="22"/>
          <w:szCs w:val="22"/>
        </w:rPr>
        <w:t xml:space="preserve">, Second B. Author, and Third C. Author, Jr., </w:t>
      </w:r>
      <w:r>
        <w:rPr>
          <w:i/>
          <w:sz w:val="22"/>
          <w:szCs w:val="22"/>
        </w:rPr>
        <w:t>Member, IEEE</w:t>
      </w:r>
    </w:p>
    <w:p w:rsidR="00063F26" w:rsidRDefault="00567FDD">
      <w:pPr>
        <w:spacing w:before="20"/>
        <w:ind w:firstLine="202"/>
        <w:jc w:val="both"/>
        <w:rPr>
          <w:b/>
          <w:sz w:val="18"/>
          <w:szCs w:val="18"/>
        </w:rPr>
      </w:pPr>
      <w:r>
        <w:rPr>
          <w:b/>
          <w:i/>
          <w:sz w:val="18"/>
          <w:szCs w:val="18"/>
        </w:rPr>
        <w:t>Abstract</w:t>
      </w:r>
      <w:r>
        <w:rPr>
          <w:b/>
          <w:sz w:val="18"/>
          <w:szCs w:val="18"/>
        </w:rPr>
        <w:t xml:space="preserve">— </w:t>
      </w:r>
    </w:p>
    <w:p w:rsidR="00063F26" w:rsidRDefault="00063F26"/>
    <w:p w:rsidR="00063F26" w:rsidRDefault="00567FDD">
      <w:pPr>
        <w:ind w:firstLine="202"/>
        <w:jc w:val="both"/>
        <w:rPr>
          <w:b/>
          <w:sz w:val="18"/>
          <w:szCs w:val="18"/>
        </w:rPr>
      </w:pPr>
      <w:bookmarkStart w:id="1" w:name="30j0zll" w:colFirst="0" w:colLast="0"/>
      <w:bookmarkEnd w:id="1"/>
      <w:r>
        <w:rPr>
          <w:b/>
          <w:i/>
          <w:sz w:val="18"/>
          <w:szCs w:val="18"/>
        </w:rPr>
        <w:t>Index Terms</w:t>
      </w:r>
      <w:r>
        <w:rPr>
          <w:b/>
          <w:sz w:val="18"/>
          <w:szCs w:val="18"/>
        </w:rPr>
        <w:t>— Mobile robot, Legged locomotion, Computer vision, Robot learning, Reinforcement Learning.</w:t>
      </w:r>
    </w:p>
    <w:p w:rsidR="00063F26" w:rsidRDefault="00063F26"/>
    <w:p w:rsidR="00063F26" w:rsidRDefault="00567FDD">
      <w:pPr>
        <w:pStyle w:val="Heading1"/>
        <w:numPr>
          <w:ilvl w:val="0"/>
          <w:numId w:val="5"/>
        </w:numPr>
      </w:pPr>
      <w:r>
        <w:t>I</w:t>
      </w:r>
      <w:r>
        <w:rPr>
          <w:sz w:val="16"/>
          <w:szCs w:val="16"/>
        </w:rPr>
        <w:t>NTRODUCTION</w:t>
      </w:r>
    </w:p>
    <w:p w:rsidR="00063F26" w:rsidRDefault="00567FDD">
      <w:pPr>
        <w:widowControl w:val="0"/>
        <w:spacing w:line="252" w:lineRule="auto"/>
        <w:jc w:val="both"/>
      </w:pPr>
      <w:r>
        <w:t xml:space="preserve">Robots are used practically in every domain, these have unique capabilities, from imitating living organisms to performing assigned task. Industrial automated robots   majorly perform repetitive task assigned in a static environment are unable to achieve robust performance in unpredicted conditions without human intervention (8). These robots are constructed as per their equivalent </w:t>
      </w:r>
      <w:proofErr w:type="gramStart"/>
      <w:r>
        <w:t>mathematical  model</w:t>
      </w:r>
      <w:proofErr w:type="gramEnd"/>
      <w:r>
        <w:t xml:space="preserve"> and then used to perform task assigned under manual guidance(9). It is difficult to mathematically model the robot under every condition, such as change in environment, new task, </w:t>
      </w:r>
      <w:proofErr w:type="gramStart"/>
      <w:r>
        <w:t>faulty</w:t>
      </w:r>
      <w:proofErr w:type="gramEnd"/>
      <w:r>
        <w:t xml:space="preserve"> part. Considerable advancements in method and researches have </w:t>
      </w:r>
      <w:proofErr w:type="gramStart"/>
      <w:r>
        <w:t>been  done</w:t>
      </w:r>
      <w:proofErr w:type="gramEnd"/>
      <w:r>
        <w:t xml:space="preserve"> in order to make the robot model its environment autonomously(8). Without internal models, robotic systems can autonomously synthesize increasingly complex behaviors (6, 14–16) or recover from damage (17) through physical trial and error, but this requires hundreds or thousands of tests on the physical machine and is generally too slow. In order to generate an inference of its own </w:t>
      </w:r>
      <w:proofErr w:type="spellStart"/>
      <w:r>
        <w:t>morphology,”the</w:t>
      </w:r>
      <w:proofErr w:type="spellEnd"/>
      <w:r>
        <w:t xml:space="preserve"> robot need to perform autonomous and continuous self-modeling. A machine is able to indirectly infer to its own morphology through </w:t>
      </w:r>
      <w:proofErr w:type="spellStart"/>
      <w:r>
        <w:t>self directed</w:t>
      </w:r>
      <w:proofErr w:type="spellEnd"/>
      <w:r>
        <w:t xml:space="preserve"> exploration and then use the resulting self-modeling synthesize new </w:t>
      </w:r>
      <w:proofErr w:type="spellStart"/>
      <w:r>
        <w:t>behaviours</w:t>
      </w:r>
      <w:proofErr w:type="spellEnd"/>
      <w:proofErr w:type="gramStart"/>
      <w:r>
        <w:t>”(</w:t>
      </w:r>
      <w:proofErr w:type="spellStart"/>
      <w:proofErr w:type="gramEnd"/>
      <w:r>
        <w:t>ressileiant</w:t>
      </w:r>
      <w:proofErr w:type="spellEnd"/>
      <w:r>
        <w:t xml:space="preserve"> paper).</w:t>
      </w:r>
    </w:p>
    <w:p w:rsidR="00063F26" w:rsidRDefault="00567FDD">
      <w:pPr>
        <w:widowControl w:val="0"/>
        <w:spacing w:line="252" w:lineRule="auto"/>
        <w:ind w:firstLine="720"/>
        <w:jc w:val="both"/>
      </w:pPr>
      <w:r>
        <w:t xml:space="preserve">Here we describe a method to make a spider like quadruped robot learn to walk without human intervention. The process involves use of reinforcement learning with recurrent neural network and computer vision in order to achieve the desired goal. In the initial stage of learning process the robot assumes </w:t>
      </w:r>
      <w:proofErr w:type="spellStart"/>
      <w:r>
        <w:t>it self</w:t>
      </w:r>
      <w:proofErr w:type="spellEnd"/>
      <w:r>
        <w:t xml:space="preserve"> as a black box and performs random actions in order to explore its morphology through self </w:t>
      </w:r>
      <w:proofErr w:type="gramStart"/>
      <w:r>
        <w:t>modelling(</w:t>
      </w:r>
      <w:proofErr w:type="spellStart"/>
      <w:proofErr w:type="gramEnd"/>
      <w:r>
        <w:t>ressilliant</w:t>
      </w:r>
      <w:proofErr w:type="spellEnd"/>
      <w:r>
        <w:t xml:space="preserve"> ). In the later stage it starts to use collective knowledge of its morphology to walk, for which it </w:t>
      </w:r>
      <w:proofErr w:type="gramStart"/>
      <w:r>
        <w:t>isn't pre</w:t>
      </w:r>
      <w:proofErr w:type="gramEnd"/>
      <w:r>
        <w:t xml:space="preserve"> informed.    </w:t>
      </w:r>
    </w:p>
    <w:p w:rsidR="00063F26" w:rsidRDefault="00567FDD">
      <w:pPr>
        <w:pStyle w:val="Heading1"/>
        <w:numPr>
          <w:ilvl w:val="0"/>
          <w:numId w:val="5"/>
        </w:numPr>
      </w:pPr>
      <w:r>
        <w:t>Theory</w:t>
      </w:r>
    </w:p>
    <w:p w:rsidR="00063F26" w:rsidRDefault="00567FDD">
      <w:pPr>
        <w:widowControl w:val="0"/>
        <w:spacing w:line="252" w:lineRule="auto"/>
        <w:ind w:firstLine="202"/>
        <w:jc w:val="both"/>
      </w:pPr>
      <w:r>
        <w:t xml:space="preserve">This requires to have basic knowledge of reinforcement learning, modelling, computer vision etc. </w:t>
      </w:r>
    </w:p>
    <w:p w:rsidR="00063F26" w:rsidRDefault="00567FDD">
      <w:pPr>
        <w:pStyle w:val="Heading2"/>
        <w:numPr>
          <w:ilvl w:val="1"/>
          <w:numId w:val="5"/>
        </w:numPr>
      </w:pPr>
      <w:r>
        <w:t>Modelling</w:t>
      </w:r>
    </w:p>
    <w:p w:rsidR="00063F26" w:rsidRDefault="00567FDD">
      <w:pPr>
        <w:widowControl w:val="0"/>
        <w:spacing w:line="252" w:lineRule="auto"/>
        <w:ind w:firstLine="144"/>
        <w:jc w:val="both"/>
      </w:pPr>
      <w:r>
        <w:t xml:space="preserve">As quoted by </w:t>
      </w:r>
      <w:proofErr w:type="spellStart"/>
      <w:r>
        <w:t>Lambrinos</w:t>
      </w:r>
      <w:proofErr w:type="spellEnd"/>
      <w:r>
        <w:t xml:space="preserve"> et al. (1997), “the goal of this approach is to develop an understanding of natural systems by building a robot that mimics some aspects of their sensory and nervous system and their </w:t>
      </w:r>
      <w:proofErr w:type="spellStart"/>
      <w:r>
        <w:t>behaviour</w:t>
      </w:r>
      <w:proofErr w:type="spellEnd"/>
      <w:r>
        <w:t xml:space="preserve">” (p. 185). There are seven different dimensions on which models can differ as </w:t>
      </w:r>
      <w:proofErr w:type="gramStart"/>
      <w:r>
        <w:t>discussed(</w:t>
      </w:r>
      <w:proofErr w:type="gramEnd"/>
      <w:r>
        <w:t>cite :</w:t>
      </w:r>
      <w:hyperlink r:id="rId7">
        <w:r>
          <w:rPr>
            <w:color w:val="1155CC"/>
            <w:sz w:val="24"/>
            <w:szCs w:val="24"/>
            <w:u w:val="single"/>
          </w:rPr>
          <w:t>https://sci-hub.cc/https://doi.org/10.1017/S0140525X01000127</w:t>
        </w:r>
      </w:hyperlink>
      <w:r>
        <w:t>):</w:t>
      </w:r>
    </w:p>
    <w:p w:rsidR="00063F26" w:rsidRDefault="00567FDD">
      <w:pPr>
        <w:widowControl w:val="0"/>
        <w:numPr>
          <w:ilvl w:val="0"/>
          <w:numId w:val="2"/>
        </w:numPr>
        <w:spacing w:line="252" w:lineRule="auto"/>
        <w:contextualSpacing/>
        <w:jc w:val="both"/>
      </w:pPr>
      <w:r>
        <w:t>Relevance</w:t>
      </w:r>
    </w:p>
    <w:p w:rsidR="00063F26" w:rsidRDefault="00567FDD">
      <w:pPr>
        <w:widowControl w:val="0"/>
        <w:numPr>
          <w:ilvl w:val="0"/>
          <w:numId w:val="2"/>
        </w:numPr>
        <w:spacing w:line="252" w:lineRule="auto"/>
        <w:contextualSpacing/>
        <w:jc w:val="both"/>
      </w:pPr>
      <w:r>
        <w:t>level</w:t>
      </w:r>
    </w:p>
    <w:p w:rsidR="00063F26" w:rsidRDefault="00567FDD">
      <w:pPr>
        <w:widowControl w:val="0"/>
        <w:numPr>
          <w:ilvl w:val="0"/>
          <w:numId w:val="2"/>
        </w:numPr>
        <w:spacing w:line="252" w:lineRule="auto"/>
        <w:contextualSpacing/>
        <w:jc w:val="both"/>
      </w:pPr>
      <w:r>
        <w:t>Generality</w:t>
      </w:r>
    </w:p>
    <w:p w:rsidR="00063F26" w:rsidRDefault="00567FDD">
      <w:pPr>
        <w:widowControl w:val="0"/>
        <w:numPr>
          <w:ilvl w:val="0"/>
          <w:numId w:val="2"/>
        </w:numPr>
        <w:spacing w:line="252" w:lineRule="auto"/>
        <w:contextualSpacing/>
        <w:jc w:val="both"/>
      </w:pPr>
      <w:r>
        <w:t>Abstraction</w:t>
      </w:r>
    </w:p>
    <w:p w:rsidR="00063F26" w:rsidRDefault="00567FDD">
      <w:pPr>
        <w:widowControl w:val="0"/>
        <w:numPr>
          <w:ilvl w:val="0"/>
          <w:numId w:val="2"/>
        </w:numPr>
        <w:spacing w:line="252" w:lineRule="auto"/>
        <w:contextualSpacing/>
        <w:jc w:val="both"/>
      </w:pPr>
      <w:r>
        <w:t>Structural Accuracy</w:t>
      </w:r>
    </w:p>
    <w:p w:rsidR="00063F26" w:rsidRDefault="00567FDD">
      <w:pPr>
        <w:widowControl w:val="0"/>
        <w:numPr>
          <w:ilvl w:val="0"/>
          <w:numId w:val="2"/>
        </w:numPr>
        <w:spacing w:line="252" w:lineRule="auto"/>
        <w:contextualSpacing/>
        <w:jc w:val="both"/>
      </w:pPr>
      <w:r>
        <w:t>Performance match</w:t>
      </w:r>
    </w:p>
    <w:p w:rsidR="00063F26" w:rsidRDefault="00567FDD">
      <w:pPr>
        <w:widowControl w:val="0"/>
        <w:numPr>
          <w:ilvl w:val="0"/>
          <w:numId w:val="2"/>
        </w:numPr>
        <w:spacing w:line="252" w:lineRule="auto"/>
        <w:contextualSpacing/>
        <w:jc w:val="both"/>
      </w:pPr>
      <w:r>
        <w:t>Medium</w:t>
      </w:r>
    </w:p>
    <w:p w:rsidR="00B45D9A" w:rsidRPr="00567FDD" w:rsidRDefault="00B45D9A" w:rsidP="00B45D9A">
      <w:r>
        <w:t xml:space="preserve">Biological modelling should be done in terms </w:t>
      </w:r>
      <w:proofErr w:type="gramStart"/>
      <w:r>
        <w:t>of  their</w:t>
      </w:r>
      <w:proofErr w:type="gramEnd"/>
      <w:r>
        <w:t xml:space="preserve"> behavior towards real life task and requirement.[above].</w:t>
      </w:r>
      <w:r w:rsidR="001B57BC">
        <w:t xml:space="preserve"> Modelling is used to simulate in</w:t>
      </w:r>
      <w:r w:rsidR="00567FDD">
        <w:t xml:space="preserve"> </w:t>
      </w:r>
      <w:r w:rsidR="001B57BC">
        <w:t>order to understand the behavior of the animal</w:t>
      </w:r>
      <w:r w:rsidR="00567FDD">
        <w:t xml:space="preserve"> </w:t>
      </w:r>
      <w:r w:rsidR="001B57BC">
        <w:t xml:space="preserve">[above]. </w:t>
      </w:r>
      <w:bookmarkStart w:id="2" w:name="_GoBack"/>
      <w:bookmarkEnd w:id="2"/>
    </w:p>
    <w:p w:rsidR="00B45D9A" w:rsidRPr="0097294F" w:rsidRDefault="00B45D9A">
      <w:pPr>
        <w:spacing w:line="360" w:lineRule="auto"/>
      </w:pPr>
    </w:p>
    <w:p w:rsidR="0097294F" w:rsidRPr="0097294F" w:rsidRDefault="0097294F">
      <w:pPr>
        <w:spacing w:line="360" w:lineRule="auto"/>
      </w:pPr>
    </w:p>
    <w:p w:rsidR="00063F26" w:rsidRDefault="00567FDD">
      <w:pPr>
        <w:pStyle w:val="Heading2"/>
        <w:numPr>
          <w:ilvl w:val="1"/>
          <w:numId w:val="5"/>
        </w:numPr>
      </w:pPr>
      <w:r>
        <w:t>Markov Decision Process (MDP)</w:t>
      </w:r>
    </w:p>
    <w:p w:rsidR="00063F26" w:rsidRDefault="00567FDD">
      <w:r>
        <w:t>It is a framework for modelling decision where output is partially random and partially under control of decision maker. [</w:t>
      </w:r>
      <w:proofErr w:type="gramStart"/>
      <w:r>
        <w:t>wiki</w:t>
      </w:r>
      <w:proofErr w:type="gramEnd"/>
      <w:r>
        <w:t>]. MDP is a type of stochastic control process, process is at state ‘s’ and decision maker can choose any state ‘a’ to which the process responds by randomly moving to next state ‘s’ ’and returns reward to the decision maker.</w:t>
      </w:r>
    </w:p>
    <w:p w:rsidR="00063F26" w:rsidRDefault="00567FDD">
      <w:proofErr w:type="spellStart"/>
      <w:proofErr w:type="gramStart"/>
      <w:r>
        <w:t>markov</w:t>
      </w:r>
      <w:proofErr w:type="spellEnd"/>
      <w:proofErr w:type="gramEnd"/>
      <w:r>
        <w:t xml:space="preserve"> decision process is a 5-tuple </w:t>
      </w:r>
    </w:p>
    <w:p w:rsidR="00063F26" w:rsidRDefault="00567FDD">
      <w:r>
        <w:rPr>
          <w:rFonts w:ascii="Arial" w:eastAsia="Arial" w:hAnsi="Arial" w:cs="Arial"/>
          <w:color w:val="222222"/>
          <w:sz w:val="25"/>
          <w:szCs w:val="25"/>
          <w:highlight w:val="white"/>
        </w:rPr>
        <w:t>$$\ (S</w:t>
      </w:r>
      <w:proofErr w:type="gramStart"/>
      <w:r>
        <w:rPr>
          <w:rFonts w:ascii="Arial" w:eastAsia="Arial" w:hAnsi="Arial" w:cs="Arial"/>
          <w:color w:val="222222"/>
          <w:sz w:val="25"/>
          <w:szCs w:val="25"/>
          <w:highlight w:val="white"/>
        </w:rPr>
        <w:t>,A,P</w:t>
      </w:r>
      <w:proofErr w:type="gramEnd"/>
      <w:r>
        <w:rPr>
          <w:rFonts w:ascii="Arial" w:eastAsia="Arial" w:hAnsi="Arial" w:cs="Arial"/>
          <w:color w:val="222222"/>
          <w:sz w:val="25"/>
          <w:szCs w:val="25"/>
          <w:highlight w:val="white"/>
        </w:rPr>
        <w:t>_{a },R_{\a}, \gamma)$$</w:t>
      </w:r>
    </w:p>
    <w:p w:rsidR="00063F26" w:rsidRDefault="00063F26">
      <w:pPr>
        <w:ind w:left="720"/>
      </w:pPr>
    </w:p>
    <w:p w:rsidR="00063F26" w:rsidRDefault="00567FDD">
      <w:pPr>
        <w:pStyle w:val="Heading2"/>
        <w:numPr>
          <w:ilvl w:val="1"/>
          <w:numId w:val="5"/>
        </w:numPr>
      </w:pPr>
      <w:r>
        <w:t>Reinforcement Learning</w:t>
      </w:r>
    </w:p>
    <w:p w:rsidR="00063F26" w:rsidRDefault="00063F26">
      <w:pPr>
        <w:ind w:left="720"/>
      </w:pPr>
    </w:p>
    <w:p w:rsidR="00063F26" w:rsidRDefault="00567FDD">
      <w:pPr>
        <w:widowControl w:val="0"/>
        <w:spacing w:line="252" w:lineRule="auto"/>
        <w:ind w:firstLine="202"/>
        <w:jc w:val="both"/>
      </w:pPr>
      <w:r>
        <w:t xml:space="preserve">Use Reinforcement learning is inspired by the </w:t>
      </w:r>
      <w:proofErr w:type="spellStart"/>
      <w:r>
        <w:t>behavioural</w:t>
      </w:r>
      <w:proofErr w:type="spellEnd"/>
      <w:r>
        <w:t xml:space="preserve"> psychology, concerned to how software agents take action to maximize </w:t>
      </w:r>
      <w:proofErr w:type="gramStart"/>
      <w:r>
        <w:t>reward[</w:t>
      </w:r>
      <w:proofErr w:type="gramEnd"/>
      <w:r>
        <w:t xml:space="preserve">wiki]. It is very general and is applied in multiple domain including medical, </w:t>
      </w:r>
      <w:proofErr w:type="gramStart"/>
      <w:r>
        <w:t>game  potential</w:t>
      </w:r>
      <w:proofErr w:type="gramEnd"/>
      <w:r>
        <w:t>.”</w:t>
      </w:r>
    </w:p>
    <w:p w:rsidR="00063F26" w:rsidRDefault="00567FDD">
      <w:pPr>
        <w:widowControl w:val="0"/>
        <w:spacing w:line="252" w:lineRule="auto"/>
        <w:ind w:firstLine="202"/>
        <w:jc w:val="both"/>
      </w:pPr>
      <w:r>
        <w:t xml:space="preserve">Use a zero before decimal points: “0.25,” not “.25.” Use </w:t>
      </w:r>
      <w:r>
        <w:lastRenderedPageBreak/>
        <w:t>“cm</w:t>
      </w:r>
      <w:r>
        <w:rPr>
          <w:vertAlign w:val="superscript"/>
        </w:rPr>
        <w:t>3</w:t>
      </w:r>
      <w:r>
        <w:t xml:space="preserve">,” not “cc.” Indicate sample dimensions as “0.1 cm </w:t>
      </w:r>
      <w:r>
        <w:rPr>
          <w:rFonts w:ascii="Symbol" w:eastAsia="Symbol" w:hAnsi="Symbol" w:cs="Symbol"/>
        </w:rPr>
        <w:t></w:t>
      </w:r>
      <w:r>
        <w:t xml:space="preserve"> 0.2 cm,” not “0.1 </w:t>
      </w:r>
      <w:r>
        <w:rPr>
          <w:rFonts w:ascii="Symbol" w:eastAsia="Symbol" w:hAnsi="Symbol" w:cs="Symbol"/>
        </w:rPr>
        <w:t></w:t>
      </w:r>
      <w:r>
        <w:t xml:space="preserve"> 0.2 cm</w:t>
      </w:r>
      <w:r>
        <w:rPr>
          <w:vertAlign w:val="superscript"/>
        </w:rPr>
        <w:t>2</w:t>
      </w:r>
      <w:r>
        <w:t>.” The abbreviation for “seconds” is “s,” not “sec.”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063F26" w:rsidRDefault="00567FDD">
      <w:pPr>
        <w:widowControl w:val="0"/>
        <w:spacing w:line="252" w:lineRule="auto"/>
        <w:ind w:firstLine="202"/>
        <w:jc w:val="both"/>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063F26" w:rsidRDefault="00567FDD">
      <w:pPr>
        <w:widowControl w:val="0"/>
        <w:spacing w:line="252" w:lineRule="auto"/>
        <w:ind w:firstLine="202"/>
        <w:jc w:val="both"/>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063F26" w:rsidRDefault="00567FDD">
      <w:pPr>
        <w:pStyle w:val="Heading2"/>
        <w:numPr>
          <w:ilvl w:val="1"/>
          <w:numId w:val="5"/>
        </w:numPr>
      </w:pPr>
      <w:bookmarkStart w:id="3" w:name="_bjhfshfto47h" w:colFirst="0" w:colLast="0"/>
      <w:bookmarkEnd w:id="3"/>
      <w:r>
        <w:t xml:space="preserve">Computer Vision </w:t>
      </w:r>
    </w:p>
    <w:p w:rsidR="00063F26" w:rsidRDefault="00567FDD">
      <w:pPr>
        <w:numPr>
          <w:ilvl w:val="1"/>
          <w:numId w:val="5"/>
        </w:numPr>
      </w:pPr>
      <w:r>
        <w:t>Vector</w:t>
      </w:r>
    </w:p>
    <w:p w:rsidR="00063F26" w:rsidRDefault="00063F26">
      <w:pPr>
        <w:ind w:left="720"/>
      </w:pPr>
    </w:p>
    <w:p w:rsidR="00063F26" w:rsidRDefault="00567FDD">
      <w:pPr>
        <w:pStyle w:val="Heading1"/>
        <w:numPr>
          <w:ilvl w:val="0"/>
          <w:numId w:val="5"/>
        </w:numPr>
      </w:pPr>
      <w:r>
        <w:t>M</w:t>
      </w:r>
      <w:r>
        <w:rPr>
          <w:sz w:val="16"/>
          <w:szCs w:val="16"/>
        </w:rPr>
        <w:t>ATH</w:t>
      </w:r>
    </w:p>
    <w:p w:rsidR="00063F26" w:rsidRDefault="00567FDD">
      <w:pPr>
        <w:widowControl w:val="0"/>
        <w:spacing w:line="252" w:lineRule="auto"/>
        <w:ind w:firstLine="202"/>
        <w:jc w:val="both"/>
      </w:pPr>
      <w:r>
        <w:t xml:space="preserve">If you are using </w:t>
      </w:r>
      <w:r>
        <w:rPr>
          <w:i/>
        </w:rPr>
        <w:t>Word,</w:t>
      </w:r>
      <w:r>
        <w:t xml:space="preserve"> use either the Microsoft Equation Editor or the </w:t>
      </w:r>
      <w:proofErr w:type="spellStart"/>
      <w:r>
        <w:rPr>
          <w:i/>
        </w:rPr>
        <w:t>MathType</w:t>
      </w:r>
      <w:proofErr w:type="spellEnd"/>
      <w:r>
        <w:t xml:space="preserve"> add-on (http://www.mathtype.com) for equations in your paper (Insert | Object | Create New | Microsoft Equation </w:t>
      </w:r>
      <w:r>
        <w:rPr>
          <w:i/>
        </w:rPr>
        <w:t>or</w:t>
      </w:r>
      <w:r>
        <w:t xml:space="preserve"> </w:t>
      </w:r>
      <w:proofErr w:type="spellStart"/>
      <w:r>
        <w:t>MathType</w:t>
      </w:r>
      <w:proofErr w:type="spellEnd"/>
      <w:r>
        <w:t xml:space="preserve"> Equation). “Float over text” should </w:t>
      </w:r>
      <w:r>
        <w:rPr>
          <w:i/>
        </w:rPr>
        <w:t>not</w:t>
      </w:r>
      <w:r>
        <w:t xml:space="preserve"> be selected. </w:t>
      </w:r>
    </w:p>
    <w:p w:rsidR="00063F26" w:rsidRDefault="00567FDD">
      <w:pPr>
        <w:pStyle w:val="Heading2"/>
        <w:numPr>
          <w:ilvl w:val="1"/>
          <w:numId w:val="5"/>
        </w:numPr>
      </w:pPr>
      <w:r>
        <w:t>Equations</w:t>
      </w:r>
    </w:p>
    <w:p w:rsidR="00063F26" w:rsidRDefault="00567FDD">
      <w:pPr>
        <w:widowControl w:val="0"/>
        <w:spacing w:line="252" w:lineRule="auto"/>
        <w:ind w:firstLine="202"/>
        <w:jc w:val="both"/>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063F26" w:rsidRDefault="00063F26">
      <w:pPr>
        <w:widowControl w:val="0"/>
        <w:spacing w:line="252" w:lineRule="auto"/>
        <w:ind w:firstLine="202"/>
        <w:jc w:val="both"/>
      </w:pPr>
    </w:p>
    <w:p w:rsidR="00063F26" w:rsidRDefault="00567FDD">
      <w:pPr>
        <w:widowControl w:val="0"/>
        <w:tabs>
          <w:tab w:val="right" w:pos="5040"/>
        </w:tabs>
        <w:spacing w:line="252" w:lineRule="auto"/>
        <w:jc w:val="both"/>
      </w:pPr>
      <w:r>
        <w:tab/>
        <w:t>(1)</w:t>
      </w:r>
    </w:p>
    <w:p w:rsidR="00063F26" w:rsidRDefault="00063F26"/>
    <w:p w:rsidR="00063F26" w:rsidRDefault="00567FDD">
      <w:pPr>
        <w:widowControl w:val="0"/>
        <w:spacing w:line="252" w:lineRule="auto"/>
        <w:ind w:firstLine="202"/>
        <w:jc w:val="both"/>
      </w:pPr>
      <w:r>
        <w:t>Be sure that the symbols in your equation have been defined before the equation appears or immediately following. Italicize symbols (</w:t>
      </w:r>
      <w:r>
        <w:rPr>
          <w:i/>
        </w:rPr>
        <w:t>T</w:t>
      </w:r>
      <w:r>
        <w:t xml:space="preserve"> might refer to temperature, but T is the unit tesla). Refer to “(1),” not “Eq. (1)” or “equation (1),” except at the beginning of a sentence: “Equation (1) is </w:t>
      </w:r>
      <w:proofErr w:type="gramStart"/>
      <w:r>
        <w:t>... .”</w:t>
      </w:r>
      <w:proofErr w:type="gramEnd"/>
    </w:p>
    <w:p w:rsidR="00063F26" w:rsidRDefault="00567FDD">
      <w:pPr>
        <w:pStyle w:val="Heading1"/>
        <w:numPr>
          <w:ilvl w:val="0"/>
          <w:numId w:val="5"/>
        </w:numPr>
      </w:pPr>
      <w:r>
        <w:t>Units</w:t>
      </w:r>
    </w:p>
    <w:p w:rsidR="00063F26" w:rsidRDefault="00567FDD">
      <w:pPr>
        <w:widowControl w:val="0"/>
        <w:spacing w:line="252" w:lineRule="auto"/>
        <w:ind w:firstLine="202"/>
        <w:jc w:val="both"/>
      </w:pPr>
      <w:r>
        <w:t>Use either SI (MKS) or CGS as primary units. (SI units are strongly encouraged.) English units may be used as secondary units (in parentheses). This applies to papers in data storage</w:t>
      </w:r>
      <w:r>
        <w:rPr>
          <w:b/>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w:t>
      </w:r>
      <w:r>
        <w:t xml:space="preserve">“3½-in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063F26" w:rsidRDefault="00567FDD">
      <w:pPr>
        <w:widowControl w:val="0"/>
        <w:spacing w:line="252" w:lineRule="auto"/>
        <w:ind w:firstLine="202"/>
        <w:jc w:val="both"/>
      </w:pPr>
      <w:r>
        <w:t xml:space="preserve">The SI unit for magnetic field strength </w:t>
      </w:r>
      <w:r>
        <w:rPr>
          <w:i/>
        </w:rPr>
        <w:t>H</w:t>
      </w:r>
      <w:r>
        <w:t xml:space="preserve"> is A/m. However, if you wish to use units of T, either refer to magnetic flux density </w:t>
      </w:r>
      <w:r>
        <w:rPr>
          <w:i/>
        </w:rPr>
        <w:t>B</w:t>
      </w:r>
      <w:r>
        <w:t xml:space="preserve"> or magnetic field strength symbolized as µ</w:t>
      </w:r>
      <w:r>
        <w:rPr>
          <w:vertAlign w:val="subscript"/>
        </w:rPr>
        <w:t>0</w:t>
      </w:r>
      <w:r>
        <w:rPr>
          <w:i/>
        </w:rPr>
        <w:t>H</w:t>
      </w:r>
      <w:r>
        <w:t>. Use the center dot to separate compound units, e.g., “A·m</w:t>
      </w:r>
      <w:r>
        <w:rPr>
          <w:vertAlign w:val="superscript"/>
        </w:rPr>
        <w:t>2</w:t>
      </w:r>
      <w:r>
        <w:t>.”</w:t>
      </w:r>
    </w:p>
    <w:p w:rsidR="00063F26" w:rsidRDefault="00567FDD">
      <w:pPr>
        <w:pStyle w:val="Heading1"/>
        <w:numPr>
          <w:ilvl w:val="0"/>
          <w:numId w:val="5"/>
        </w:numPr>
      </w:pPr>
      <w:r>
        <w:t>Some Common Mistakes</w:t>
      </w:r>
    </w:p>
    <w:p w:rsidR="00063F26" w:rsidRDefault="00567FDD">
      <w:pPr>
        <w:widowControl w:val="0"/>
        <w:spacing w:line="252" w:lineRule="auto"/>
        <w:ind w:firstLine="202"/>
        <w:jc w:val="both"/>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063F26" w:rsidRDefault="00567FDD">
      <w:pPr>
        <w:widowControl w:val="0"/>
        <w:spacing w:line="252" w:lineRule="auto"/>
        <w:ind w:firstLine="202"/>
        <w:jc w:val="both"/>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063F26" w:rsidRDefault="00567FDD">
      <w:pPr>
        <w:widowControl w:val="0"/>
        <w:spacing w:line="252" w:lineRule="auto"/>
        <w:ind w:firstLine="202"/>
        <w:jc w:val="both"/>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rPr>
        <w:t>et al.</w:t>
      </w:r>
      <w:r>
        <w:t>” (</w:t>
      </w:r>
      <w:proofErr w:type="gramStart"/>
      <w:r>
        <w:t>it</w:t>
      </w:r>
      <w:proofErr w:type="gramEnd"/>
      <w:r>
        <w:t xml:space="preserve"> is also italicized). The abbreviation “i.e.,” means “that is,” and the abbreviation “e.g.,” means “for example” (these abbreviations are not italicized).</w:t>
      </w:r>
    </w:p>
    <w:p w:rsidR="00063F26" w:rsidRDefault="00567FDD">
      <w:pPr>
        <w:widowControl w:val="0"/>
        <w:spacing w:line="252" w:lineRule="auto"/>
        <w:ind w:firstLine="202"/>
        <w:jc w:val="both"/>
      </w:pPr>
      <w:r>
        <w:t xml:space="preserve">A general IEEE </w:t>
      </w:r>
      <w:proofErr w:type="spellStart"/>
      <w:r>
        <w:t>styleguide</w:t>
      </w:r>
      <w:proofErr w:type="spellEnd"/>
      <w:r>
        <w:t xml:space="preserve"> is available at </w:t>
      </w:r>
      <w:hyperlink r:id="rId8">
        <w:r>
          <w:rPr>
            <w:color w:val="1155CC"/>
            <w:sz w:val="19"/>
            <w:szCs w:val="19"/>
            <w:highlight w:val="white"/>
            <w:u w:val="single"/>
          </w:rPr>
          <w:t>www.ieee.org/authortools</w:t>
        </w:r>
      </w:hyperlink>
      <w:r>
        <w:rPr>
          <w:color w:val="1155CC"/>
          <w:sz w:val="19"/>
          <w:szCs w:val="19"/>
          <w:highlight w:val="white"/>
          <w:u w:val="single"/>
        </w:rPr>
        <w:t>.</w:t>
      </w:r>
    </w:p>
    <w:p w:rsidR="00063F26" w:rsidRDefault="00567FDD">
      <w:pPr>
        <w:pStyle w:val="Heading2"/>
      </w:pPr>
      <w:r>
        <w:rPr>
          <w:noProof/>
          <w:lang w:val="en-IN"/>
        </w:rPr>
        <w:lastRenderedPageBreak/>
        <mc:AlternateContent>
          <mc:Choice Requires="wps">
            <w:drawing>
              <wp:anchor distT="0" distB="0" distL="114300" distR="114300" simplePos="0" relativeHeight="251658240" behindDoc="1" locked="0" layoutInCell="1" hidden="0" allowOverlap="1">
                <wp:simplePos x="0" y="0"/>
                <wp:positionH relativeFrom="margin">
                  <wp:posOffset>3416300</wp:posOffset>
                </wp:positionH>
                <wp:positionV relativeFrom="paragraph">
                  <wp:posOffset>0</wp:posOffset>
                </wp:positionV>
                <wp:extent cx="3164205" cy="405828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768660" y="1755620"/>
                          <a:ext cx="3154680" cy="4048760"/>
                        </a:xfrm>
                        <a:prstGeom prst="rect">
                          <a:avLst/>
                        </a:prstGeom>
                        <a:solidFill>
                          <a:srgbClr val="FFFFFF"/>
                        </a:solidFill>
                        <a:ln>
                          <a:noFill/>
                        </a:ln>
                      </wps:spPr>
                      <wps:txbx>
                        <w:txbxContent>
                          <w:p w:rsidR="00567FDD" w:rsidRDefault="00567FDD">
                            <w:pPr>
                              <w:jc w:val="center"/>
                              <w:textDirection w:val="btLr"/>
                            </w:pPr>
                            <w:r>
                              <w:rPr>
                                <w:rFonts w:ascii="Arial" w:eastAsia="Arial" w:hAnsi="Arial" w:cs="Arial"/>
                                <w:smallCaps/>
                                <w:sz w:val="16"/>
                              </w:rPr>
                              <w:t>TABLE I</w:t>
                            </w:r>
                          </w:p>
                          <w:p w:rsidR="00567FDD" w:rsidRDefault="00567FDD">
                            <w:pPr>
                              <w:jc w:val="center"/>
                              <w:textDirection w:val="btLr"/>
                            </w:pPr>
                            <w:r>
                              <w:rPr>
                                <w:rFonts w:ascii="Arial" w:eastAsia="Arial" w:hAnsi="Arial" w:cs="Arial"/>
                                <w:smallCaps/>
                                <w:sz w:val="16"/>
                              </w:rPr>
                              <w:t>Units for Magnetic Properties</w:t>
                            </w:r>
                          </w:p>
                          <w:p w:rsidR="00567FDD" w:rsidRDefault="00567FDD">
                            <w:pPr>
                              <w:ind w:firstLine="202"/>
                              <w:jc w:val="both"/>
                              <w:textDirection w:val="btLr"/>
                            </w:pPr>
                            <w:r>
                              <w:rPr>
                                <w:rFonts w:ascii="Arial" w:eastAsia="Arial" w:hAnsi="Arial" w:cs="Arial"/>
                                <w:sz w:val="16"/>
                              </w:rPr>
                              <w:t xml:space="preserve">Vertical lines are optional in tables. Statements that serve as captions for the entire table do not need footnote letters. </w:t>
                            </w:r>
                          </w:p>
                          <w:p w:rsidR="00567FDD" w:rsidRDefault="00567FDD">
                            <w:pPr>
                              <w:ind w:firstLine="202"/>
                              <w:jc w:val="both"/>
                              <w:textDirection w:val="btLr"/>
                            </w:pPr>
                            <w:proofErr w:type="spellStart"/>
                            <w:proofErr w:type="gramStart"/>
                            <w:r>
                              <w:rPr>
                                <w:rFonts w:ascii="Arial" w:eastAsia="Arial" w:hAnsi="Arial" w:cs="Arial"/>
                                <w:sz w:val="16"/>
                                <w:vertAlign w:val="superscript"/>
                              </w:rPr>
                              <w:t>a</w:t>
                            </w:r>
                            <w:r>
                              <w:rPr>
                                <w:rFonts w:ascii="Arial" w:eastAsia="Arial" w:hAnsi="Arial" w:cs="Arial"/>
                                <w:sz w:val="16"/>
                              </w:rPr>
                              <w:t>Gaussian</w:t>
                            </w:r>
                            <w:proofErr w:type="spellEnd"/>
                            <w:proofErr w:type="gramEnd"/>
                            <w:r>
                              <w:rPr>
                                <w:rFonts w:ascii="Arial" w:eastAsia="Arial" w:hAnsi="Arial" w:cs="Arial"/>
                                <w:sz w:val="16"/>
                              </w:rPr>
                              <w:t xml:space="preserve"> units are the same as cg emu for </w:t>
                            </w:r>
                            <w:proofErr w:type="spellStart"/>
                            <w:r>
                              <w:rPr>
                                <w:rFonts w:ascii="Arial" w:eastAsia="Arial" w:hAnsi="Arial" w:cs="Arial"/>
                                <w:sz w:val="16"/>
                              </w:rPr>
                              <w:t>magnetostatics</w:t>
                            </w:r>
                            <w:proofErr w:type="spellEnd"/>
                            <w:r>
                              <w:rPr>
                                <w:rFonts w:ascii="Arial" w:eastAsia="Arial" w:hAnsi="Arial" w:cs="Arial"/>
                                <w:sz w:val="16"/>
                              </w:rPr>
                              <w:t xml:space="preserve">; </w:t>
                            </w:r>
                            <w:proofErr w:type="spellStart"/>
                            <w:r>
                              <w:rPr>
                                <w:rFonts w:ascii="Arial" w:eastAsia="Arial" w:hAnsi="Arial" w:cs="Arial"/>
                                <w:sz w:val="16"/>
                              </w:rPr>
                              <w:t>Mx</w:t>
                            </w:r>
                            <w:proofErr w:type="spellEnd"/>
                            <w:r>
                              <w:rPr>
                                <w:rFonts w:ascii="Arial" w:eastAsia="Arial" w:hAnsi="Arial" w:cs="Arial"/>
                                <w:sz w:val="16"/>
                              </w:rPr>
                              <w:t xml:space="preserve"> = </w:t>
                            </w:r>
                            <w:proofErr w:type="spellStart"/>
                            <w:r>
                              <w:rPr>
                                <w:rFonts w:ascii="Arial" w:eastAsia="Arial" w:hAnsi="Arial" w:cs="Arial"/>
                                <w:sz w:val="16"/>
                              </w:rPr>
                              <w:t>maxwell</w:t>
                            </w:r>
                            <w:proofErr w:type="spellEnd"/>
                            <w:r>
                              <w:rPr>
                                <w:rFonts w:ascii="Arial" w:eastAsia="Arial" w:hAnsi="Arial" w:cs="Arial"/>
                                <w:sz w:val="16"/>
                              </w:rPr>
                              <w:t xml:space="preserve">, G = gauss, </w:t>
                            </w:r>
                            <w:proofErr w:type="spellStart"/>
                            <w:r>
                              <w:rPr>
                                <w:rFonts w:ascii="Arial" w:eastAsia="Arial" w:hAnsi="Arial" w:cs="Arial"/>
                                <w:sz w:val="16"/>
                              </w:rPr>
                              <w:t>Oe</w:t>
                            </w:r>
                            <w:proofErr w:type="spellEnd"/>
                            <w:r>
                              <w:rPr>
                                <w:rFonts w:ascii="Arial" w:eastAsia="Arial" w:hAnsi="Arial" w:cs="Arial"/>
                                <w:sz w:val="16"/>
                              </w:rPr>
                              <w:t xml:space="preserve"> = </w:t>
                            </w:r>
                            <w:proofErr w:type="spellStart"/>
                            <w:r>
                              <w:rPr>
                                <w:rFonts w:ascii="Arial" w:eastAsia="Arial" w:hAnsi="Arial" w:cs="Arial"/>
                                <w:sz w:val="16"/>
                              </w:rPr>
                              <w:t>oersted</w:t>
                            </w:r>
                            <w:proofErr w:type="spellEnd"/>
                            <w:r>
                              <w:rPr>
                                <w:rFonts w:ascii="Arial" w:eastAsia="Arial" w:hAnsi="Arial" w:cs="Arial"/>
                                <w:sz w:val="16"/>
                              </w:rPr>
                              <w:t xml:space="preserve">; </w:t>
                            </w:r>
                            <w:proofErr w:type="spellStart"/>
                            <w:r>
                              <w:rPr>
                                <w:rFonts w:ascii="Arial" w:eastAsia="Arial" w:hAnsi="Arial" w:cs="Arial"/>
                                <w:sz w:val="16"/>
                              </w:rPr>
                              <w:t>Wb</w:t>
                            </w:r>
                            <w:proofErr w:type="spellEnd"/>
                            <w:r>
                              <w:rPr>
                                <w:rFonts w:ascii="Arial" w:eastAsia="Arial" w:hAnsi="Arial" w:cs="Arial"/>
                                <w:sz w:val="16"/>
                              </w:rPr>
                              <w:t xml:space="preserve"> = weber, V = volt, s = second, T = tesla, m = meter, A = ampere, J = joule, kg = kilogram, H = henry.</w:t>
                            </w:r>
                          </w:p>
                          <w:p w:rsidR="00567FDD" w:rsidRDefault="00567FDD">
                            <w:pPr>
                              <w:ind w:firstLine="202"/>
                              <w:jc w:val="both"/>
                              <w:textDirection w:val="btLr"/>
                            </w:pPr>
                          </w:p>
                          <w:p w:rsidR="00567FDD" w:rsidRDefault="00567FDD">
                            <w:pPr>
                              <w:textDirection w:val="btLr"/>
                            </w:pPr>
                          </w:p>
                        </w:txbxContent>
                      </wps:txbx>
                      <wps:bodyPr spcFirstLastPara="1" wrap="square" lIns="0" tIns="0" rIns="0" bIns="0" anchor="t" anchorCtr="0"/>
                    </wps:wsp>
                  </a:graphicData>
                </a:graphic>
              </wp:anchor>
            </w:drawing>
          </mc:Choice>
          <mc:Fallback>
            <w:pict>
              <v:rect id="Rectangle 5" o:spid="_x0000_s1026" style="position:absolute;margin-left:269pt;margin-top:0;width:249.15pt;height:319.5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" stroked="f">
                <v:textbox inset="0,0,0,0">
                  <w:txbxContent>
                    <w:p w:rsidR="00567FDD" w:rsidRDefault="00567FDD">
                      <w:pPr>
                        <w:jc w:val="center"/>
                        <w:textDirection w:val="btLr"/>
                      </w:pPr>
                      <w:r>
                        <w:rPr>
                          <w:rFonts w:ascii="Arial" w:eastAsia="Arial" w:hAnsi="Arial" w:cs="Arial"/>
                          <w:smallCaps/>
                          <w:sz w:val="16"/>
                        </w:rPr>
                        <w:t>TABLE I</w:t>
                      </w:r>
                    </w:p>
                    <w:p w:rsidR="00567FDD" w:rsidRDefault="00567FDD">
                      <w:pPr>
                        <w:jc w:val="center"/>
                        <w:textDirection w:val="btLr"/>
                      </w:pPr>
                      <w:r>
                        <w:rPr>
                          <w:rFonts w:ascii="Arial" w:eastAsia="Arial" w:hAnsi="Arial" w:cs="Arial"/>
                          <w:smallCaps/>
                          <w:sz w:val="16"/>
                        </w:rPr>
                        <w:t>Units for Magnetic Properties</w:t>
                      </w:r>
                    </w:p>
                    <w:p w:rsidR="00567FDD" w:rsidRDefault="00567FDD">
                      <w:pPr>
                        <w:ind w:firstLine="202"/>
                        <w:jc w:val="both"/>
                        <w:textDirection w:val="btLr"/>
                      </w:pPr>
                      <w:r>
                        <w:rPr>
                          <w:rFonts w:ascii="Arial" w:eastAsia="Arial" w:hAnsi="Arial" w:cs="Arial"/>
                          <w:sz w:val="16"/>
                        </w:rPr>
                        <w:t xml:space="preserve">Vertical lines are optional in tables. Statements that serve as captions for the entire table do not need footnote letters. </w:t>
                      </w:r>
                    </w:p>
                    <w:p w:rsidR="00567FDD" w:rsidRDefault="00567FDD">
                      <w:pPr>
                        <w:ind w:firstLine="202"/>
                        <w:jc w:val="both"/>
                        <w:textDirection w:val="btLr"/>
                      </w:pPr>
                      <w:proofErr w:type="spellStart"/>
                      <w:proofErr w:type="gramStart"/>
                      <w:r>
                        <w:rPr>
                          <w:rFonts w:ascii="Arial" w:eastAsia="Arial" w:hAnsi="Arial" w:cs="Arial"/>
                          <w:sz w:val="16"/>
                          <w:vertAlign w:val="superscript"/>
                        </w:rPr>
                        <w:t>a</w:t>
                      </w:r>
                      <w:r>
                        <w:rPr>
                          <w:rFonts w:ascii="Arial" w:eastAsia="Arial" w:hAnsi="Arial" w:cs="Arial"/>
                          <w:sz w:val="16"/>
                        </w:rPr>
                        <w:t>Gaussian</w:t>
                      </w:r>
                      <w:proofErr w:type="spellEnd"/>
                      <w:proofErr w:type="gramEnd"/>
                      <w:r>
                        <w:rPr>
                          <w:rFonts w:ascii="Arial" w:eastAsia="Arial" w:hAnsi="Arial" w:cs="Arial"/>
                          <w:sz w:val="16"/>
                        </w:rPr>
                        <w:t xml:space="preserve"> units are the same as cg emu for </w:t>
                      </w:r>
                      <w:proofErr w:type="spellStart"/>
                      <w:r>
                        <w:rPr>
                          <w:rFonts w:ascii="Arial" w:eastAsia="Arial" w:hAnsi="Arial" w:cs="Arial"/>
                          <w:sz w:val="16"/>
                        </w:rPr>
                        <w:t>magnetostatics</w:t>
                      </w:r>
                      <w:proofErr w:type="spellEnd"/>
                      <w:r>
                        <w:rPr>
                          <w:rFonts w:ascii="Arial" w:eastAsia="Arial" w:hAnsi="Arial" w:cs="Arial"/>
                          <w:sz w:val="16"/>
                        </w:rPr>
                        <w:t xml:space="preserve">; </w:t>
                      </w:r>
                      <w:proofErr w:type="spellStart"/>
                      <w:r>
                        <w:rPr>
                          <w:rFonts w:ascii="Arial" w:eastAsia="Arial" w:hAnsi="Arial" w:cs="Arial"/>
                          <w:sz w:val="16"/>
                        </w:rPr>
                        <w:t>Mx</w:t>
                      </w:r>
                      <w:proofErr w:type="spellEnd"/>
                      <w:r>
                        <w:rPr>
                          <w:rFonts w:ascii="Arial" w:eastAsia="Arial" w:hAnsi="Arial" w:cs="Arial"/>
                          <w:sz w:val="16"/>
                        </w:rPr>
                        <w:t xml:space="preserve"> = </w:t>
                      </w:r>
                      <w:proofErr w:type="spellStart"/>
                      <w:r>
                        <w:rPr>
                          <w:rFonts w:ascii="Arial" w:eastAsia="Arial" w:hAnsi="Arial" w:cs="Arial"/>
                          <w:sz w:val="16"/>
                        </w:rPr>
                        <w:t>maxwell</w:t>
                      </w:r>
                      <w:proofErr w:type="spellEnd"/>
                      <w:r>
                        <w:rPr>
                          <w:rFonts w:ascii="Arial" w:eastAsia="Arial" w:hAnsi="Arial" w:cs="Arial"/>
                          <w:sz w:val="16"/>
                        </w:rPr>
                        <w:t xml:space="preserve">, G = gauss, </w:t>
                      </w:r>
                      <w:proofErr w:type="spellStart"/>
                      <w:r>
                        <w:rPr>
                          <w:rFonts w:ascii="Arial" w:eastAsia="Arial" w:hAnsi="Arial" w:cs="Arial"/>
                          <w:sz w:val="16"/>
                        </w:rPr>
                        <w:t>Oe</w:t>
                      </w:r>
                      <w:proofErr w:type="spellEnd"/>
                      <w:r>
                        <w:rPr>
                          <w:rFonts w:ascii="Arial" w:eastAsia="Arial" w:hAnsi="Arial" w:cs="Arial"/>
                          <w:sz w:val="16"/>
                        </w:rPr>
                        <w:t xml:space="preserve"> = </w:t>
                      </w:r>
                      <w:proofErr w:type="spellStart"/>
                      <w:r>
                        <w:rPr>
                          <w:rFonts w:ascii="Arial" w:eastAsia="Arial" w:hAnsi="Arial" w:cs="Arial"/>
                          <w:sz w:val="16"/>
                        </w:rPr>
                        <w:t>oersted</w:t>
                      </w:r>
                      <w:proofErr w:type="spellEnd"/>
                      <w:r>
                        <w:rPr>
                          <w:rFonts w:ascii="Arial" w:eastAsia="Arial" w:hAnsi="Arial" w:cs="Arial"/>
                          <w:sz w:val="16"/>
                        </w:rPr>
                        <w:t xml:space="preserve">; </w:t>
                      </w:r>
                      <w:proofErr w:type="spellStart"/>
                      <w:r>
                        <w:rPr>
                          <w:rFonts w:ascii="Arial" w:eastAsia="Arial" w:hAnsi="Arial" w:cs="Arial"/>
                          <w:sz w:val="16"/>
                        </w:rPr>
                        <w:t>Wb</w:t>
                      </w:r>
                      <w:proofErr w:type="spellEnd"/>
                      <w:r>
                        <w:rPr>
                          <w:rFonts w:ascii="Arial" w:eastAsia="Arial" w:hAnsi="Arial" w:cs="Arial"/>
                          <w:sz w:val="16"/>
                        </w:rPr>
                        <w:t xml:space="preserve"> = weber, V = volt, s = second, T = tesla, m = meter, A = ampere, J = joule, kg = kilogram, H = henry.</w:t>
                      </w:r>
                    </w:p>
                    <w:p w:rsidR="00567FDD" w:rsidRDefault="00567FDD">
                      <w:pPr>
                        <w:ind w:firstLine="202"/>
                        <w:jc w:val="both"/>
                        <w:textDirection w:val="btLr"/>
                      </w:pPr>
                    </w:p>
                    <w:p w:rsidR="00567FDD" w:rsidRDefault="00567FDD">
                      <w:pPr>
                        <w:textDirection w:val="btLr"/>
                      </w:pPr>
                    </w:p>
                  </w:txbxContent>
                </v:textbox>
                <w10:wrap type="square" anchorx="margin"/>
              </v:rect>
            </w:pict>
          </mc:Fallback>
        </mc:AlternateContent>
      </w:r>
      <w:r>
        <w:rPr>
          <w:noProof/>
          <w:lang w:val="en-IN"/>
        </w:rPr>
        <mc:AlternateContent>
          <mc:Choice Requires="wps">
            <w:drawing>
              <wp:anchor distT="0" distB="0" distL="114300" distR="114300" simplePos="0" relativeHeight="251659264" behindDoc="1" locked="0" layoutInCell="1" hidden="0" allowOverlap="1">
                <wp:simplePos x="0" y="0"/>
                <wp:positionH relativeFrom="margin">
                  <wp:posOffset>12700</wp:posOffset>
                </wp:positionH>
                <wp:positionV relativeFrom="paragraph">
                  <wp:posOffset>76200</wp:posOffset>
                </wp:positionV>
                <wp:extent cx="3164205" cy="29813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3768660" y="2294100"/>
                          <a:ext cx="3154680" cy="2971800"/>
                        </a:xfrm>
                        <a:prstGeom prst="rect">
                          <a:avLst/>
                        </a:prstGeom>
                        <a:solidFill>
                          <a:srgbClr val="FFFFFF"/>
                        </a:solidFill>
                        <a:ln>
                          <a:noFill/>
                        </a:ln>
                      </wps:spPr>
                      <wps:txbx>
                        <w:txbxContent>
                          <w:p w:rsidR="00567FDD" w:rsidRDefault="00567FDD">
                            <w:pPr>
                              <w:jc w:val="both"/>
                              <w:textDirection w:val="btLr"/>
                            </w:pPr>
                          </w:p>
                          <w:p w:rsidR="00567FDD" w:rsidRDefault="00567FDD">
                            <w:pPr>
                              <w:jc w:val="both"/>
                              <w:textDirection w:val="btLr"/>
                            </w:pPr>
                            <w:r>
                              <w:rPr>
                                <w:rFonts w:ascii="Arial" w:eastAsia="Arial" w:hAnsi="Arial" w:cs="Arial"/>
                                <w:sz w:val="16"/>
                              </w:rPr>
                              <w:t>Fig. 1.  Magnetization as a function of applied field. Note that “Fig.” is abbreviated. There is a period after the figure number, followed by two spaces. It is good practice to explain the significance of the figure in the caption.</w:t>
                            </w:r>
                          </w:p>
                          <w:p w:rsidR="00567FDD" w:rsidRDefault="00567FDD">
                            <w:pPr>
                              <w:jc w:val="both"/>
                              <w:textDirection w:val="btLr"/>
                            </w:pPr>
                            <w:r>
                              <w:rPr>
                                <w:rFonts w:ascii="Arial" w:eastAsia="Arial" w:hAnsi="Arial" w:cs="Arial"/>
                                <w:sz w:val="16"/>
                              </w:rPr>
                              <w:t xml:space="preserve"> </w:t>
                            </w:r>
                          </w:p>
                        </w:txbxContent>
                      </wps:txbx>
                      <wps:bodyPr spcFirstLastPara="1" wrap="square" lIns="0" tIns="0" rIns="0" bIns="0" anchor="t" anchorCtr="0"/>
                    </wps:wsp>
                  </a:graphicData>
                </a:graphic>
              </wp:anchor>
            </w:drawing>
          </mc:Choice>
          <mc:Fallback>
            <w:pict>
              <v:rect id="Rectangle 6" o:spid="_x0000_s1027" style="position:absolute;margin-left:1pt;margin-top:6pt;width:249.15pt;height:234.7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" stroked="f">
                <v:textbox inset="0,0,0,0">
                  <w:txbxContent>
                    <w:p w:rsidR="00567FDD" w:rsidRDefault="00567FDD">
                      <w:pPr>
                        <w:jc w:val="both"/>
                        <w:textDirection w:val="btLr"/>
                      </w:pPr>
                    </w:p>
                    <w:p w:rsidR="00567FDD" w:rsidRDefault="00567FDD">
                      <w:pPr>
                        <w:jc w:val="both"/>
                        <w:textDirection w:val="btLr"/>
                      </w:pPr>
                      <w:r>
                        <w:rPr>
                          <w:rFonts w:ascii="Arial" w:eastAsia="Arial" w:hAnsi="Arial" w:cs="Arial"/>
                          <w:sz w:val="16"/>
                        </w:rPr>
                        <w:t>Fig. 1.  Magnetization as a function of applied field. Note that “Fig.” is abbreviated. There is a period after the figure number, followed by two spaces. It is good practice to explain the significance of the figure in the caption.</w:t>
                      </w:r>
                    </w:p>
                    <w:p w:rsidR="00567FDD" w:rsidRDefault="00567FDD">
                      <w:pPr>
                        <w:jc w:val="both"/>
                        <w:textDirection w:val="btLr"/>
                      </w:pPr>
                      <w:r>
                        <w:rPr>
                          <w:rFonts w:ascii="Arial" w:eastAsia="Arial" w:hAnsi="Arial" w:cs="Arial"/>
                          <w:sz w:val="16"/>
                        </w:rPr>
                        <w:t xml:space="preserve"> </w:t>
                      </w:r>
                    </w:p>
                  </w:txbxContent>
                </v:textbox>
                <w10:wrap type="square" anchorx="margin"/>
              </v:rect>
            </w:pict>
          </mc:Fallback>
        </mc:AlternateContent>
      </w:r>
    </w:p>
    <w:p w:rsidR="00063F26" w:rsidRDefault="00567FDD">
      <w:pPr>
        <w:pStyle w:val="Heading1"/>
        <w:numPr>
          <w:ilvl w:val="0"/>
          <w:numId w:val="5"/>
        </w:numPr>
      </w:pPr>
      <w:r>
        <w:t xml:space="preserve">Guidelines for Graphics Preparation </w:t>
      </w:r>
      <w:r>
        <w:br/>
        <w:t>and Submission</w:t>
      </w:r>
    </w:p>
    <w:p w:rsidR="00063F26" w:rsidRDefault="00567FDD">
      <w:pPr>
        <w:pStyle w:val="Heading2"/>
        <w:numPr>
          <w:ilvl w:val="1"/>
          <w:numId w:val="5"/>
        </w:numPr>
      </w:pPr>
      <w:r>
        <w:t>Types of Graphics</w:t>
      </w:r>
    </w:p>
    <w:p w:rsidR="00063F26" w:rsidRDefault="00567FDD">
      <w:pPr>
        <w:ind w:firstLine="144"/>
        <w:jc w:val="both"/>
      </w:pPr>
      <w:r>
        <w:t>The following list outlines the different types of graphics published in IEEE journals. They are categorized based on their construction, and use of color / shades of gray:</w:t>
      </w:r>
    </w:p>
    <w:p w:rsidR="00063F26" w:rsidRDefault="00063F26"/>
    <w:p w:rsidR="00063F26" w:rsidRDefault="00567FDD">
      <w:pPr>
        <w:pStyle w:val="Heading3"/>
        <w:numPr>
          <w:ilvl w:val="2"/>
          <w:numId w:val="5"/>
        </w:numPr>
        <w:jc w:val="both"/>
        <w:rPr>
          <w:rFonts w:ascii="Times" w:eastAsia="Times" w:hAnsi="Times" w:cs="Times"/>
        </w:rPr>
      </w:pPr>
      <w:r>
        <w:t>Color/Grayscale figures</w:t>
      </w:r>
    </w:p>
    <w:p w:rsidR="00063F26" w:rsidRDefault="00567FDD">
      <w:pPr>
        <w:pStyle w:val="Heading3"/>
        <w:ind w:left="288"/>
        <w:jc w:val="both"/>
        <w:rPr>
          <w:rFonts w:ascii="Times" w:eastAsia="Times" w:hAnsi="Times" w:cs="Times"/>
          <w:i w:val="0"/>
        </w:rPr>
      </w:pPr>
      <w:r>
        <w:rPr>
          <w:rFonts w:ascii="Times" w:eastAsia="Times" w:hAnsi="Times" w:cs="Times"/>
          <w:i w:val="0"/>
        </w:rPr>
        <w:t xml:space="preserve"> Figures that are meant to appear in color, or shades of black/gray. Such figures may include photographs, </w:t>
      </w:r>
      <w:r>
        <w:rPr>
          <w:rFonts w:ascii="Times" w:eastAsia="Times" w:hAnsi="Times" w:cs="Times"/>
          <w:i w:val="0"/>
        </w:rPr>
        <w:br/>
        <w:t>illustrations, multicolor graphs, and flowcharts.</w:t>
      </w:r>
    </w:p>
    <w:p w:rsidR="00063F26" w:rsidRDefault="00567FDD">
      <w:pPr>
        <w:pStyle w:val="Heading3"/>
        <w:numPr>
          <w:ilvl w:val="2"/>
          <w:numId w:val="5"/>
        </w:numPr>
        <w:jc w:val="both"/>
        <w:rPr>
          <w:rFonts w:ascii="Times" w:eastAsia="Times" w:hAnsi="Times" w:cs="Times"/>
        </w:rPr>
      </w:pPr>
      <w:r>
        <w:t>Line Art figures</w:t>
      </w:r>
    </w:p>
    <w:p w:rsidR="00063F26" w:rsidRDefault="00567FDD">
      <w:pPr>
        <w:pStyle w:val="Heading3"/>
        <w:ind w:left="288"/>
        <w:jc w:val="both"/>
        <w:rPr>
          <w:rFonts w:ascii="Times" w:eastAsia="Times" w:hAnsi="Times" w:cs="Times"/>
          <w:i w:val="0"/>
        </w:rPr>
      </w:pPr>
      <w:r>
        <w:rPr>
          <w:rFonts w:ascii="Times" w:eastAsia="Times" w:hAnsi="Times" w:cs="Times"/>
          <w:i w:val="0"/>
        </w:rPr>
        <w:t>Figures that are composed of only black lines and shapes. These figures should have no shades or half-tones of gray, only black and white.</w:t>
      </w:r>
    </w:p>
    <w:p w:rsidR="00063F26" w:rsidRDefault="00567FDD">
      <w:pPr>
        <w:pStyle w:val="Heading3"/>
        <w:numPr>
          <w:ilvl w:val="2"/>
          <w:numId w:val="5"/>
        </w:numPr>
        <w:jc w:val="both"/>
        <w:rPr>
          <w:rFonts w:ascii="Times" w:eastAsia="Times" w:hAnsi="Times" w:cs="Times"/>
        </w:rPr>
      </w:pPr>
      <w:r>
        <w:t>Author photos</w:t>
      </w:r>
    </w:p>
    <w:p w:rsidR="00063F26" w:rsidRDefault="00567FDD">
      <w:pPr>
        <w:pStyle w:val="Heading3"/>
        <w:ind w:left="288"/>
        <w:jc w:val="both"/>
        <w:rPr>
          <w:rFonts w:ascii="Times" w:eastAsia="Times" w:hAnsi="Times" w:cs="Times"/>
          <w:i w:val="0"/>
        </w:rPr>
      </w:pPr>
      <w:r>
        <w:rPr>
          <w:rFonts w:ascii="Times" w:eastAsia="Times" w:hAnsi="Times" w:cs="Times"/>
          <w:i w:val="0"/>
        </w:rPr>
        <w:t xml:space="preserve">Head and shoulders shots of authors that appear at the end of our papers. </w:t>
      </w:r>
    </w:p>
    <w:p w:rsidR="00063F26" w:rsidRDefault="00567FDD">
      <w:pPr>
        <w:pStyle w:val="Heading3"/>
        <w:numPr>
          <w:ilvl w:val="2"/>
          <w:numId w:val="5"/>
        </w:numPr>
        <w:jc w:val="both"/>
        <w:rPr>
          <w:rFonts w:ascii="Times" w:eastAsia="Times" w:hAnsi="Times" w:cs="Times"/>
        </w:rPr>
      </w:pPr>
      <w:r>
        <w:t>Tables</w:t>
      </w:r>
      <w:r>
        <w:rPr>
          <w:rFonts w:ascii="Times" w:eastAsia="Times" w:hAnsi="Times" w:cs="Times"/>
        </w:rPr>
        <w:br/>
      </w:r>
      <w:r>
        <w:rPr>
          <w:rFonts w:ascii="Times" w:eastAsia="Times" w:hAnsi="Times" w:cs="Times"/>
          <w:i w:val="0"/>
        </w:rPr>
        <w:t>Data charts which are typically black and white, but sometimes include color.</w:t>
      </w:r>
    </w:p>
    <w:p w:rsidR="00063F26" w:rsidRDefault="00567FDD">
      <w:pPr>
        <w:pStyle w:val="Heading2"/>
        <w:numPr>
          <w:ilvl w:val="1"/>
          <w:numId w:val="5"/>
        </w:numPr>
        <w:jc w:val="both"/>
        <w:rPr>
          <w:rFonts w:ascii="Cambria" w:eastAsia="Cambria" w:hAnsi="Cambria" w:cs="Cambria"/>
        </w:rPr>
      </w:pPr>
      <w:r>
        <w:rPr>
          <w:rFonts w:ascii="Cambria" w:eastAsia="Cambria" w:hAnsi="Cambria" w:cs="Cambria"/>
        </w:rPr>
        <w:t>Multipart figures</w:t>
      </w:r>
    </w:p>
    <w:p w:rsidR="00063F26" w:rsidRDefault="00567FDD">
      <w:pPr>
        <w:ind w:firstLine="144"/>
        <w:jc w:val="both"/>
        <w:rPr>
          <w:rFonts w:ascii="Times" w:eastAsia="Times" w:hAnsi="Times" w:cs="Times"/>
        </w:rPr>
      </w:pPr>
      <w:r>
        <w:rPr>
          <w:rFonts w:ascii="Times" w:eastAsia="Times" w:hAnsi="Times" w:cs="Times"/>
        </w:rPr>
        <w:t xml:space="preserve">Figures compiled of more than one sub-figure presented side-by-side, or stacked. If a multipart figure is made up of multiple figure types (one part is </w:t>
      </w:r>
      <w:proofErr w:type="spellStart"/>
      <w:r>
        <w:rPr>
          <w:rFonts w:ascii="Times" w:eastAsia="Times" w:hAnsi="Times" w:cs="Times"/>
        </w:rPr>
        <w:t>lineart</w:t>
      </w:r>
      <w:proofErr w:type="spellEnd"/>
      <w:r>
        <w:rPr>
          <w:rFonts w:ascii="Times" w:eastAsia="Times" w:hAnsi="Times" w:cs="Times"/>
        </w:rPr>
        <w:t>, and another is grayscale or color) the figure should meet the stricter guidelines.</w:t>
      </w:r>
    </w:p>
    <w:p w:rsidR="00063F26" w:rsidRDefault="00567FDD">
      <w:pPr>
        <w:pStyle w:val="Heading2"/>
        <w:numPr>
          <w:ilvl w:val="1"/>
          <w:numId w:val="5"/>
        </w:numPr>
        <w:jc w:val="both"/>
      </w:pPr>
      <w:r>
        <w:t xml:space="preserve">File Formats </w:t>
      </w:r>
      <w:proofErr w:type="gramStart"/>
      <w:r>
        <w:t>For</w:t>
      </w:r>
      <w:proofErr w:type="gramEnd"/>
      <w:r>
        <w:t xml:space="preserve"> Graphics</w:t>
      </w:r>
    </w:p>
    <w:p w:rsidR="00063F26" w:rsidRDefault="00567FDD">
      <w:pPr>
        <w:ind w:firstLine="144"/>
        <w:jc w:val="both"/>
      </w:pPr>
      <w:r>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063F26" w:rsidRDefault="00567FDD">
      <w:pPr>
        <w:pStyle w:val="Heading2"/>
        <w:numPr>
          <w:ilvl w:val="1"/>
          <w:numId w:val="5"/>
        </w:numPr>
        <w:jc w:val="both"/>
      </w:pPr>
      <w:r>
        <w:t>Sizing of Graphics</w:t>
      </w:r>
    </w:p>
    <w:p w:rsidR="00063F26" w:rsidRDefault="00567FDD">
      <w:pPr>
        <w:ind w:firstLine="144"/>
        <w:jc w:val="both"/>
        <w:rPr>
          <w:rFonts w:ascii="Times" w:eastAsia="Times" w:hAnsi="Times" w:cs="Times"/>
        </w:rPr>
      </w:pPr>
      <w:r>
        <w:rPr>
          <w:rFonts w:ascii="Times" w:eastAsia="Times" w:hAnsi="Times" w:cs="Times"/>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063F26" w:rsidRDefault="00567FDD">
      <w:pPr>
        <w:ind w:firstLine="144"/>
        <w:jc w:val="both"/>
        <w:rPr>
          <w:rFonts w:ascii="Times" w:eastAsia="Times" w:hAnsi="Times" w:cs="Times"/>
        </w:rPr>
      </w:pPr>
      <w:r>
        <w:rPr>
          <w:rFonts w:ascii="Times" w:eastAsia="Times" w:hAnsi="Times" w:cs="Times"/>
        </w:rPr>
        <w:t xml:space="preserve">There is currently one publication with column measurements that do not coincide with those listed above. </w:t>
      </w:r>
      <w:r>
        <w:rPr>
          <w:smallCaps/>
        </w:rPr>
        <w:t>Proceedings of the IEEE</w:t>
      </w:r>
      <w:r>
        <w:rPr>
          <w:rFonts w:ascii="Times" w:eastAsia="Times" w:hAnsi="Times" w:cs="Times"/>
        </w:rPr>
        <w:t xml:space="preserve"> has a column measurement of 3.25 inches (82.5 millimeters / 19.5 picas). </w:t>
      </w:r>
    </w:p>
    <w:p w:rsidR="00063F26" w:rsidRDefault="00567FDD">
      <w:pPr>
        <w:ind w:firstLine="144"/>
        <w:jc w:val="both"/>
        <w:rPr>
          <w:rFonts w:ascii="Times" w:eastAsia="Times" w:hAnsi="Times" w:cs="Times"/>
        </w:rPr>
      </w:pPr>
      <w:r>
        <w:rPr>
          <w:rFonts w:ascii="Times" w:eastAsia="Times" w:hAnsi="Times" w:cs="Times"/>
        </w:rPr>
        <w:t xml:space="preserve">The final printed size of author photographs is exactly </w:t>
      </w:r>
      <w:r>
        <w:rPr>
          <w:rFonts w:ascii="Times" w:eastAsia="Times" w:hAnsi="Times" w:cs="Times"/>
        </w:rPr>
        <w:br/>
        <w:t>1 inch wide by 1.25 inches tall (25.4 millimeters x 31.75 millimeters / 6 picas x 7.5 picas). Author photos printed in editorials measure 1.59 inches wide by 2 inches tall (40 millimeters x 50 millimeters / 9.5 picas x 12 picas).</w:t>
      </w:r>
    </w:p>
    <w:p w:rsidR="00063F26" w:rsidRDefault="00567FDD">
      <w:pPr>
        <w:pStyle w:val="Heading2"/>
        <w:numPr>
          <w:ilvl w:val="1"/>
          <w:numId w:val="5"/>
        </w:numPr>
        <w:jc w:val="both"/>
        <w:rPr>
          <w:rFonts w:ascii="Times" w:eastAsia="Times" w:hAnsi="Times" w:cs="Times"/>
          <w:smallCaps/>
        </w:rPr>
      </w:pPr>
      <w:r>
        <w:lastRenderedPageBreak/>
        <w:t>Resolution</w:t>
      </w:r>
      <w:r>
        <w:rPr>
          <w:rFonts w:ascii="Times" w:eastAsia="Times" w:hAnsi="Times" w:cs="Times"/>
        </w:rPr>
        <w:t xml:space="preserve"> </w:t>
      </w:r>
    </w:p>
    <w:p w:rsidR="00063F26" w:rsidRDefault="00567FDD">
      <w:pPr>
        <w:ind w:firstLine="144"/>
        <w:jc w:val="both"/>
        <w:rPr>
          <w:rFonts w:ascii="Times" w:eastAsia="Times" w:hAnsi="Times" w:cs="Times"/>
        </w:rPr>
      </w:pPr>
      <w:r>
        <w:rPr>
          <w:rFonts w:ascii="Times" w:eastAsia="Times" w:hAnsi="Times" w:cs="Times"/>
        </w:rPr>
        <w:t>The proper resolution of your figures will depend on the type of figure it is as defined in the “Types of Figures” section. Author photographs, color, and grayscale figures should be at least 300dpi. Line art, including tables should be a minimum of 600dpi.</w:t>
      </w:r>
    </w:p>
    <w:p w:rsidR="00063F26" w:rsidRDefault="00567FDD">
      <w:pPr>
        <w:pStyle w:val="Heading2"/>
        <w:numPr>
          <w:ilvl w:val="1"/>
          <w:numId w:val="5"/>
        </w:numPr>
        <w:jc w:val="both"/>
        <w:rPr>
          <w:rFonts w:ascii="Cambria" w:eastAsia="Cambria" w:hAnsi="Cambria" w:cs="Cambria"/>
          <w:smallCaps/>
        </w:rPr>
      </w:pPr>
      <w:r>
        <w:rPr>
          <w:rFonts w:ascii="Cambria" w:eastAsia="Cambria" w:hAnsi="Cambria" w:cs="Cambria"/>
        </w:rPr>
        <w:t>Vector Art</w:t>
      </w:r>
    </w:p>
    <w:p w:rsidR="00063F26" w:rsidRDefault="00567FDD">
      <w:pPr>
        <w:ind w:firstLine="144"/>
        <w:jc w:val="both"/>
        <w:rPr>
          <w:rFonts w:ascii="Times" w:eastAsia="Times" w:hAnsi="Times" w:cs="Times"/>
        </w:rPr>
      </w:pPr>
      <w:r>
        <w:rPr>
          <w:rFonts w:ascii="Times" w:eastAsia="Times" w:hAnsi="Times" w:cs="Times"/>
        </w:rPr>
        <w:t>In order to preserve the figures’ integrity across multiple computer platforms, we accept files in the following formats: .EPS/.PDF/.PS. All fonts must be embedded or text converted to outlines in order to achieve the best-quality results.</w:t>
      </w:r>
    </w:p>
    <w:p w:rsidR="00063F26" w:rsidRDefault="00063F26">
      <w:pPr>
        <w:jc w:val="both"/>
      </w:pPr>
    </w:p>
    <w:p w:rsidR="00063F26" w:rsidRDefault="00567FDD">
      <w:pPr>
        <w:pStyle w:val="Heading2"/>
        <w:numPr>
          <w:ilvl w:val="1"/>
          <w:numId w:val="5"/>
        </w:numPr>
        <w:jc w:val="both"/>
        <w:rPr>
          <w:rFonts w:ascii="Cambria" w:eastAsia="Cambria" w:hAnsi="Cambria" w:cs="Cambria"/>
          <w:smallCaps/>
        </w:rPr>
      </w:pPr>
      <w:r>
        <w:rPr>
          <w:rFonts w:ascii="Cambria" w:eastAsia="Cambria" w:hAnsi="Cambria" w:cs="Cambria"/>
        </w:rPr>
        <w:t>Color Space</w:t>
      </w:r>
    </w:p>
    <w:p w:rsidR="00063F26" w:rsidRDefault="00567FDD">
      <w:pPr>
        <w:ind w:firstLine="144"/>
        <w:jc w:val="both"/>
        <w:rPr>
          <w:rFonts w:ascii="Times" w:eastAsia="Times" w:hAnsi="Times" w:cs="Times"/>
        </w:rPr>
      </w:pPr>
      <w:r>
        <w:rPr>
          <w:rFonts w:ascii="Times" w:eastAsia="Times" w:hAnsi="Times" w:cs="Times"/>
        </w:rP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063F26" w:rsidRDefault="00567FDD">
      <w:pPr>
        <w:ind w:firstLine="144"/>
        <w:jc w:val="both"/>
        <w:rPr>
          <w:rFonts w:ascii="Times" w:eastAsia="Times" w:hAnsi="Times" w:cs="Times"/>
        </w:rPr>
      </w:pPr>
      <w:r>
        <w:rPr>
          <w:rFonts w:ascii="Times" w:eastAsia="Times" w:hAnsi="Times" w:cs="Times"/>
        </w:rPr>
        <w:t xml:space="preserve">All color figures should be generated in RGB or CMYK color space. Grayscale images should be submitted in Grayscale color space. Line art may be provided in grayscale OR bitmap </w:t>
      </w:r>
      <w:proofErr w:type="spellStart"/>
      <w:r>
        <w:rPr>
          <w:rFonts w:ascii="Times" w:eastAsia="Times" w:hAnsi="Times" w:cs="Times"/>
        </w:rPr>
        <w:t>colorspace</w:t>
      </w:r>
      <w:proofErr w:type="spellEnd"/>
      <w:r>
        <w:rPr>
          <w:rFonts w:ascii="Times" w:eastAsia="Times" w:hAnsi="Times" w:cs="Times"/>
        </w:rPr>
        <w:t xml:space="preserve">. Note that “bitmap </w:t>
      </w:r>
      <w:proofErr w:type="spellStart"/>
      <w:r>
        <w:rPr>
          <w:rFonts w:ascii="Times" w:eastAsia="Times" w:hAnsi="Times" w:cs="Times"/>
        </w:rPr>
        <w:t>colorspace</w:t>
      </w:r>
      <w:proofErr w:type="spellEnd"/>
      <w:r>
        <w:rPr>
          <w:rFonts w:ascii="Times" w:eastAsia="Times" w:hAnsi="Times" w:cs="Times"/>
        </w:rPr>
        <w:t>” and “bitmap file format” are not the same thing. When bitmap color space is selected, .TIF/.TIFF/.PNG are the recommended file formats.</w:t>
      </w:r>
    </w:p>
    <w:p w:rsidR="00063F26" w:rsidRDefault="00063F26"/>
    <w:p w:rsidR="00063F26" w:rsidRDefault="00567FDD">
      <w:pPr>
        <w:pStyle w:val="Heading2"/>
        <w:numPr>
          <w:ilvl w:val="1"/>
          <w:numId w:val="5"/>
        </w:numPr>
      </w:pPr>
      <w:r>
        <w:t xml:space="preserve">Accepted Fonts </w:t>
      </w:r>
      <w:proofErr w:type="gramStart"/>
      <w:r>
        <w:t>Within</w:t>
      </w:r>
      <w:proofErr w:type="gramEnd"/>
      <w:r>
        <w:t xml:space="preserve"> Figures</w:t>
      </w:r>
    </w:p>
    <w:p w:rsidR="00063F26" w:rsidRDefault="00567FDD">
      <w:pPr>
        <w:ind w:firstLine="202"/>
        <w:rPr>
          <w:rFonts w:ascii="Times" w:eastAsia="Times" w:hAnsi="Times" w:cs="Times"/>
        </w:rPr>
      </w:pPr>
      <w:r>
        <w:rPr>
          <w:rFonts w:ascii="Times" w:eastAsia="Times" w:hAnsi="Times" w:cs="Times"/>
        </w:rP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rsidR="00063F26" w:rsidRDefault="00567FDD">
      <w:pPr>
        <w:ind w:firstLine="202"/>
        <w:rPr>
          <w:rFonts w:ascii="Times" w:eastAsia="Times" w:hAnsi="Times" w:cs="Times"/>
          <w:sz w:val="22"/>
          <w:szCs w:val="22"/>
        </w:rPr>
      </w:pPr>
      <w:r>
        <w:t>A safe option when finalizing your figures is to strip out the fonts before you save the files, creating “outline” type. This converts fonts to artwork what will appear uniformly on any screen.</w:t>
      </w:r>
    </w:p>
    <w:p w:rsidR="00063F26" w:rsidRDefault="00063F26"/>
    <w:p w:rsidR="00063F26" w:rsidRDefault="00567FDD">
      <w:pPr>
        <w:pStyle w:val="Heading2"/>
        <w:numPr>
          <w:ilvl w:val="1"/>
          <w:numId w:val="5"/>
        </w:numPr>
      </w:pPr>
      <w:r>
        <w:t xml:space="preserve">Using Labels </w:t>
      </w:r>
      <w:proofErr w:type="gramStart"/>
      <w:r>
        <w:t>Within</w:t>
      </w:r>
      <w:proofErr w:type="gramEnd"/>
      <w:r>
        <w:t xml:space="preserve"> Figures</w:t>
      </w:r>
    </w:p>
    <w:p w:rsidR="00063F26" w:rsidRDefault="00567FDD">
      <w:pPr>
        <w:pStyle w:val="Heading3"/>
        <w:numPr>
          <w:ilvl w:val="2"/>
          <w:numId w:val="5"/>
        </w:numPr>
      </w:pPr>
      <w:r>
        <w:t xml:space="preserve">Figure Axis labels </w:t>
      </w:r>
    </w:p>
    <w:p w:rsidR="00063F26" w:rsidRDefault="00567FDD">
      <w:pPr>
        <w:widowControl w:val="0"/>
        <w:spacing w:line="252" w:lineRule="auto"/>
        <w:ind w:firstLine="144"/>
        <w:jc w:val="both"/>
        <w:rPr>
          <w:b/>
        </w:rPr>
      </w:pPr>
      <w:r>
        <w:t xml:space="preserve">Figure axis labels are often a source of confusion. Use words rather than symbols. As an example, write the quantity “Magnetization,” or “Magnetization </w:t>
      </w:r>
      <w:r>
        <w:rPr>
          <w:i/>
        </w:rPr>
        <w:t>M</w:t>
      </w:r>
      <w:r>
        <w:t>,” not just “</w:t>
      </w:r>
      <w:r>
        <w:rPr>
          <w:i/>
        </w:rPr>
        <w:t>M</w:t>
      </w:r>
      <w:r>
        <w:t>.” Put units in parentheses. Do not label axes only with units. As in Fig. 1, for example, write “Magnetization (A/m)” or “Magnetization (</w:t>
      </w:r>
      <w:proofErr w:type="gramStart"/>
      <w:r>
        <w:t>A</w:t>
      </w:r>
      <w:proofErr w:type="gramEnd"/>
      <w:r>
        <w:rPr>
          <w:noProof/>
          <w:lang w:val="en-IN"/>
        </w:rPr>
        <w:drawing>
          <wp:inline distT="0" distB="0" distL="114300" distR="114300">
            <wp:extent cx="63500" cy="793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3500" cy="79375"/>
                    </a:xfrm>
                    <a:prstGeom prst="rect">
                      <a:avLst/>
                    </a:prstGeom>
                    <a:ln/>
                  </pic:spPr>
                </pic:pic>
              </a:graphicData>
            </a:graphic>
          </wp:inline>
        </w:drawing>
      </w:r>
      <w:r>
        <w:t>m</w:t>
      </w:r>
      <w:r>
        <w:rPr>
          <w:rFonts w:ascii="Symbol" w:eastAsia="Symbol" w:hAnsi="Symbol" w:cs="Symbol"/>
          <w:vertAlign w:val="superscript"/>
        </w:rPr>
        <w:t>−</w:t>
      </w:r>
      <w:r>
        <w:rPr>
          <w:vertAlign w:val="superscript"/>
        </w:rPr>
        <w:t>1</w:t>
      </w:r>
      <w:r>
        <w:t xml:space="preserve">),” not just “A/m.” Do not label axes with a ratio of quantities and units. For example, write “Temperature (K),” not “Temperature/K.” </w:t>
      </w:r>
    </w:p>
    <w:p w:rsidR="00063F26" w:rsidRDefault="00567FDD">
      <w:pPr>
        <w:ind w:firstLine="144"/>
        <w:jc w:val="both"/>
      </w:pPr>
      <w:r>
        <w:t>Multipliers can be especially confusing. Write “Magnetization (kA/m)” or “Magnetization (10</w:t>
      </w:r>
      <w:r>
        <w:rPr>
          <w:vertAlign w:val="superscript"/>
        </w:rPr>
        <w:t>3</w:t>
      </w:r>
      <w:r>
        <w:t xml:space="preserve"> A/m).” Do not write “Magnetization (A/m) × 1000” because the reader would not know whether the top axis label in Fig. 1 meant 16000 A/m or 0.016 A/m. Figure labels should be legible, approximately 8 to 10 point type.</w:t>
      </w:r>
    </w:p>
    <w:p w:rsidR="00063F26" w:rsidRDefault="00063F26">
      <w:pPr>
        <w:jc w:val="both"/>
        <w:rPr>
          <w:rFonts w:ascii="Times" w:eastAsia="Times" w:hAnsi="Times" w:cs="Times"/>
        </w:rPr>
      </w:pPr>
    </w:p>
    <w:p w:rsidR="00063F26" w:rsidRDefault="00567FDD">
      <w:pPr>
        <w:pStyle w:val="Heading3"/>
        <w:numPr>
          <w:ilvl w:val="2"/>
          <w:numId w:val="5"/>
        </w:numPr>
        <w:jc w:val="both"/>
      </w:pPr>
      <w:r>
        <w:t>Subfigure Labels in Multipart Figures and Tables</w:t>
      </w:r>
    </w:p>
    <w:p w:rsidR="00063F26" w:rsidRDefault="00567FDD">
      <w:pPr>
        <w:ind w:firstLine="144"/>
        <w:jc w:val="both"/>
      </w:pPr>
      <w:r>
        <w:rPr>
          <w:rFonts w:ascii="Times" w:eastAsia="Times" w:hAnsi="Times" w:cs="Times"/>
        </w:rPr>
        <w:t xml:space="preserve">Multipart figures should be combined and labeled before final submission. Labels should appear centered below each subfigure in 8 point Times New Roman font in the format of (a) (b) (c). </w:t>
      </w:r>
    </w:p>
    <w:p w:rsidR="00063F26" w:rsidRDefault="00567FDD">
      <w:pPr>
        <w:pStyle w:val="Heading2"/>
        <w:numPr>
          <w:ilvl w:val="1"/>
          <w:numId w:val="5"/>
        </w:numPr>
        <w:jc w:val="both"/>
      </w:pPr>
      <w:r>
        <w:t>File Naming</w:t>
      </w:r>
    </w:p>
    <w:p w:rsidR="00063F26" w:rsidRDefault="00567FDD">
      <w:pPr>
        <w:jc w:val="both"/>
        <w:rPr>
          <w:rFonts w:ascii="Times" w:eastAsia="Times" w:hAnsi="Times" w:cs="Times"/>
          <w:smallCaps/>
        </w:rPr>
      </w:pPr>
      <w:r>
        <w:rPr>
          <w:rFonts w:ascii="Times" w:eastAsia="Times" w:hAnsi="Times" w:cs="Times"/>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063F26" w:rsidRDefault="00567FDD">
      <w:pPr>
        <w:jc w:val="both"/>
        <w:rPr>
          <w:rFonts w:ascii="Times" w:eastAsia="Times" w:hAnsi="Times" w:cs="Times"/>
        </w:rPr>
      </w:pPr>
      <w:r>
        <w:rPr>
          <w:rFonts w:ascii="Times" w:eastAsia="Times" w:hAnsi="Times" w:cs="Times"/>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063F26" w:rsidRDefault="00567FDD">
      <w:pPr>
        <w:jc w:val="both"/>
        <w:rPr>
          <w:rFonts w:ascii="Times" w:eastAsia="Times" w:hAnsi="Times" w:cs="Times"/>
        </w:rPr>
      </w:pPr>
      <w:r>
        <w:rPr>
          <w:rFonts w:ascii="Times" w:eastAsia="Times" w:hAnsi="Times" w:cs="Times"/>
        </w:rPr>
        <w:tab/>
        <w:t xml:space="preserve">Author photographs should be named using the first five characters of the pictured author’s last name. For example, four author photographs for a paper may be named: oppen.ps, </w:t>
      </w:r>
      <w:proofErr w:type="spellStart"/>
      <w:r>
        <w:rPr>
          <w:rFonts w:ascii="Times" w:eastAsia="Times" w:hAnsi="Times" w:cs="Times"/>
        </w:rPr>
        <w:t>moshc.tif</w:t>
      </w:r>
      <w:proofErr w:type="spellEnd"/>
      <w:r>
        <w:rPr>
          <w:rFonts w:ascii="Times" w:eastAsia="Times" w:hAnsi="Times" w:cs="Times"/>
        </w:rPr>
        <w:t xml:space="preserve">, </w:t>
      </w:r>
      <w:proofErr w:type="spellStart"/>
      <w:r>
        <w:rPr>
          <w:rFonts w:ascii="Times" w:eastAsia="Times" w:hAnsi="Times" w:cs="Times"/>
        </w:rPr>
        <w:t>chen.eps</w:t>
      </w:r>
      <w:proofErr w:type="spellEnd"/>
      <w:r>
        <w:rPr>
          <w:rFonts w:ascii="Times" w:eastAsia="Times" w:hAnsi="Times" w:cs="Times"/>
        </w:rPr>
        <w:t xml:space="preserve">, and duran.pdf.  </w:t>
      </w:r>
    </w:p>
    <w:p w:rsidR="00063F26" w:rsidRDefault="00567FDD">
      <w:pPr>
        <w:jc w:val="both"/>
        <w:rPr>
          <w:rFonts w:ascii="Times" w:eastAsia="Times" w:hAnsi="Times" w:cs="Times"/>
        </w:rPr>
      </w:pPr>
      <w:r>
        <w:rPr>
          <w:rFonts w:ascii="Times" w:eastAsia="Times" w:hAnsi="Times" w:cs="Times"/>
        </w:rPr>
        <w:tab/>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Pr>
          <w:rFonts w:ascii="Times" w:eastAsia="Times" w:hAnsi="Times" w:cs="Times"/>
        </w:rPr>
        <w:t>oppmi.tif</w:t>
      </w:r>
      <w:proofErr w:type="spellEnd"/>
      <w:r>
        <w:rPr>
          <w:rFonts w:ascii="Times" w:eastAsia="Times" w:hAnsi="Times" w:cs="Times"/>
        </w:rPr>
        <w:t xml:space="preserve">, and </w:t>
      </w:r>
      <w:proofErr w:type="spellStart"/>
      <w:r>
        <w:rPr>
          <w:rFonts w:ascii="Times" w:eastAsia="Times" w:hAnsi="Times" w:cs="Times"/>
        </w:rPr>
        <w:t>oppmo.eps</w:t>
      </w:r>
      <w:proofErr w:type="spellEnd"/>
      <w:r>
        <w:rPr>
          <w:rFonts w:ascii="Times" w:eastAsia="Times" w:hAnsi="Times" w:cs="Times"/>
        </w:rPr>
        <w:t>.</w:t>
      </w:r>
    </w:p>
    <w:p w:rsidR="00063F26" w:rsidRDefault="00063F26">
      <w:pPr>
        <w:jc w:val="both"/>
        <w:rPr>
          <w:rFonts w:ascii="Times" w:eastAsia="Times" w:hAnsi="Times" w:cs="Times"/>
        </w:rPr>
      </w:pPr>
    </w:p>
    <w:p w:rsidR="00063F26" w:rsidRDefault="00567FDD">
      <w:pPr>
        <w:pStyle w:val="Heading2"/>
        <w:numPr>
          <w:ilvl w:val="1"/>
          <w:numId w:val="5"/>
        </w:numPr>
        <w:jc w:val="both"/>
        <w:rPr>
          <w:rFonts w:ascii="Cambria" w:eastAsia="Cambria" w:hAnsi="Cambria" w:cs="Cambria"/>
        </w:rPr>
      </w:pPr>
      <w:r>
        <w:rPr>
          <w:rFonts w:ascii="Cambria" w:eastAsia="Cambria" w:hAnsi="Cambria" w:cs="Cambria"/>
        </w:rPr>
        <w:t xml:space="preserve">Referencing a Figure or Table </w:t>
      </w:r>
      <w:proofErr w:type="gramStart"/>
      <w:r>
        <w:rPr>
          <w:rFonts w:ascii="Cambria" w:eastAsia="Cambria" w:hAnsi="Cambria" w:cs="Cambria"/>
        </w:rPr>
        <w:t>Within</w:t>
      </w:r>
      <w:proofErr w:type="gramEnd"/>
      <w:r>
        <w:rPr>
          <w:rFonts w:ascii="Cambria" w:eastAsia="Cambria" w:hAnsi="Cambria" w:cs="Cambria"/>
        </w:rPr>
        <w:t xml:space="preserve"> Your Paper</w:t>
      </w:r>
    </w:p>
    <w:p w:rsidR="00063F26" w:rsidRDefault="00567FDD">
      <w:pPr>
        <w:ind w:firstLine="144"/>
        <w:jc w:val="both"/>
        <w:rPr>
          <w:rFonts w:ascii="Times" w:eastAsia="Times" w:hAnsi="Times" w:cs="Times"/>
        </w:rPr>
      </w:pPr>
      <w:r>
        <w:rPr>
          <w:rFonts w:ascii="Times" w:eastAsia="Times" w:hAnsi="Times" w:cs="Times"/>
        </w:rPr>
        <w:t>When referencing your figures and tables within your paper, use the abbreviation “Fig.” even at the beginning of a sentence. Do not abbreviate “Table.” Tables should be numbered with Roman Numerals.</w:t>
      </w:r>
    </w:p>
    <w:p w:rsidR="00063F26" w:rsidRDefault="00567FDD">
      <w:pPr>
        <w:pStyle w:val="Heading2"/>
        <w:numPr>
          <w:ilvl w:val="1"/>
          <w:numId w:val="5"/>
        </w:numPr>
        <w:jc w:val="both"/>
      </w:pPr>
      <w:r>
        <w:t>Checking Your Figures: The IEEE Graphics Analyzer</w:t>
      </w:r>
    </w:p>
    <w:p w:rsidR="00063F26" w:rsidRDefault="00567FDD">
      <w:pPr>
        <w:ind w:firstLine="144"/>
        <w:jc w:val="both"/>
      </w:pPr>
      <w:r>
        <w:t xml:space="preserve">The IEEE Graphics Analyzer enables authors to pre-screen their graphics for compliance with IEEE Transactions and Journals standards before submission. The online tool, located at </w:t>
      </w:r>
      <w:hyperlink r:id="rId10">
        <w:r>
          <w:rPr>
            <w:rFonts w:ascii="Times" w:eastAsia="Times" w:hAnsi="Times" w:cs="Times"/>
            <w:u w:val="single"/>
          </w:rPr>
          <w:t>http://graphicsqc.ieee.org/</w:t>
        </w:r>
      </w:hyperlink>
      <w:r>
        <w:t xml:space="preserve">, allows authors to upload their graphics in order to check that each file is the correct file format, resolution, size and </w:t>
      </w:r>
      <w:proofErr w:type="spellStart"/>
      <w:r>
        <w:t>colorspace</w:t>
      </w:r>
      <w:proofErr w:type="spellEnd"/>
      <w: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063F26" w:rsidRDefault="00567FDD">
      <w:pPr>
        <w:ind w:firstLine="144"/>
        <w:jc w:val="both"/>
      </w:pPr>
      <w:r>
        <w:t xml:space="preserve">For more information on using the Graphics Analyzer </w:t>
      </w:r>
      <w:r>
        <w:br/>
        <w:t xml:space="preserve">or any other graphics related topic, contact the IEEE Graphics Help Desk by e-mail at </w:t>
      </w:r>
      <w:hyperlink r:id="rId11">
        <w:r>
          <w:rPr>
            <w:rFonts w:ascii="Times" w:eastAsia="Times" w:hAnsi="Times" w:cs="Times"/>
            <w:u w:val="single"/>
          </w:rPr>
          <w:t>graphics@ieee.org</w:t>
        </w:r>
      </w:hyperlink>
      <w:r>
        <w:t>.</w:t>
      </w:r>
    </w:p>
    <w:p w:rsidR="00063F26" w:rsidRDefault="00063F26">
      <w:pPr>
        <w:jc w:val="both"/>
      </w:pPr>
    </w:p>
    <w:p w:rsidR="00063F26" w:rsidRDefault="00567FDD">
      <w:pPr>
        <w:pStyle w:val="Heading2"/>
        <w:numPr>
          <w:ilvl w:val="1"/>
          <w:numId w:val="5"/>
        </w:numPr>
        <w:jc w:val="both"/>
      </w:pPr>
      <w:r>
        <w:t>Submitting Your Graphics</w:t>
      </w:r>
    </w:p>
    <w:p w:rsidR="00063F26" w:rsidRDefault="00567FDD">
      <w:pPr>
        <w:ind w:firstLine="144"/>
        <w:jc w:val="both"/>
      </w:pPr>
      <w:r>
        <w:t xml:space="preserve">Because IEEE will do the final formatting of your paper, </w:t>
      </w:r>
      <w:r>
        <w:br/>
        <w:t xml:space="preserve">you do not need to position figures and tables at the top and bottom of each column. In fact, all figures, figure captions, </w:t>
      </w:r>
      <w:r>
        <w:lastRenderedPageBreak/>
        <w:t>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rsidR="00063F26" w:rsidRDefault="00063F26">
      <w:pPr>
        <w:jc w:val="both"/>
      </w:pPr>
    </w:p>
    <w:p w:rsidR="00063F26" w:rsidRDefault="00567FDD">
      <w:pPr>
        <w:pStyle w:val="Heading2"/>
        <w:numPr>
          <w:ilvl w:val="1"/>
          <w:numId w:val="5"/>
        </w:numPr>
        <w:jc w:val="both"/>
        <w:rPr>
          <w:rFonts w:ascii="Cambria" w:eastAsia="Cambria" w:hAnsi="Cambria" w:cs="Cambria"/>
          <w:i w:val="0"/>
        </w:rPr>
      </w:pPr>
      <w:r>
        <w:rPr>
          <w:rFonts w:ascii="Cambria" w:eastAsia="Cambria" w:hAnsi="Cambria" w:cs="Cambria"/>
        </w:rPr>
        <w:t>Color Processing / Printing in IEEE Journals</w:t>
      </w:r>
    </w:p>
    <w:p w:rsidR="00063F26" w:rsidRDefault="00567FDD">
      <w:pPr>
        <w:ind w:firstLine="144"/>
        <w:jc w:val="both"/>
      </w:pPr>
      <w:r>
        <w:t xml:space="preserve">All IEEE Transactions, Journals, and Letters allow an author to publish color figures on IEEE </w:t>
      </w:r>
      <w:proofErr w:type="spellStart"/>
      <w:r>
        <w:rPr>
          <w:i/>
        </w:rPr>
        <w:t>Xplore</w:t>
      </w:r>
      <w:proofErr w:type="spellEnd"/>
      <w:r>
        <w:rPr>
          <w:vertAlign w:val="superscript"/>
        </w:rPr>
        <w:t>®</w:t>
      </w:r>
      <w:r>
        <w:t xml:space="preserve"> at no charge, and automatically convert them to grayscale for print versions. </w:t>
      </w:r>
      <w:r>
        <w:rPr>
          <w:rFonts w:ascii="Times" w:eastAsia="Times" w:hAnsi="Times" w:cs="Times"/>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063F26" w:rsidRDefault="00063F26">
      <w:pPr>
        <w:widowControl w:val="0"/>
        <w:spacing w:line="252" w:lineRule="auto"/>
        <w:ind w:firstLine="202"/>
        <w:jc w:val="both"/>
      </w:pPr>
    </w:p>
    <w:p w:rsidR="00063F26" w:rsidRDefault="00567FDD">
      <w:pPr>
        <w:pStyle w:val="Heading1"/>
        <w:numPr>
          <w:ilvl w:val="0"/>
          <w:numId w:val="5"/>
        </w:numPr>
      </w:pPr>
      <w:r>
        <w:t>Conclusion</w:t>
      </w:r>
    </w:p>
    <w:p w:rsidR="00063F26" w:rsidRDefault="00567FDD">
      <w:pPr>
        <w:pStyle w:val="Heading2"/>
        <w:rPr>
          <w:i w:val="0"/>
        </w:rPr>
      </w:pPr>
      <w:r>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063F26" w:rsidRDefault="00567FDD">
      <w:pPr>
        <w:keepNext/>
        <w:numPr>
          <w:ilvl w:val="0"/>
          <w:numId w:val="5"/>
        </w:numPr>
        <w:spacing w:before="240" w:after="80"/>
        <w:jc w:val="both"/>
      </w:pPr>
      <w:r>
        <w:rPr>
          <w:smallCaps/>
        </w:rPr>
        <w:t>Appendix</w:t>
      </w:r>
    </w:p>
    <w:p w:rsidR="00063F26" w:rsidRDefault="00567FDD">
      <w:pPr>
        <w:widowControl w:val="0"/>
        <w:spacing w:line="252" w:lineRule="auto"/>
        <w:ind w:firstLine="202"/>
        <w:jc w:val="both"/>
      </w:pPr>
      <w:r>
        <w:t>Appendixes, if needed, appear before the acknowledgment.</w:t>
      </w:r>
    </w:p>
    <w:p w:rsidR="00063F26" w:rsidRDefault="00567FDD">
      <w:pPr>
        <w:keepNext/>
        <w:numPr>
          <w:ilvl w:val="0"/>
          <w:numId w:val="5"/>
        </w:numPr>
        <w:spacing w:before="240" w:after="80"/>
        <w:jc w:val="both"/>
      </w:pPr>
      <w:r>
        <w:rPr>
          <w:smallCaps/>
        </w:rPr>
        <w:t>Acknowledgment</w:t>
      </w:r>
    </w:p>
    <w:p w:rsidR="00063F26" w:rsidRDefault="00567FDD">
      <w:pPr>
        <w:widowControl w:val="0"/>
        <w:spacing w:line="252" w:lineRule="auto"/>
        <w:ind w:firstLine="202"/>
        <w:jc w:val="both"/>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In most cases, sponsor and financial support acknowledgments are placed in the unnumbered footnote on the first page, not here.</w:t>
      </w:r>
    </w:p>
    <w:p w:rsidR="00063F26" w:rsidRDefault="00567FDD">
      <w:pPr>
        <w:keepNext/>
        <w:numPr>
          <w:ilvl w:val="0"/>
          <w:numId w:val="5"/>
        </w:numPr>
        <w:spacing w:before="240" w:after="80"/>
        <w:jc w:val="both"/>
      </w:pPr>
      <w:r>
        <w:rPr>
          <w:smallCaps/>
        </w:rPr>
        <w:t>References and Footnotes</w:t>
      </w:r>
    </w:p>
    <w:p w:rsidR="00063F26" w:rsidRDefault="00567FDD">
      <w:pPr>
        <w:pStyle w:val="Heading2"/>
        <w:numPr>
          <w:ilvl w:val="0"/>
          <w:numId w:val="3"/>
        </w:numPr>
        <w:tabs>
          <w:tab w:val="left" w:pos="180"/>
        </w:tabs>
        <w:ind w:left="90" w:firstLine="0"/>
      </w:pPr>
      <w:r>
        <w:t>References</w:t>
      </w:r>
    </w:p>
    <w:p w:rsidR="00063F26" w:rsidRDefault="00567FDD">
      <w:pPr>
        <w:widowControl w:val="0"/>
        <w:spacing w:line="252" w:lineRule="auto"/>
        <w:ind w:firstLine="202"/>
        <w:jc w:val="both"/>
      </w:pPr>
      <w: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Pr>
          <w:i/>
        </w:rPr>
        <w:t>Word</w:t>
      </w:r>
      <w:r>
        <w:t>, rather, type the reference list at the end of the paper using the “References” style.</w:t>
      </w:r>
    </w:p>
    <w:p w:rsidR="00063F26" w:rsidRDefault="00567FDD">
      <w:pPr>
        <w:widowControl w:val="0"/>
        <w:spacing w:line="252" w:lineRule="auto"/>
        <w:ind w:firstLine="144"/>
        <w:jc w:val="both"/>
      </w:pPr>
      <w:r>
        <w:t xml:space="preserve">Reference numbers are set flush left and form a column of their own, hanging out beyond the body of the reference. The </w:t>
      </w:r>
      <w:r>
        <w:t xml:space="preserve">reference numbers are on the line, enclosed in square brackets. In all references, the given name of the author or editor is abbreviated to the initial only and precedes the last name. Use them all; use </w:t>
      </w:r>
      <w:r>
        <w:rPr>
          <w:i/>
        </w:rPr>
        <w:t>et al</w:t>
      </w:r>
      <w: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rsidR="00063F26" w:rsidRDefault="00567FDD">
      <w:pPr>
        <w:widowControl w:val="0"/>
        <w:spacing w:line="252" w:lineRule="auto"/>
        <w:ind w:firstLine="144"/>
        <w:jc w:val="both"/>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hyperlink r:id="rId12">
        <w:r>
          <w:rPr>
            <w:color w:val="1155CC"/>
            <w:sz w:val="19"/>
            <w:szCs w:val="19"/>
            <w:highlight w:val="white"/>
            <w:u w:val="single"/>
          </w:rPr>
          <w:t>www.ieee.org/authortools</w:t>
        </w:r>
      </w:hyperlink>
      <w:r>
        <w:t>.</w:t>
      </w:r>
    </w:p>
    <w:p w:rsidR="00063F26" w:rsidRDefault="00567FDD">
      <w:pPr>
        <w:pStyle w:val="Heading2"/>
        <w:numPr>
          <w:ilvl w:val="1"/>
          <w:numId w:val="5"/>
        </w:numPr>
      </w:pPr>
      <w:r>
        <w:t>Footnotes</w:t>
      </w:r>
    </w:p>
    <w:p w:rsidR="00063F26" w:rsidRDefault="00567FDD">
      <w:pPr>
        <w:widowControl w:val="0"/>
        <w:spacing w:line="252" w:lineRule="auto"/>
        <w:ind w:firstLine="202"/>
        <w:jc w:val="both"/>
      </w:pPr>
      <w:r>
        <w:t>Number footnotes separately in superscripts (Insert | Footnote).</w:t>
      </w:r>
      <w:r>
        <w:rPr>
          <w:vertAlign w:val="superscript"/>
        </w:rPr>
        <w:footnoteReference w:id="2"/>
      </w:r>
      <w:r>
        <w:t xml:space="preserve"> Place the actual footnote at the bottom of the column in which it is cited; do not put footnotes in the reference list (endnotes). Use letters for table footnotes (see Table I). </w:t>
      </w:r>
    </w:p>
    <w:p w:rsidR="00063F26" w:rsidRDefault="00063F26">
      <w:pPr>
        <w:widowControl w:val="0"/>
        <w:spacing w:line="252" w:lineRule="auto"/>
        <w:ind w:firstLine="144"/>
        <w:jc w:val="both"/>
      </w:pPr>
    </w:p>
    <w:p w:rsidR="00063F26" w:rsidRDefault="00567FDD">
      <w:pPr>
        <w:pStyle w:val="Heading1"/>
        <w:numPr>
          <w:ilvl w:val="0"/>
          <w:numId w:val="5"/>
        </w:numPr>
      </w:pPr>
      <w:r>
        <w:t>Submitting Your Paper for Review</w:t>
      </w:r>
    </w:p>
    <w:p w:rsidR="00063F26" w:rsidRDefault="00567FDD">
      <w:pPr>
        <w:pStyle w:val="Heading2"/>
        <w:numPr>
          <w:ilvl w:val="1"/>
          <w:numId w:val="5"/>
        </w:numPr>
      </w:pPr>
      <w:r>
        <w:t>Review Stage Using Word 6.0 or Higher</w:t>
      </w:r>
    </w:p>
    <w:p w:rsidR="00063F26" w:rsidRDefault="00567FDD">
      <w:pPr>
        <w:widowControl w:val="0"/>
        <w:spacing w:line="252" w:lineRule="auto"/>
        <w:ind w:firstLine="202"/>
        <w:jc w:val="both"/>
      </w:pPr>
      <w:r>
        <w:t>If you want to submit your file with one column electronically, please do the following:</w:t>
      </w:r>
    </w:p>
    <w:p w:rsidR="00063F26" w:rsidRDefault="00567FDD">
      <w:pPr>
        <w:widowControl w:val="0"/>
        <w:spacing w:line="252" w:lineRule="auto"/>
        <w:ind w:firstLine="202"/>
        <w:jc w:val="both"/>
      </w:pPr>
      <w:r>
        <w:tab/>
        <w:t>--First, click on the View menu and choose Print Layout.</w:t>
      </w:r>
    </w:p>
    <w:p w:rsidR="00063F26" w:rsidRDefault="00567FDD">
      <w:pPr>
        <w:widowControl w:val="0"/>
        <w:spacing w:line="252" w:lineRule="auto"/>
        <w:ind w:firstLine="202"/>
        <w:jc w:val="both"/>
      </w:pPr>
      <w:r>
        <w:tab/>
        <w:t>--Second, place your cursor in the first paragraph. Go to the Format menu, choose Columns, choose one column Layout, and choose “apply to whole document” from the dropdown menu.</w:t>
      </w:r>
    </w:p>
    <w:p w:rsidR="00063F26" w:rsidRDefault="00567FDD">
      <w:pPr>
        <w:widowControl w:val="0"/>
        <w:spacing w:line="252" w:lineRule="auto"/>
        <w:ind w:firstLine="202"/>
        <w:jc w:val="both"/>
      </w:pPr>
      <w:r>
        <w:tab/>
        <w:t>--Third, click and drag the right margin bar to just over 4 inches in width.</w:t>
      </w:r>
    </w:p>
    <w:p w:rsidR="00063F26" w:rsidRDefault="00567FDD">
      <w:pPr>
        <w:widowControl w:val="0"/>
        <w:spacing w:line="252" w:lineRule="auto"/>
        <w:ind w:firstLine="202"/>
        <w:jc w:val="both"/>
      </w:pPr>
      <w:r>
        <w:t>The graphics will stay in the “second” column, but you can drag them to the first column. Make the graphic wider to push out any text that may try to fill in next to the graphic.</w:t>
      </w:r>
    </w:p>
    <w:p w:rsidR="00063F26" w:rsidRDefault="00567FDD">
      <w:pPr>
        <w:pStyle w:val="Heading2"/>
        <w:numPr>
          <w:ilvl w:val="1"/>
          <w:numId w:val="5"/>
        </w:numPr>
      </w:pPr>
      <w:r>
        <w:t>Final Stage Using Word 6.0</w:t>
      </w:r>
    </w:p>
    <w:p w:rsidR="00063F26" w:rsidRDefault="00567FDD">
      <w:pPr>
        <w:widowControl w:val="0"/>
        <w:spacing w:line="252" w:lineRule="auto"/>
        <w:ind w:firstLine="202"/>
        <w:jc w:val="both"/>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rPr>
        <w:t>Zip</w:t>
      </w:r>
      <w:r>
        <w:t xml:space="preserve"> for large files, or compress files using </w:t>
      </w:r>
      <w:r>
        <w:rPr>
          <w:i/>
        </w:rPr>
        <w:t xml:space="preserve">Compress, </w:t>
      </w:r>
      <w:proofErr w:type="spellStart"/>
      <w:r>
        <w:rPr>
          <w:i/>
        </w:rPr>
        <w:t>Pkzip</w:t>
      </w:r>
      <w:proofErr w:type="spellEnd"/>
      <w:r>
        <w:rPr>
          <w:i/>
        </w:rPr>
        <w:t>, Stuffit,</w:t>
      </w:r>
      <w:r>
        <w:t xml:space="preserve"> or </w:t>
      </w:r>
      <w:proofErr w:type="spellStart"/>
      <w:r>
        <w:rPr>
          <w:i/>
        </w:rPr>
        <w:lastRenderedPageBreak/>
        <w:t>Gzip</w:t>
      </w:r>
      <w:proofErr w:type="spellEnd"/>
      <w:r>
        <w:rPr>
          <w:i/>
        </w:rPr>
        <w:t>.</w:t>
      </w:r>
      <w:r>
        <w:t xml:space="preserve"> </w:t>
      </w:r>
    </w:p>
    <w:p w:rsidR="00063F26" w:rsidRDefault="00567FDD">
      <w:pPr>
        <w:widowControl w:val="0"/>
        <w:spacing w:line="252" w:lineRule="auto"/>
        <w:ind w:firstLine="202"/>
        <w:jc w:val="both"/>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063F26" w:rsidRDefault="00567FDD">
      <w:pPr>
        <w:pStyle w:val="Heading2"/>
        <w:numPr>
          <w:ilvl w:val="1"/>
          <w:numId w:val="5"/>
        </w:numPr>
      </w:pPr>
      <w:r>
        <w:t xml:space="preserve">Review Stage Using </w:t>
      </w:r>
      <w:proofErr w:type="spellStart"/>
      <w:r>
        <w:t>ScholarOne</w:t>
      </w:r>
      <w:proofErr w:type="spellEnd"/>
      <w:r>
        <w:rPr>
          <w:vertAlign w:val="superscript"/>
        </w:rPr>
        <w:t>®</w:t>
      </w:r>
      <w:r>
        <w:t xml:space="preserve"> Manuscripts</w:t>
      </w:r>
    </w:p>
    <w:p w:rsidR="00063F26" w:rsidRDefault="00567FDD">
      <w:pPr>
        <w:tabs>
          <w:tab w:val="left" w:pos="360"/>
        </w:tabs>
        <w:ind w:firstLine="360"/>
        <w:jc w:val="both"/>
      </w:pPr>
      <w:r>
        <w:t xml:space="preserve">Contributions to the Transactions, Journals, and Letters may be submitted electronically on IEEE’s on-line manuscript submission and peer-review system, </w:t>
      </w:r>
      <w:proofErr w:type="spellStart"/>
      <w:r>
        <w:t>ScholarOne</w:t>
      </w:r>
      <w:proofErr w:type="spellEnd"/>
      <w:r>
        <w:rPr>
          <w:vertAlign w:val="superscript"/>
        </w:rPr>
        <w:t>®</w:t>
      </w:r>
      <w:r>
        <w:t xml:space="preserve"> Manuscripts.  You can get a listing of the publications that participate in </w:t>
      </w:r>
      <w:proofErr w:type="spellStart"/>
      <w:r>
        <w:t>ScholarOne</w:t>
      </w:r>
      <w:proofErr w:type="spellEnd"/>
      <w:r>
        <w:rPr>
          <w:vertAlign w:val="superscript"/>
        </w:rPr>
        <w:t xml:space="preserve"> </w:t>
      </w:r>
      <w:r>
        <w:t>at</w:t>
      </w:r>
    </w:p>
    <w:p w:rsidR="00063F26" w:rsidRDefault="00567FDD">
      <w:pPr>
        <w:tabs>
          <w:tab w:val="left" w:pos="360"/>
        </w:tabs>
        <w:jc w:val="both"/>
      </w:pPr>
      <w:hyperlink r:id="rId13">
        <w:r>
          <w:rPr>
            <w:color w:val="0000FF"/>
            <w:u w:val="single"/>
          </w:rPr>
          <w:t>http://www.ieee.org/publications_standards/publications/authors/authors_submission.html</w:t>
        </w:r>
      </w:hyperlink>
      <w:r>
        <w:t xml:space="preserve"> </w:t>
      </w:r>
      <w:proofErr w:type="gramStart"/>
      <w:r>
        <w:t>First</w:t>
      </w:r>
      <w:proofErr w:type="gramEnd"/>
      <w:r>
        <w:t xml:space="preserve"> check if you have an existing account. If there is none, please create a new account. After logging in, go to your Author Center and click “Submit First Draft of a New Manuscript.” </w:t>
      </w:r>
    </w:p>
    <w:p w:rsidR="00063F26" w:rsidRDefault="00567FDD">
      <w:pPr>
        <w:tabs>
          <w:tab w:val="left" w:pos="360"/>
        </w:tabs>
        <w:ind w:firstLine="360"/>
        <w:jc w:val="both"/>
      </w:pPr>
      <w: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t>Continue</w:t>
      </w:r>
      <w:proofErr w:type="gramEnd"/>
      <w: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oprs-support@ieee.org or call +1 732 465 5861.</w:t>
      </w:r>
    </w:p>
    <w:p w:rsidR="00063F26" w:rsidRDefault="00567FDD">
      <w:pPr>
        <w:tabs>
          <w:tab w:val="left" w:pos="360"/>
        </w:tabs>
        <w:ind w:firstLine="360"/>
        <w:jc w:val="both"/>
      </w:pPr>
      <w:proofErr w:type="spellStart"/>
      <w:r>
        <w:t>ScholarOne</w:t>
      </w:r>
      <w:proofErr w:type="spellEnd"/>
      <w:r>
        <w:t xml:space="preserve"> Manuscripts will accept files for review in various formats.  Please check the guidelines of the specific journal for which you plan to submit.  </w:t>
      </w:r>
    </w:p>
    <w:p w:rsidR="00063F26" w:rsidRDefault="00567FDD">
      <w:pPr>
        <w:tabs>
          <w:tab w:val="left" w:pos="360"/>
        </w:tabs>
        <w:ind w:firstLine="360"/>
        <w:jc w:val="both"/>
      </w:pPr>
      <w: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063F26" w:rsidRDefault="00063F26"/>
    <w:p w:rsidR="00063F26" w:rsidRDefault="00567FDD">
      <w:pPr>
        <w:pStyle w:val="Heading2"/>
        <w:numPr>
          <w:ilvl w:val="1"/>
          <w:numId w:val="5"/>
        </w:numPr>
      </w:pPr>
      <w:r>
        <w:t xml:space="preserve">Final Stage Using </w:t>
      </w:r>
      <w:proofErr w:type="spellStart"/>
      <w:proofErr w:type="gramStart"/>
      <w:r>
        <w:t>ScholarOne</w:t>
      </w:r>
      <w:proofErr w:type="spellEnd"/>
      <w:r>
        <w:t xml:space="preserve">  Manuscripts</w:t>
      </w:r>
      <w:proofErr w:type="gramEnd"/>
    </w:p>
    <w:p w:rsidR="00063F26" w:rsidRDefault="00567FDD">
      <w:pPr>
        <w:tabs>
          <w:tab w:val="left" w:pos="360"/>
        </w:tabs>
        <w:ind w:firstLine="360"/>
        <w:jc w:val="both"/>
      </w:pPr>
      <w:r>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t>ScholarOne</w:t>
      </w:r>
      <w:proofErr w:type="spellEnd"/>
      <w:r>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063F26" w:rsidRDefault="00567FDD">
      <w:pPr>
        <w:tabs>
          <w:tab w:val="left" w:pos="360"/>
        </w:tabs>
        <w:ind w:firstLine="360"/>
        <w:jc w:val="both"/>
      </w:pPr>
      <w:r>
        <w:rPr>
          <w:color w:val="FF0000"/>
        </w:rPr>
        <w:t xml:space="preserve"> </w:t>
      </w:r>
      <w:r>
        <w:t xml:space="preserve">In addition to this, upload a file with complete contact information for all authors. Include full mailing addresses, telephone numbers, fax numbers, and e-mail addresses. Designate the author who submitted the manuscript on </w:t>
      </w:r>
      <w:proofErr w:type="spellStart"/>
      <w:r>
        <w:t>ScholarOne</w:t>
      </w:r>
      <w:proofErr w:type="spellEnd"/>
      <w:r>
        <w:t xml:space="preserve"> Manuscripts as the “corresponding author.” This is the only author to whom proofs of the paper will be sent. </w:t>
      </w:r>
    </w:p>
    <w:p w:rsidR="00063F26" w:rsidRDefault="00567FDD">
      <w:pPr>
        <w:widowControl w:val="0"/>
        <w:spacing w:line="252" w:lineRule="auto"/>
        <w:ind w:firstLine="202"/>
        <w:jc w:val="both"/>
      </w:pPr>
      <w:r>
        <w:rPr>
          <w:rFonts w:ascii="Helvetica Neue" w:eastAsia="Helvetica Neue" w:hAnsi="Helvetica Neue" w:cs="Helvetica Neue"/>
        </w:rPr>
        <w:br/>
      </w:r>
    </w:p>
    <w:p w:rsidR="00063F26" w:rsidRDefault="00567FDD">
      <w:pPr>
        <w:pStyle w:val="Heading2"/>
        <w:numPr>
          <w:ilvl w:val="1"/>
          <w:numId w:val="5"/>
        </w:numPr>
      </w:pPr>
      <w:r>
        <w:t>Copyright Form</w:t>
      </w:r>
    </w:p>
    <w:p w:rsidR="00063F26" w:rsidRDefault="00567FDD">
      <w:pPr>
        <w:widowControl w:val="0"/>
        <w:spacing w:line="252" w:lineRule="auto"/>
        <w:ind w:firstLine="202"/>
        <w:jc w:val="both"/>
        <w:rPr>
          <w:color w:val="222222"/>
          <w:highlight w:val="white"/>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p>
    <w:p w:rsidR="00063F26" w:rsidRDefault="00567FDD">
      <w:pPr>
        <w:widowControl w:val="0"/>
        <w:spacing w:line="252" w:lineRule="auto"/>
        <w:jc w:val="both"/>
      </w:pPr>
      <w:hyperlink r:id="rId14">
        <w:r>
          <w:rPr>
            <w:color w:val="0000FF"/>
            <w:highlight w:val="white"/>
            <w:u w:val="single"/>
          </w:rPr>
          <w:t>http://www.ieee.org/publications_standards/publications/rights/index.html</w:t>
        </w:r>
      </w:hyperlink>
      <w:r>
        <w:rPr>
          <w:color w:val="222222"/>
          <w:highlight w:val="white"/>
        </w:rPr>
        <w:t xml:space="preserve">. </w:t>
      </w:r>
    </w:p>
    <w:p w:rsidR="00063F26" w:rsidRDefault="00567FDD">
      <w:pPr>
        <w:pStyle w:val="Heading1"/>
        <w:numPr>
          <w:ilvl w:val="0"/>
          <w:numId w:val="5"/>
        </w:numPr>
      </w:pPr>
      <w:r>
        <w:t xml:space="preserve">IEEE </w:t>
      </w:r>
      <w:proofErr w:type="gramStart"/>
      <w:r>
        <w:t>Publishing  Policy</w:t>
      </w:r>
      <w:proofErr w:type="gramEnd"/>
    </w:p>
    <w:p w:rsidR="00063F26" w:rsidRDefault="00567FDD">
      <w:pPr>
        <w:widowControl w:val="0"/>
        <w:spacing w:line="252" w:lineRule="auto"/>
        <w:ind w:firstLine="202"/>
        <w:jc w:val="both"/>
        <w:rPr>
          <w:color w:val="222222"/>
          <w:highlight w:val="white"/>
        </w:rPr>
      </w:pPr>
      <w:r>
        <w:rPr>
          <w:color w:val="222222"/>
          <w:highlight w:val="white"/>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063F26" w:rsidRDefault="00567FDD">
      <w:pPr>
        <w:widowControl w:val="0"/>
        <w:spacing w:line="252" w:lineRule="auto"/>
        <w:ind w:firstLine="202"/>
        <w:jc w:val="both"/>
      </w:pPr>
      <w:r>
        <w:rPr>
          <w:color w:val="222222"/>
          <w:highlight w:val="white"/>
        </w:rPr>
        <w:t xml:space="preserve"> </w:t>
      </w:r>
      <w:r>
        <w:rPr>
          <w:color w:val="222222"/>
        </w:rPr>
        <w:br/>
      </w:r>
      <w:r>
        <w:rPr>
          <w:color w:val="222222"/>
          <w:highlight w:val="white"/>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063F26" w:rsidRDefault="00567FDD">
      <w:pPr>
        <w:pStyle w:val="Heading1"/>
        <w:numPr>
          <w:ilvl w:val="0"/>
          <w:numId w:val="5"/>
        </w:numPr>
      </w:pPr>
      <w:r>
        <w:t>Publication Principles</w:t>
      </w:r>
    </w:p>
    <w:p w:rsidR="00063F26" w:rsidRDefault="00567FDD">
      <w:pPr>
        <w:widowControl w:val="0"/>
        <w:spacing w:line="252" w:lineRule="auto"/>
        <w:ind w:firstLine="202"/>
        <w:jc w:val="both"/>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063F26" w:rsidRDefault="00567FDD">
      <w:pPr>
        <w:widowControl w:val="0"/>
        <w:spacing w:line="252" w:lineRule="auto"/>
        <w:ind w:firstLine="202"/>
        <w:jc w:val="both"/>
      </w:pPr>
      <w:r>
        <w:t>Authors should consider the following points:</w:t>
      </w:r>
    </w:p>
    <w:p w:rsidR="00063F26" w:rsidRDefault="00567FDD">
      <w:pPr>
        <w:widowControl w:val="0"/>
        <w:numPr>
          <w:ilvl w:val="0"/>
          <w:numId w:val="4"/>
        </w:numPr>
        <w:spacing w:line="252" w:lineRule="auto"/>
        <w:jc w:val="both"/>
      </w:pPr>
      <w:r>
        <w:t xml:space="preserve">Technical papers submitted for publication must advance the state of knowledge and must cite relevant prior work. </w:t>
      </w:r>
    </w:p>
    <w:p w:rsidR="00063F26" w:rsidRDefault="00567FDD">
      <w:pPr>
        <w:widowControl w:val="0"/>
        <w:numPr>
          <w:ilvl w:val="0"/>
          <w:numId w:val="4"/>
        </w:numPr>
        <w:spacing w:line="252" w:lineRule="auto"/>
        <w:jc w:val="both"/>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63F26" w:rsidRDefault="00567FDD">
      <w:pPr>
        <w:widowControl w:val="0"/>
        <w:numPr>
          <w:ilvl w:val="0"/>
          <w:numId w:val="4"/>
        </w:numPr>
        <w:spacing w:line="252" w:lineRule="auto"/>
        <w:jc w:val="both"/>
      </w:pPr>
      <w:r>
        <w:t xml:space="preserve">Authors must convince both peer reviewers and the editors of the scientific and technical merit of a paper; the standards of proof are higher when extraordinary or unexpected results are reported. </w:t>
      </w:r>
    </w:p>
    <w:p w:rsidR="00063F26" w:rsidRDefault="00567FDD">
      <w:pPr>
        <w:widowControl w:val="0"/>
        <w:numPr>
          <w:ilvl w:val="0"/>
          <w:numId w:val="4"/>
        </w:numPr>
        <w:spacing w:line="252" w:lineRule="auto"/>
        <w:jc w:val="both"/>
      </w:pPr>
      <w:r>
        <w:lastRenderedPageBreak/>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63F26" w:rsidRDefault="00567FDD">
      <w:pPr>
        <w:widowControl w:val="0"/>
        <w:numPr>
          <w:ilvl w:val="0"/>
          <w:numId w:val="4"/>
        </w:numPr>
        <w:spacing w:line="252" w:lineRule="auto"/>
        <w:jc w:val="both"/>
      </w:pPr>
      <w:r>
        <w:t>Papers that describe ongoing work or announce the latest technical achievement, which are suitable for presentation at a professional conference, may not be appropriate for publication.</w:t>
      </w:r>
    </w:p>
    <w:p w:rsidR="00063F26" w:rsidRDefault="00063F26">
      <w:pPr>
        <w:widowControl w:val="0"/>
        <w:spacing w:line="252" w:lineRule="auto"/>
        <w:jc w:val="both"/>
      </w:pPr>
    </w:p>
    <w:p w:rsidR="00063F26" w:rsidRDefault="00567FDD">
      <w:pPr>
        <w:keepNext/>
        <w:numPr>
          <w:ilvl w:val="0"/>
          <w:numId w:val="5"/>
        </w:numPr>
        <w:spacing w:before="240" w:after="80"/>
        <w:jc w:val="center"/>
      </w:pPr>
      <w:r>
        <w:rPr>
          <w:smallCaps/>
        </w:rPr>
        <w:t>References</w:t>
      </w:r>
    </w:p>
    <w:p w:rsidR="00063F26" w:rsidRDefault="00063F26">
      <w:pPr>
        <w:shd w:val="clear" w:color="auto" w:fill="FFFFFF"/>
        <w:spacing w:line="276" w:lineRule="auto"/>
        <w:rPr>
          <w:color w:val="222222"/>
          <w:sz w:val="16"/>
          <w:szCs w:val="16"/>
        </w:rPr>
      </w:pPr>
    </w:p>
    <w:p w:rsidR="00063F26" w:rsidRDefault="00567FDD">
      <w:pPr>
        <w:rPr>
          <w:rFonts w:ascii="Times" w:eastAsia="Times" w:hAnsi="Times" w:cs="Times"/>
          <w:i/>
        </w:rPr>
      </w:pPr>
      <w:r>
        <w:rPr>
          <w:rFonts w:ascii="Times" w:eastAsia="Times" w:hAnsi="Times" w:cs="Times"/>
          <w:i/>
        </w:rPr>
        <w:t>Basic format for books:</w:t>
      </w:r>
    </w:p>
    <w:p w:rsidR="00063F26" w:rsidRDefault="00567FDD">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His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w:t>
      </w:r>
      <w:proofErr w:type="gramStart"/>
      <w:r>
        <w:rPr>
          <w:sz w:val="16"/>
          <w:szCs w:val="16"/>
        </w:rPr>
        <w:t>of</w:t>
      </w:r>
      <w:proofErr w:type="gramEnd"/>
      <w:r>
        <w:rPr>
          <w:sz w:val="16"/>
          <w:szCs w:val="16"/>
        </w:rPr>
        <w:t xml:space="preserve"> Publisher, year, </w:t>
      </w:r>
      <w:proofErr w:type="spellStart"/>
      <w:r>
        <w:rPr>
          <w:sz w:val="16"/>
          <w:szCs w:val="16"/>
        </w:rPr>
        <w:t>ch.</w:t>
      </w:r>
      <w:proofErr w:type="spellEnd"/>
      <w:r>
        <w:rPr>
          <w:sz w:val="16"/>
          <w:szCs w:val="16"/>
        </w:rPr>
        <w:t xml:space="preserve"> </w:t>
      </w:r>
      <w:r>
        <w:rPr>
          <w:rFonts w:ascii="Times" w:eastAsia="Times" w:hAnsi="Times" w:cs="Times"/>
          <w:i/>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Pr>
          <w:rFonts w:ascii="Times" w:eastAsia="Times" w:hAnsi="Times" w:cs="Times"/>
          <w:i/>
          <w:sz w:val="16"/>
          <w:szCs w:val="16"/>
        </w:rPr>
        <w:t>xxx–xxx.</w:t>
      </w:r>
    </w:p>
    <w:p w:rsidR="00063F26" w:rsidRDefault="00567FDD">
      <w:pPr>
        <w:widowControl w:val="0"/>
        <w:ind w:right="-20"/>
      </w:pPr>
      <w:r>
        <w:rPr>
          <w:i/>
        </w:rPr>
        <w:t>Examples:</w:t>
      </w:r>
    </w:p>
    <w:p w:rsidR="00063F26" w:rsidRDefault="00567FDD">
      <w:pPr>
        <w:numPr>
          <w:ilvl w:val="0"/>
          <w:numId w:val="1"/>
        </w:numPr>
        <w:jc w:val="both"/>
      </w:pPr>
      <w:r>
        <w:rPr>
          <w:sz w:val="16"/>
          <w:szCs w:val="16"/>
        </w:rPr>
        <w:t xml:space="preserve">G. O. Young, “Synthetic structure of industrial plastics,” in </w:t>
      </w:r>
      <w:r>
        <w:rPr>
          <w:i/>
          <w:sz w:val="16"/>
          <w:szCs w:val="16"/>
        </w:rPr>
        <w:t>Plastics</w:t>
      </w:r>
      <w:proofErr w:type="gramStart"/>
      <w:r>
        <w:rPr>
          <w:i/>
          <w:sz w:val="16"/>
          <w:szCs w:val="16"/>
        </w:rPr>
        <w:t xml:space="preserve">,  </w:t>
      </w:r>
      <w:r>
        <w:rPr>
          <w:sz w:val="16"/>
          <w:szCs w:val="16"/>
        </w:rPr>
        <w:t>2nd</w:t>
      </w:r>
      <w:proofErr w:type="gramEnd"/>
      <w:r>
        <w:rPr>
          <w:sz w:val="16"/>
          <w:szCs w:val="16"/>
        </w:rPr>
        <w:t xml:space="preserve">  ed.,  vol.  3, J.  Peters, Ed.  New York, NY, USA: McGraw-Hill, 1964, pp. 15–64.</w:t>
      </w:r>
    </w:p>
    <w:p w:rsidR="00063F26" w:rsidRDefault="00567FDD">
      <w:pPr>
        <w:numPr>
          <w:ilvl w:val="0"/>
          <w:numId w:val="1"/>
        </w:numPr>
        <w:jc w:val="both"/>
        <w:rPr>
          <w:sz w:val="16"/>
          <w:szCs w:val="16"/>
        </w:rPr>
      </w:pPr>
      <w:r>
        <w:rPr>
          <w:sz w:val="16"/>
          <w:szCs w:val="16"/>
        </w:rPr>
        <w:t xml:space="preserve">W.-K. Chen, </w:t>
      </w:r>
      <w:r>
        <w:rPr>
          <w:i/>
          <w:sz w:val="16"/>
          <w:szCs w:val="16"/>
        </w:rPr>
        <w:t xml:space="preserve">Linear Networks and Systems. </w:t>
      </w:r>
      <w:r>
        <w:rPr>
          <w:sz w:val="16"/>
          <w:szCs w:val="16"/>
        </w:rPr>
        <w:t>Belmont, CA, USA: Wadsworth, 1993, pp. 123–135.</w:t>
      </w:r>
    </w:p>
    <w:p w:rsidR="00063F26" w:rsidRDefault="00063F26">
      <w:pPr>
        <w:widowControl w:val="0"/>
        <w:spacing w:before="1"/>
        <w:ind w:left="361" w:right="250" w:hanging="360"/>
      </w:pPr>
    </w:p>
    <w:p w:rsidR="00063F26" w:rsidRDefault="00567FDD">
      <w:pPr>
        <w:rPr>
          <w:rFonts w:ascii="Times" w:eastAsia="Times" w:hAnsi="Times" w:cs="Times"/>
          <w:i/>
        </w:rPr>
      </w:pPr>
      <w:r>
        <w:rPr>
          <w:rFonts w:ascii="Times" w:eastAsia="Times" w:hAnsi="Times" w:cs="Times"/>
          <w:i/>
        </w:rPr>
        <w:t>Basic format for periodicals:</w:t>
      </w:r>
    </w:p>
    <w:p w:rsidR="00063F26" w:rsidRDefault="00567FDD">
      <w:pPr>
        <w:rPr>
          <w:sz w:val="16"/>
          <w:szCs w:val="16"/>
        </w:rPr>
      </w:pPr>
      <w:r>
        <w:rPr>
          <w:sz w:val="16"/>
          <w:szCs w:val="16"/>
        </w:rPr>
        <w:t xml:space="preserve">J. K. Author, “Name of paper,” </w:t>
      </w:r>
      <w:r>
        <w:rPr>
          <w:i/>
          <w:sz w:val="16"/>
          <w:szCs w:val="16"/>
        </w:rPr>
        <w:t>Abbrev. Title of Periodical</w:t>
      </w:r>
      <w:proofErr w:type="gramStart"/>
      <w:r>
        <w:rPr>
          <w:sz w:val="16"/>
          <w:szCs w:val="16"/>
        </w:rPr>
        <w:t>,  vol</w:t>
      </w:r>
      <w:proofErr w:type="gramEnd"/>
      <w:r>
        <w:rPr>
          <w:sz w:val="16"/>
          <w:szCs w:val="16"/>
        </w:rPr>
        <w:t xml:space="preserve">. </w:t>
      </w:r>
      <w:r>
        <w:rPr>
          <w:i/>
          <w:sz w:val="16"/>
          <w:szCs w:val="16"/>
        </w:rPr>
        <w:t>x,   no</w:t>
      </w:r>
      <w:r>
        <w:rPr>
          <w:sz w:val="16"/>
          <w:szCs w:val="16"/>
        </w:rPr>
        <w:t xml:space="preserve">. </w:t>
      </w:r>
      <w:r>
        <w:rPr>
          <w:i/>
          <w:sz w:val="16"/>
          <w:szCs w:val="16"/>
        </w:rPr>
        <w:t xml:space="preserve">x, </w:t>
      </w:r>
      <w:r>
        <w:rPr>
          <w:sz w:val="16"/>
          <w:szCs w:val="16"/>
        </w:rPr>
        <w:t>pp</w:t>
      </w:r>
      <w:r>
        <w:rPr>
          <w:i/>
          <w:sz w:val="16"/>
          <w:szCs w:val="16"/>
        </w:rPr>
        <w:t xml:space="preserve">. xxx-xxx, </w:t>
      </w:r>
      <w:r>
        <w:rPr>
          <w:sz w:val="16"/>
          <w:szCs w:val="16"/>
        </w:rPr>
        <w:t>Abbrev. Month, year, DOI. 10.1109</w:t>
      </w:r>
      <w:proofErr w:type="gramStart"/>
      <w:r>
        <w:rPr>
          <w:sz w:val="16"/>
          <w:szCs w:val="16"/>
        </w:rPr>
        <w:t>.</w:t>
      </w:r>
      <w:r>
        <w:rPr>
          <w:i/>
          <w:sz w:val="16"/>
          <w:szCs w:val="16"/>
        </w:rPr>
        <w:t>XXX</w:t>
      </w:r>
      <w:r>
        <w:rPr>
          <w:sz w:val="16"/>
          <w:szCs w:val="16"/>
        </w:rPr>
        <w:t>.123456</w:t>
      </w:r>
      <w:proofErr w:type="gramEnd"/>
      <w:r>
        <w:rPr>
          <w:sz w:val="16"/>
          <w:szCs w:val="16"/>
        </w:rPr>
        <w:t>.</w:t>
      </w:r>
    </w:p>
    <w:p w:rsidR="00063F26" w:rsidRDefault="00567FDD">
      <w:pPr>
        <w:rPr>
          <w:i/>
        </w:rPr>
      </w:pPr>
      <w:r>
        <w:rPr>
          <w:i/>
        </w:rPr>
        <w:t>Examples:</w:t>
      </w:r>
    </w:p>
    <w:p w:rsidR="00063F26" w:rsidRDefault="00567FDD">
      <w:pPr>
        <w:numPr>
          <w:ilvl w:val="0"/>
          <w:numId w:val="1"/>
        </w:numPr>
        <w:jc w:val="both"/>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w:t>
      </w:r>
      <w:r>
        <w:rPr>
          <w:i/>
          <w:sz w:val="16"/>
          <w:szCs w:val="16"/>
        </w:rPr>
        <w:t>IEEE Trans. Electron Devices</w:t>
      </w:r>
      <w:r>
        <w:rPr>
          <w:sz w:val="16"/>
          <w:szCs w:val="16"/>
        </w:rPr>
        <w:t>, vol. ED-11, no. 1, pp. 34–39, Jan. 1959,</w:t>
      </w:r>
      <w:r>
        <w:rPr>
          <w:rFonts w:ascii="Times" w:eastAsia="Times" w:hAnsi="Times" w:cs="Times"/>
          <w:sz w:val="16"/>
          <w:szCs w:val="16"/>
        </w:rPr>
        <w:t xml:space="preserve"> 10.1109/TED.2016.2628402</w:t>
      </w:r>
      <w:r>
        <w:rPr>
          <w:sz w:val="16"/>
          <w:szCs w:val="16"/>
        </w:rPr>
        <w:t>.</w:t>
      </w:r>
    </w:p>
    <w:p w:rsidR="00063F26" w:rsidRDefault="00567FDD">
      <w:pPr>
        <w:numPr>
          <w:ilvl w:val="0"/>
          <w:numId w:val="1"/>
        </w:numPr>
      </w:pPr>
      <w:r>
        <w:rPr>
          <w:sz w:val="16"/>
          <w:szCs w:val="16"/>
        </w:rPr>
        <w:t xml:space="preserve">E. P. Wigner, “Theory of traveling-wave optical laser,” </w:t>
      </w:r>
      <w:r>
        <w:rPr>
          <w:sz w:val="16"/>
          <w:szCs w:val="16"/>
        </w:rPr>
        <w:br/>
      </w:r>
      <w:r>
        <w:rPr>
          <w:i/>
          <w:sz w:val="16"/>
          <w:szCs w:val="16"/>
        </w:rPr>
        <w:t>Phys. Rev</w:t>
      </w:r>
      <w:r>
        <w:rPr>
          <w:sz w:val="16"/>
          <w:szCs w:val="16"/>
        </w:rPr>
        <w:t xml:space="preserve">., </w:t>
      </w:r>
      <w:r>
        <w:rPr>
          <w:sz w:val="16"/>
          <w:szCs w:val="16"/>
        </w:rPr>
        <w:br/>
        <w:t>vol. 134, pp. A635–A646, Dec. 1965.</w:t>
      </w:r>
    </w:p>
    <w:p w:rsidR="00063F26" w:rsidRDefault="00567FDD">
      <w:pPr>
        <w:numPr>
          <w:ilvl w:val="0"/>
          <w:numId w:val="1"/>
        </w:numPr>
        <w:jc w:val="both"/>
      </w:pPr>
      <w:r>
        <w:rPr>
          <w:sz w:val="16"/>
          <w:szCs w:val="16"/>
        </w:rPr>
        <w:t xml:space="preserve">E. H. Miller, “A note on reflector arrays,” </w:t>
      </w:r>
      <w:r>
        <w:rPr>
          <w:i/>
          <w:sz w:val="16"/>
          <w:szCs w:val="16"/>
        </w:rPr>
        <w:t xml:space="preserve">IEEE Trans. Antennas </w:t>
      </w:r>
      <w:proofErr w:type="spellStart"/>
      <w:r>
        <w:rPr>
          <w:i/>
          <w:sz w:val="16"/>
          <w:szCs w:val="16"/>
        </w:rPr>
        <w:t>Propagat</w:t>
      </w:r>
      <w:proofErr w:type="spellEnd"/>
      <w:r>
        <w:rPr>
          <w:sz w:val="16"/>
          <w:szCs w:val="16"/>
        </w:rPr>
        <w:t>., to be published.</w:t>
      </w:r>
    </w:p>
    <w:p w:rsidR="00063F26" w:rsidRDefault="00063F26">
      <w:pPr>
        <w:widowControl w:val="0"/>
        <w:ind w:left="361" w:right="-20"/>
      </w:pPr>
    </w:p>
    <w:p w:rsidR="00063F26" w:rsidRDefault="00567FDD">
      <w:pPr>
        <w:rPr>
          <w:rFonts w:ascii="Times" w:eastAsia="Times" w:hAnsi="Times" w:cs="Times"/>
          <w:i/>
        </w:rPr>
      </w:pPr>
      <w:r>
        <w:rPr>
          <w:rFonts w:ascii="Times" w:eastAsia="Times" w:hAnsi="Times" w:cs="Times"/>
          <w:i/>
        </w:rPr>
        <w:t>Basic format for reports:</w:t>
      </w:r>
    </w:p>
    <w:p w:rsidR="00063F26" w:rsidRDefault="00567FDD">
      <w:pPr>
        <w:rPr>
          <w:sz w:val="16"/>
          <w:szCs w:val="16"/>
        </w:rPr>
      </w:pPr>
      <w:r>
        <w:rPr>
          <w:sz w:val="16"/>
          <w:szCs w:val="16"/>
        </w:rPr>
        <w:t xml:space="preserve">J. K. Author, “Title of report,” Abbrev. Name of Co., City of Co., Abbrev. State, Country, Rep. </w:t>
      </w:r>
      <w:proofErr w:type="gramStart"/>
      <w:r>
        <w:rPr>
          <w:i/>
          <w:sz w:val="16"/>
          <w:szCs w:val="16"/>
        </w:rPr>
        <w:t>xxx</w:t>
      </w:r>
      <w:proofErr w:type="gramEnd"/>
      <w:r>
        <w:rPr>
          <w:sz w:val="16"/>
          <w:szCs w:val="16"/>
        </w:rPr>
        <w:t>, year.</w:t>
      </w:r>
    </w:p>
    <w:p w:rsidR="00063F26" w:rsidRDefault="00567FDD">
      <w:pPr>
        <w:rPr>
          <w:rFonts w:ascii="Times" w:eastAsia="Times" w:hAnsi="Times" w:cs="Times"/>
          <w:i/>
        </w:rPr>
      </w:pPr>
      <w:r>
        <w:rPr>
          <w:rFonts w:ascii="Times" w:eastAsia="Times" w:hAnsi="Times" w:cs="Times"/>
          <w:i/>
        </w:rPr>
        <w:t>Examples:</w:t>
      </w:r>
    </w:p>
    <w:p w:rsidR="00063F26" w:rsidRDefault="00567FDD">
      <w:pPr>
        <w:numPr>
          <w:ilvl w:val="0"/>
          <w:numId w:val="1"/>
        </w:numPr>
        <w:jc w:val="both"/>
      </w:pPr>
      <w:r>
        <w:rPr>
          <w:sz w:val="16"/>
          <w:szCs w:val="16"/>
        </w:rPr>
        <w:t xml:space="preserve">E. E. </w:t>
      </w:r>
      <w:proofErr w:type="spellStart"/>
      <w:r>
        <w:rPr>
          <w:sz w:val="16"/>
          <w:szCs w:val="16"/>
        </w:rPr>
        <w:t>Reber</w:t>
      </w:r>
      <w:proofErr w:type="spellEnd"/>
      <w:r>
        <w:rPr>
          <w:sz w:val="16"/>
          <w:szCs w:val="16"/>
        </w:rPr>
        <w:t xml:space="preserve">, R. L. </w:t>
      </w:r>
      <w:proofErr w:type="spellStart"/>
      <w:r>
        <w:rPr>
          <w:sz w:val="16"/>
          <w:szCs w:val="16"/>
        </w:rPr>
        <w:t>Michell</w:t>
      </w:r>
      <w:proofErr w:type="spellEnd"/>
      <w:r>
        <w:rPr>
          <w:sz w:val="16"/>
          <w:szCs w:val="16"/>
        </w:rPr>
        <w:t>, and C. J. Carter, “Oxygen absorption in the earth’s atmosphere,” Aerospace Corp., Los Angeles, CA, USA, Tech. Rep. TR-0200 (4230-46)-3, Nov. 1988.</w:t>
      </w:r>
    </w:p>
    <w:p w:rsidR="00063F26" w:rsidRDefault="00567FDD">
      <w:pPr>
        <w:numPr>
          <w:ilvl w:val="0"/>
          <w:numId w:val="1"/>
        </w:numPr>
        <w:jc w:val="both"/>
      </w:pPr>
      <w:r>
        <w:rPr>
          <w:sz w:val="16"/>
          <w:szCs w:val="16"/>
        </w:rPr>
        <w:t xml:space="preserve">J. H. Davis and J. R. </w:t>
      </w:r>
      <w:proofErr w:type="spellStart"/>
      <w:r>
        <w:rPr>
          <w:sz w:val="16"/>
          <w:szCs w:val="16"/>
        </w:rPr>
        <w:t>Cogdell</w:t>
      </w:r>
      <w:proofErr w:type="spellEnd"/>
      <w:r>
        <w:rPr>
          <w:sz w:val="16"/>
          <w:szCs w:val="16"/>
        </w:rPr>
        <w:t>, “Calibration program for the 16-foot antenna,” Elect. Eng. Res. Lab., Univ. Texas, Austin, TX, USA, Tech. Memo. NGL-006-69-3, Nov. 15, 1987.</w:t>
      </w:r>
    </w:p>
    <w:p w:rsidR="00063F26" w:rsidRDefault="00063F26"/>
    <w:p w:rsidR="00063F26" w:rsidRDefault="00567FDD">
      <w:pPr>
        <w:rPr>
          <w:rFonts w:ascii="Times" w:eastAsia="Times" w:hAnsi="Times" w:cs="Times"/>
          <w:i/>
        </w:rPr>
      </w:pPr>
      <w:r>
        <w:rPr>
          <w:rFonts w:ascii="Times" w:eastAsia="Times" w:hAnsi="Times" w:cs="Times"/>
          <w:i/>
        </w:rPr>
        <w:t>Basic format for handbooks:</w:t>
      </w:r>
    </w:p>
    <w:p w:rsidR="00063F26" w:rsidRDefault="00567FDD">
      <w:pPr>
        <w:rPr>
          <w:i/>
          <w:sz w:val="16"/>
          <w:szCs w:val="16"/>
        </w:rPr>
      </w:pPr>
      <w:r>
        <w:rPr>
          <w:rFonts w:ascii="Times" w:eastAsia="Times" w:hAnsi="Times" w:cs="Times"/>
          <w:i/>
        </w:rPr>
        <w:t xml:space="preserve"> </w:t>
      </w:r>
      <w:r>
        <w:rPr>
          <w:i/>
          <w:sz w:val="16"/>
          <w:szCs w:val="16"/>
        </w:rPr>
        <w:t>Name of Manual/Handbook, x</w:t>
      </w:r>
      <w:r>
        <w:rPr>
          <w:sz w:val="16"/>
          <w:szCs w:val="16"/>
        </w:rPr>
        <w:t xml:space="preserve"> ed., Abbrev. Name of Co., City of Co., Abbrev. State, Country, year, pp. </w:t>
      </w:r>
      <w:r>
        <w:rPr>
          <w:i/>
          <w:sz w:val="16"/>
          <w:szCs w:val="16"/>
        </w:rPr>
        <w:t>xxx-xxx.</w:t>
      </w:r>
    </w:p>
    <w:p w:rsidR="00063F26" w:rsidRDefault="00567FDD">
      <w:pPr>
        <w:rPr>
          <w:rFonts w:ascii="Times" w:eastAsia="Times" w:hAnsi="Times" w:cs="Times"/>
          <w:i/>
        </w:rPr>
      </w:pPr>
      <w:r>
        <w:rPr>
          <w:rFonts w:ascii="Times" w:eastAsia="Times" w:hAnsi="Times" w:cs="Times"/>
          <w:i/>
        </w:rPr>
        <w:t>Examples:</w:t>
      </w:r>
    </w:p>
    <w:p w:rsidR="00063F26" w:rsidRDefault="00567FDD">
      <w:pPr>
        <w:numPr>
          <w:ilvl w:val="0"/>
          <w:numId w:val="1"/>
        </w:numPr>
        <w:jc w:val="both"/>
      </w:pPr>
      <w:r>
        <w:rPr>
          <w:rFonts w:ascii="Times" w:eastAsia="Times" w:hAnsi="Times" w:cs="Times"/>
          <w:i/>
          <w:sz w:val="16"/>
          <w:szCs w:val="16"/>
        </w:rPr>
        <w:t>Transmission Systems for Communications</w:t>
      </w:r>
      <w:r>
        <w:rPr>
          <w:sz w:val="16"/>
          <w:szCs w:val="16"/>
        </w:rPr>
        <w:t>, 3rd ed., Western Electric Co., Winston-Salem, NC, USA, 1985, pp. 44–60.</w:t>
      </w:r>
    </w:p>
    <w:p w:rsidR="00063F26" w:rsidRDefault="00567FDD">
      <w:pPr>
        <w:numPr>
          <w:ilvl w:val="0"/>
          <w:numId w:val="1"/>
        </w:numPr>
        <w:jc w:val="both"/>
      </w:pPr>
      <w:r>
        <w:rPr>
          <w:rFonts w:ascii="Times" w:eastAsia="Times" w:hAnsi="Times" w:cs="Times"/>
          <w:i/>
          <w:sz w:val="16"/>
          <w:szCs w:val="16"/>
        </w:rPr>
        <w:t>Motorola Semiconductor Data Manual</w:t>
      </w:r>
      <w:r>
        <w:rPr>
          <w:sz w:val="16"/>
          <w:szCs w:val="16"/>
        </w:rPr>
        <w:t>, Motorola Semiconductor Products Inc., Phoenix, AZ, USA, 1989.</w:t>
      </w:r>
    </w:p>
    <w:p w:rsidR="00063F26" w:rsidRDefault="00063F26"/>
    <w:p w:rsidR="00063F26" w:rsidRDefault="00567FDD">
      <w:pPr>
        <w:widowControl w:val="0"/>
        <w:ind w:right="-68"/>
        <w:rPr>
          <w:i/>
        </w:rPr>
      </w:pPr>
      <w:r>
        <w:rPr>
          <w:i/>
        </w:rPr>
        <w:t xml:space="preserve">Basic format for books (when available online): </w:t>
      </w:r>
    </w:p>
    <w:p w:rsidR="00063F26" w:rsidRDefault="00567FDD">
      <w:pPr>
        <w:jc w:val="both"/>
        <w:rPr>
          <w:sz w:val="16"/>
          <w:szCs w:val="16"/>
        </w:rPr>
      </w:pPr>
      <w:r>
        <w:rPr>
          <w:sz w:val="16"/>
          <w:szCs w:val="16"/>
        </w:rPr>
        <w:t xml:space="preserve"> J. K. Author, “Title of chapter in the book,” in </w:t>
      </w:r>
      <w:r>
        <w:rPr>
          <w:i/>
          <w:sz w:val="16"/>
          <w:szCs w:val="16"/>
        </w:rPr>
        <w:t>Title of Published Book</w:t>
      </w:r>
      <w:r>
        <w:rPr>
          <w:sz w:val="16"/>
          <w:szCs w:val="16"/>
        </w:rPr>
        <w:t xml:space="preserve">, </w:t>
      </w:r>
      <w:proofErr w:type="spellStart"/>
      <w:r>
        <w:rPr>
          <w:i/>
          <w:sz w:val="16"/>
          <w:szCs w:val="16"/>
        </w:rPr>
        <w:t>x</w:t>
      </w:r>
      <w:r>
        <w:rPr>
          <w:sz w:val="16"/>
          <w:szCs w:val="16"/>
        </w:rPr>
        <w:t>th</w:t>
      </w:r>
      <w:proofErr w:type="spellEnd"/>
      <w:r>
        <w:rPr>
          <w:sz w:val="16"/>
          <w:szCs w:val="16"/>
        </w:rPr>
        <w:t xml:space="preserve"> ed. City of Publisher, State, Country: Abbrev. </w:t>
      </w:r>
      <w:proofErr w:type="gramStart"/>
      <w:r>
        <w:rPr>
          <w:sz w:val="16"/>
          <w:szCs w:val="16"/>
        </w:rPr>
        <w:t>of</w:t>
      </w:r>
      <w:proofErr w:type="gramEnd"/>
      <w:r>
        <w:rPr>
          <w:sz w:val="16"/>
          <w:szCs w:val="16"/>
        </w:rPr>
        <w:t xml:space="preserve"> Publisher, year, </w:t>
      </w:r>
      <w:proofErr w:type="spellStart"/>
      <w:r>
        <w:rPr>
          <w:sz w:val="16"/>
          <w:szCs w:val="16"/>
        </w:rPr>
        <w:t>ch.</w:t>
      </w:r>
      <w:proofErr w:type="spellEnd"/>
      <w:r>
        <w:rPr>
          <w:i/>
          <w:sz w:val="16"/>
          <w:szCs w:val="16"/>
        </w:rPr>
        <w:t xml:space="preserve"> x</w:t>
      </w:r>
      <w:r>
        <w:rPr>
          <w:sz w:val="16"/>
          <w:szCs w:val="16"/>
        </w:rPr>
        <w:t xml:space="preserve">, sec. </w:t>
      </w:r>
      <w:r>
        <w:rPr>
          <w:i/>
          <w:sz w:val="16"/>
          <w:szCs w:val="16"/>
        </w:rPr>
        <w:t>x</w:t>
      </w:r>
      <w:r>
        <w:rPr>
          <w:sz w:val="16"/>
          <w:szCs w:val="16"/>
        </w:rPr>
        <w:t xml:space="preserve">, pp. </w:t>
      </w:r>
      <w:r>
        <w:rPr>
          <w:i/>
          <w:sz w:val="16"/>
          <w:szCs w:val="16"/>
        </w:rPr>
        <w:t>xxx–xxx</w:t>
      </w:r>
      <w:r>
        <w:rPr>
          <w:sz w:val="16"/>
          <w:szCs w:val="16"/>
        </w:rPr>
        <w:t xml:space="preserve">. [Online]. Available: http://www.web.com </w:t>
      </w:r>
    </w:p>
    <w:p w:rsidR="00063F26" w:rsidRDefault="00567FDD">
      <w:pPr>
        <w:widowControl w:val="0"/>
        <w:spacing w:before="37"/>
        <w:ind w:right="-20"/>
      </w:pPr>
      <w:r>
        <w:rPr>
          <w:i/>
        </w:rPr>
        <w:t>Examples:</w:t>
      </w:r>
    </w:p>
    <w:p w:rsidR="00063F26" w:rsidRDefault="00567FDD">
      <w:pPr>
        <w:numPr>
          <w:ilvl w:val="0"/>
          <w:numId w:val="1"/>
        </w:numPr>
        <w:jc w:val="both"/>
      </w:pPr>
      <w:r>
        <w:rPr>
          <w:sz w:val="16"/>
          <w:szCs w:val="16"/>
        </w:rPr>
        <w:t xml:space="preserve">G. O. Young, “Synthetic structure of industrial plastics,” in Plastics, vol. 3, Polymers of </w:t>
      </w:r>
      <w:proofErr w:type="spellStart"/>
      <w:r>
        <w:rPr>
          <w:sz w:val="16"/>
          <w:szCs w:val="16"/>
        </w:rPr>
        <w:t>Hexadromicon</w:t>
      </w:r>
      <w:proofErr w:type="spellEnd"/>
      <w:r>
        <w:rPr>
          <w:sz w:val="16"/>
          <w:szCs w:val="16"/>
        </w:rPr>
        <w:t xml:space="preserve">, J. Peters, Ed., 2nd ed. New York, NY, USA: McGraw-Hill, 1964, pp. 15-64. [Online]. Available: http://www.bookref.com. </w:t>
      </w:r>
    </w:p>
    <w:p w:rsidR="00063F26" w:rsidRDefault="00567FDD">
      <w:pPr>
        <w:numPr>
          <w:ilvl w:val="0"/>
          <w:numId w:val="1"/>
        </w:numPr>
        <w:jc w:val="both"/>
      </w:pPr>
      <w:r>
        <w:rPr>
          <w:i/>
          <w:sz w:val="16"/>
          <w:szCs w:val="16"/>
        </w:rPr>
        <w:t>The Founders’ Constitution</w:t>
      </w:r>
      <w:r>
        <w:rPr>
          <w:sz w:val="16"/>
          <w:szCs w:val="16"/>
        </w:rPr>
        <w:t>, Philip B. Kurland and Ralph Lerner, eds., Chicago, IL, USA: Univ. Chicago Press, 1987. [Online]. Available: http://press-pubs.uchicago.edu/founders/</w:t>
      </w:r>
    </w:p>
    <w:p w:rsidR="00063F26" w:rsidRDefault="00567FDD">
      <w:pPr>
        <w:numPr>
          <w:ilvl w:val="0"/>
          <w:numId w:val="1"/>
        </w:numPr>
        <w:jc w:val="both"/>
      </w:pPr>
      <w:r>
        <w:rPr>
          <w:sz w:val="16"/>
          <w:szCs w:val="16"/>
        </w:rPr>
        <w:t xml:space="preserve">The Terahertz Wave eBook. </w:t>
      </w:r>
      <w:proofErr w:type="spellStart"/>
      <w:r>
        <w:rPr>
          <w:sz w:val="16"/>
          <w:szCs w:val="16"/>
        </w:rPr>
        <w:t>ZOmega</w:t>
      </w:r>
      <w:proofErr w:type="spellEnd"/>
      <w:r>
        <w:rPr>
          <w:sz w:val="16"/>
          <w:szCs w:val="16"/>
        </w:rPr>
        <w:t xml:space="preserve"> Terahertz Corp., 2014. [Online]. Available: http://dl.z-thz.com/eBook/zomega_ebook_pdf_1206_sr.pdf. Accessed on: May 19, 2014. </w:t>
      </w:r>
    </w:p>
    <w:p w:rsidR="00063F26" w:rsidRDefault="00567FDD">
      <w:pPr>
        <w:numPr>
          <w:ilvl w:val="0"/>
          <w:numId w:val="1"/>
        </w:numPr>
        <w:jc w:val="both"/>
      </w:pPr>
      <w:r>
        <w:rPr>
          <w:color w:val="191919"/>
          <w:sz w:val="16"/>
          <w:szCs w:val="16"/>
        </w:rPr>
        <w:t>Philip B. Kurla</w:t>
      </w:r>
      <w:r>
        <w:rPr>
          <w:sz w:val="16"/>
          <w:szCs w:val="16"/>
        </w:rPr>
        <w:t xml:space="preserve">nd and Ralph Lerner, eds., </w:t>
      </w:r>
      <w:proofErr w:type="gramStart"/>
      <w:r>
        <w:rPr>
          <w:i/>
          <w:sz w:val="16"/>
          <w:szCs w:val="16"/>
        </w:rPr>
        <w:t>The</w:t>
      </w:r>
      <w:proofErr w:type="gramEnd"/>
      <w:r>
        <w:rPr>
          <w:i/>
          <w:sz w:val="16"/>
          <w:szCs w:val="16"/>
        </w:rPr>
        <w:t xml:space="preserve"> Founders’ Constitution. </w:t>
      </w:r>
      <w:r>
        <w:rPr>
          <w:sz w:val="16"/>
          <w:szCs w:val="16"/>
        </w:rPr>
        <w:t xml:space="preserve">Chicago, IL, USA: Univ. of Chicago Press, 1987, Accessed on: Feb. 28, 2010, [Online] Available: http://press-pubs.uchicago.edu/founders/ </w:t>
      </w:r>
    </w:p>
    <w:p w:rsidR="00063F26" w:rsidRDefault="00063F26">
      <w:pPr>
        <w:widowControl w:val="0"/>
        <w:spacing w:before="5"/>
        <w:rPr>
          <w:sz w:val="14"/>
          <w:szCs w:val="14"/>
        </w:rPr>
      </w:pPr>
    </w:p>
    <w:p w:rsidR="00063F26" w:rsidRDefault="00567FDD">
      <w:pPr>
        <w:widowControl w:val="0"/>
        <w:ind w:right="358"/>
        <w:rPr>
          <w:i/>
        </w:rPr>
      </w:pPr>
      <w:r>
        <w:rPr>
          <w:i/>
        </w:rPr>
        <w:t>Basic format for journals (when available online):</w:t>
      </w:r>
    </w:p>
    <w:p w:rsidR="00063F26" w:rsidRDefault="00567FDD">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rsidR="00063F26" w:rsidRDefault="00567FDD">
      <w:pPr>
        <w:widowControl w:val="0"/>
        <w:ind w:right="358"/>
      </w:pPr>
      <w:r>
        <w:rPr>
          <w:i/>
        </w:rPr>
        <w:t>Examples:</w:t>
      </w:r>
    </w:p>
    <w:p w:rsidR="00063F26" w:rsidRDefault="00567FDD">
      <w:pPr>
        <w:numPr>
          <w:ilvl w:val="0"/>
          <w:numId w:val="1"/>
        </w:numPr>
        <w:jc w:val="both"/>
      </w:pPr>
      <w:r>
        <w:rPr>
          <w:sz w:val="16"/>
          <w:szCs w:val="16"/>
        </w:rPr>
        <w:t xml:space="preserve">J. S. Turner, “New directions in communications,” </w:t>
      </w:r>
      <w:r>
        <w:rPr>
          <w:i/>
          <w:sz w:val="16"/>
          <w:szCs w:val="16"/>
        </w:rPr>
        <w:t xml:space="preserve">IEEE J. Sel. Areas </w:t>
      </w:r>
      <w:proofErr w:type="spellStart"/>
      <w:r>
        <w:rPr>
          <w:i/>
          <w:sz w:val="16"/>
          <w:szCs w:val="16"/>
        </w:rPr>
        <w:t>Commun</w:t>
      </w:r>
      <w:proofErr w:type="spellEnd"/>
      <w:r>
        <w:rPr>
          <w:sz w:val="16"/>
          <w:szCs w:val="16"/>
        </w:rPr>
        <w:t xml:space="preserve">., vol. 13, no. 1, pp. 11-23, Jan. 1995. </w:t>
      </w:r>
    </w:p>
    <w:p w:rsidR="00063F26" w:rsidRDefault="00567FDD">
      <w:pPr>
        <w:numPr>
          <w:ilvl w:val="0"/>
          <w:numId w:val="1"/>
        </w:numPr>
        <w:jc w:val="both"/>
      </w:pPr>
      <w:r>
        <w:rPr>
          <w:sz w:val="16"/>
          <w:szCs w:val="16"/>
        </w:rPr>
        <w:t xml:space="preserve">W. P. Risk, G. S. Kino, and H. J. Shaw, “Fiber-optic frequency shifter using a surface acoustic wave incident at an oblique angle,” </w:t>
      </w:r>
      <w:r>
        <w:rPr>
          <w:i/>
          <w:sz w:val="16"/>
          <w:szCs w:val="16"/>
        </w:rPr>
        <w:t>Opt. Lett.</w:t>
      </w:r>
      <w:r>
        <w:rPr>
          <w:sz w:val="16"/>
          <w:szCs w:val="16"/>
        </w:rPr>
        <w:t>, vol. 11, no. 2, pp. 115–117, Feb. 1986.</w:t>
      </w:r>
    </w:p>
    <w:p w:rsidR="00063F26" w:rsidRDefault="00567FDD">
      <w:pPr>
        <w:numPr>
          <w:ilvl w:val="0"/>
          <w:numId w:val="1"/>
        </w:numPr>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to be published. DOI: 10.1109/TTHZ.2016.2544142.</w:t>
      </w:r>
    </w:p>
    <w:p w:rsidR="00063F26" w:rsidRDefault="00063F26">
      <w:pPr>
        <w:widowControl w:val="0"/>
        <w:ind w:right="-54"/>
        <w:jc w:val="both"/>
        <w:rPr>
          <w:i/>
        </w:rPr>
      </w:pPr>
    </w:p>
    <w:p w:rsidR="00063F26" w:rsidRDefault="00567FDD">
      <w:pPr>
        <w:widowControl w:val="0"/>
        <w:ind w:right="-54"/>
        <w:rPr>
          <w:i/>
        </w:rPr>
      </w:pPr>
      <w:r>
        <w:rPr>
          <w:i/>
        </w:rPr>
        <w:t xml:space="preserve">Basic format for papers presented at conferences (when available online): </w:t>
      </w:r>
    </w:p>
    <w:p w:rsidR="00063F26" w:rsidRDefault="00567FDD">
      <w:pPr>
        <w:rPr>
          <w:sz w:val="16"/>
          <w:szCs w:val="16"/>
        </w:rPr>
      </w:pPr>
      <w:r>
        <w:rPr>
          <w:sz w:val="16"/>
          <w:szCs w:val="16"/>
        </w:rPr>
        <w:t>J.K. Author. (</w:t>
      </w:r>
      <w:proofErr w:type="gramStart"/>
      <w:r>
        <w:rPr>
          <w:sz w:val="16"/>
          <w:szCs w:val="16"/>
        </w:rPr>
        <w:t>year</w:t>
      </w:r>
      <w:proofErr w:type="gramEnd"/>
      <w:r>
        <w:rPr>
          <w:sz w:val="16"/>
          <w:szCs w:val="16"/>
        </w:rPr>
        <w:t xml:space="preserve">, month). Title. </w:t>
      </w:r>
      <w:proofErr w:type="gramStart"/>
      <w:r>
        <w:rPr>
          <w:sz w:val="16"/>
          <w:szCs w:val="16"/>
        </w:rPr>
        <w:t>presented</w:t>
      </w:r>
      <w:proofErr w:type="gramEnd"/>
      <w:r>
        <w:rPr>
          <w:sz w:val="16"/>
          <w:szCs w:val="16"/>
        </w:rPr>
        <w:t xml:space="preserve"> at abbrev. </w:t>
      </w:r>
      <w:proofErr w:type="gramStart"/>
      <w:r>
        <w:rPr>
          <w:sz w:val="16"/>
          <w:szCs w:val="16"/>
        </w:rPr>
        <w:t>conference</w:t>
      </w:r>
      <w:proofErr w:type="gramEnd"/>
      <w:r>
        <w:rPr>
          <w:sz w:val="16"/>
          <w:szCs w:val="16"/>
        </w:rPr>
        <w:t xml:space="preserve"> title. [Type of Medium]. Available: site/path/file</w:t>
      </w:r>
    </w:p>
    <w:p w:rsidR="00063F26" w:rsidRDefault="00567FDD">
      <w:pPr>
        <w:widowControl w:val="0"/>
        <w:ind w:right="-20"/>
      </w:pPr>
      <w:r>
        <w:rPr>
          <w:i/>
        </w:rPr>
        <w:t>Example:</w:t>
      </w:r>
    </w:p>
    <w:p w:rsidR="00063F26" w:rsidRDefault="00567FDD">
      <w:pPr>
        <w:numPr>
          <w:ilvl w:val="0"/>
          <w:numId w:val="1"/>
        </w:numPr>
      </w:pPr>
      <w:r>
        <w:rPr>
          <w:sz w:val="16"/>
          <w:szCs w:val="16"/>
        </w:rPr>
        <w:t>PROCESS Corporation, Boston, MA, USA. Intranets:  Internet technologies deployed behind the firewall for corporate productivity. Presented at INET96 Annual Meeting. [Online]. Available:  http://home.process.com/Intranets/wp2.htp</w:t>
      </w:r>
    </w:p>
    <w:p w:rsidR="00063F26" w:rsidRDefault="00063F26">
      <w:pPr>
        <w:widowControl w:val="0"/>
        <w:spacing w:before="1"/>
        <w:rPr>
          <w:sz w:val="18"/>
          <w:szCs w:val="18"/>
        </w:rPr>
      </w:pPr>
    </w:p>
    <w:p w:rsidR="00063F26" w:rsidRDefault="00567FDD">
      <w:pPr>
        <w:widowControl w:val="0"/>
        <w:ind w:right="-54"/>
        <w:rPr>
          <w:i/>
        </w:rPr>
      </w:pPr>
      <w:r>
        <w:rPr>
          <w:i/>
        </w:rPr>
        <w:t xml:space="preserve">Basic format for reports   and   handbooks (when available online):   </w:t>
      </w:r>
    </w:p>
    <w:p w:rsidR="00063F26" w:rsidRDefault="00567FDD">
      <w:pPr>
        <w:rPr>
          <w:sz w:val="16"/>
          <w:szCs w:val="16"/>
        </w:rPr>
      </w:pPr>
      <w:r>
        <w:rPr>
          <w:sz w:val="16"/>
          <w:szCs w:val="16"/>
        </w:rPr>
        <w:t>J. K. Author. “Title of report,” Company. City, State, Country. Rep. no., (optional: vol</w:t>
      </w:r>
      <w:proofErr w:type="gramStart"/>
      <w:r>
        <w:rPr>
          <w:sz w:val="16"/>
          <w:szCs w:val="16"/>
        </w:rPr>
        <w:t>./</w:t>
      </w:r>
      <w:proofErr w:type="gramEnd"/>
      <w:r>
        <w:rPr>
          <w:sz w:val="16"/>
          <w:szCs w:val="16"/>
        </w:rPr>
        <w:t xml:space="preserve">issue), Date. [Online] Available: site/path/file </w:t>
      </w:r>
    </w:p>
    <w:p w:rsidR="00063F26" w:rsidRDefault="00567FDD">
      <w:pPr>
        <w:widowControl w:val="0"/>
        <w:spacing w:before="1"/>
        <w:ind w:left="1170" w:right="-20" w:hanging="360"/>
        <w:rPr>
          <w:rFonts w:ascii="Tahoma" w:eastAsia="Tahoma" w:hAnsi="Tahoma" w:cs="Tahoma"/>
          <w:sz w:val="16"/>
          <w:szCs w:val="16"/>
        </w:rPr>
      </w:pPr>
      <w:r>
        <w:rPr>
          <w:i/>
        </w:rPr>
        <w:t>Examples:</w:t>
      </w:r>
      <w:r>
        <w:rPr>
          <w:sz w:val="16"/>
          <w:szCs w:val="16"/>
        </w:rPr>
        <w:t xml:space="preserve">   </w:t>
      </w:r>
    </w:p>
    <w:p w:rsidR="00063F26" w:rsidRDefault="00567FDD">
      <w:pPr>
        <w:numPr>
          <w:ilvl w:val="0"/>
          <w:numId w:val="1"/>
        </w:numPr>
        <w:jc w:val="both"/>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rsidR="00063F26" w:rsidRDefault="00567FDD">
      <w:pPr>
        <w:numPr>
          <w:ilvl w:val="0"/>
          <w:numId w:val="1"/>
        </w:numPr>
      </w:pPr>
      <w:proofErr w:type="spellStart"/>
      <w:r>
        <w:rPr>
          <w:sz w:val="16"/>
          <w:szCs w:val="16"/>
        </w:rPr>
        <w:t>Teralyzer</w:t>
      </w:r>
      <w:proofErr w:type="spellEnd"/>
      <w:r>
        <w:rPr>
          <w:sz w:val="16"/>
          <w:szCs w:val="16"/>
        </w:rPr>
        <w:t xml:space="preserve">. </w:t>
      </w:r>
      <w:proofErr w:type="spellStart"/>
      <w:r>
        <w:rPr>
          <w:sz w:val="16"/>
          <w:szCs w:val="16"/>
        </w:rPr>
        <w:t>Lytera</w:t>
      </w:r>
      <w:proofErr w:type="spellEnd"/>
      <w:r>
        <w:rPr>
          <w:sz w:val="16"/>
          <w:szCs w:val="16"/>
        </w:rPr>
        <w:t xml:space="preserve"> UG, </w:t>
      </w:r>
      <w:proofErr w:type="spellStart"/>
      <w:r>
        <w:rPr>
          <w:sz w:val="16"/>
          <w:szCs w:val="16"/>
        </w:rPr>
        <w:t>Kirchhain</w:t>
      </w:r>
      <w:proofErr w:type="spellEnd"/>
      <w:r>
        <w:rPr>
          <w:sz w:val="16"/>
          <w:szCs w:val="16"/>
        </w:rPr>
        <w:t>, Germany [Online]. Available: http://www.lytera.de/Terahertz_THz_Spectroscopy.php?id=home, Accessed on: Jun. 5, 2014</w:t>
      </w:r>
    </w:p>
    <w:p w:rsidR="00063F26" w:rsidRDefault="00063F26">
      <w:pPr>
        <w:widowControl w:val="0"/>
        <w:spacing w:before="5"/>
        <w:rPr>
          <w:sz w:val="14"/>
          <w:szCs w:val="14"/>
        </w:rPr>
      </w:pPr>
    </w:p>
    <w:p w:rsidR="00063F26" w:rsidRDefault="00567FDD">
      <w:pPr>
        <w:widowControl w:val="0"/>
        <w:ind w:left="90" w:right="-54" w:hanging="90"/>
        <w:rPr>
          <w:i/>
        </w:rPr>
      </w:pPr>
      <w:r>
        <w:rPr>
          <w:i/>
        </w:rPr>
        <w:t xml:space="preserve">Basic format for computer programs and electronic documents (when available online): </w:t>
      </w:r>
    </w:p>
    <w:p w:rsidR="00063F26" w:rsidRDefault="00567FDD">
      <w:pPr>
        <w:rPr>
          <w:sz w:val="16"/>
          <w:szCs w:val="16"/>
        </w:rPr>
      </w:pPr>
      <w:r>
        <w:rPr>
          <w:sz w:val="16"/>
          <w:szCs w:val="16"/>
        </w:rPr>
        <w:lastRenderedPageBreak/>
        <w:t>Legislative body. Number of Congress, Session. (</w:t>
      </w:r>
      <w:proofErr w:type="gramStart"/>
      <w:r>
        <w:rPr>
          <w:sz w:val="16"/>
          <w:szCs w:val="16"/>
        </w:rPr>
        <w:t>year</w:t>
      </w:r>
      <w:proofErr w:type="gramEnd"/>
      <w:r>
        <w:rPr>
          <w:sz w:val="16"/>
          <w:szCs w:val="16"/>
        </w:rPr>
        <w:t xml:space="preserve">, month day). </w:t>
      </w:r>
      <w:r>
        <w:rPr>
          <w:i/>
          <w:sz w:val="16"/>
          <w:szCs w:val="16"/>
        </w:rPr>
        <w:t>Number of bill or resolution</w:t>
      </w:r>
      <w:r>
        <w:rPr>
          <w:sz w:val="16"/>
          <w:szCs w:val="16"/>
        </w:rPr>
        <w:t xml:space="preserve">, </w:t>
      </w:r>
      <w:r>
        <w:rPr>
          <w:i/>
          <w:sz w:val="16"/>
          <w:szCs w:val="16"/>
        </w:rPr>
        <w:t>Title</w:t>
      </w:r>
      <w:r>
        <w:rPr>
          <w:sz w:val="16"/>
          <w:szCs w:val="16"/>
        </w:rPr>
        <w:t>. [Type of medium]. Available: site/path/file</w:t>
      </w:r>
    </w:p>
    <w:p w:rsidR="00063F26" w:rsidRDefault="00567FDD">
      <w:pPr>
        <w:rPr>
          <w:sz w:val="16"/>
          <w:szCs w:val="16"/>
        </w:rPr>
      </w:pPr>
      <w:r>
        <w:rPr>
          <w:b/>
          <w:i/>
          <w:sz w:val="16"/>
          <w:szCs w:val="16"/>
        </w:rPr>
        <w:t xml:space="preserve">NOTE: </w:t>
      </w:r>
      <w:r>
        <w:rPr>
          <w:sz w:val="16"/>
          <w:szCs w:val="16"/>
        </w:rPr>
        <w:t>ISO recommends that capitalization follow the accepted practice for the language or script in which the information is given.</w:t>
      </w:r>
    </w:p>
    <w:p w:rsidR="00063F26" w:rsidRDefault="00567FDD">
      <w:pPr>
        <w:widowControl w:val="0"/>
        <w:spacing w:before="37"/>
        <w:ind w:right="-20"/>
      </w:pPr>
      <w:r>
        <w:rPr>
          <w:i/>
        </w:rPr>
        <w:t>Example:</w:t>
      </w:r>
    </w:p>
    <w:p w:rsidR="00063F26" w:rsidRDefault="00567FDD">
      <w:pPr>
        <w:numPr>
          <w:ilvl w:val="0"/>
          <w:numId w:val="1"/>
        </w:numPr>
        <w:jc w:val="both"/>
      </w:pPr>
      <w:r>
        <w:rPr>
          <w:sz w:val="16"/>
          <w:szCs w:val="16"/>
        </w:rPr>
        <w:t xml:space="preserve">U.S. House. 102nd Congress, 1st Session. (1991, Jan. 11). </w:t>
      </w:r>
      <w:r>
        <w:rPr>
          <w:i/>
          <w:sz w:val="16"/>
          <w:szCs w:val="16"/>
        </w:rPr>
        <w:t>H. Con. Res. 1, Sense of the Congress on Approval of Military Action</w:t>
      </w:r>
      <w:r>
        <w:rPr>
          <w:sz w:val="16"/>
          <w:szCs w:val="16"/>
        </w:rPr>
        <w:t xml:space="preserve">. [Online]. Available: LEXIS Library: GENFED File: BILLS </w:t>
      </w:r>
    </w:p>
    <w:p w:rsidR="00063F26" w:rsidRDefault="00567FDD">
      <w:pPr>
        <w:ind w:left="1170" w:hanging="360"/>
        <w:jc w:val="both"/>
        <w:rPr>
          <w:sz w:val="16"/>
          <w:szCs w:val="16"/>
        </w:rPr>
      </w:pPr>
      <w:r>
        <w:rPr>
          <w:sz w:val="16"/>
          <w:szCs w:val="16"/>
        </w:rPr>
        <w:t xml:space="preserve"> </w:t>
      </w:r>
    </w:p>
    <w:p w:rsidR="00063F26" w:rsidRDefault="00063F26">
      <w:pPr>
        <w:ind w:left="360" w:hanging="360"/>
        <w:jc w:val="both"/>
        <w:rPr>
          <w:sz w:val="16"/>
          <w:szCs w:val="16"/>
        </w:rPr>
      </w:pPr>
    </w:p>
    <w:p w:rsidR="00063F26" w:rsidRDefault="00063F26">
      <w:pPr>
        <w:rPr>
          <w:rFonts w:ascii="Times" w:eastAsia="Times" w:hAnsi="Times" w:cs="Times"/>
          <w:i/>
        </w:rPr>
      </w:pPr>
    </w:p>
    <w:p w:rsidR="00063F26" w:rsidRDefault="00063F26">
      <w:pPr>
        <w:rPr>
          <w:rFonts w:ascii="Times" w:eastAsia="Times" w:hAnsi="Times" w:cs="Times"/>
          <w:i/>
        </w:rPr>
      </w:pPr>
    </w:p>
    <w:p w:rsidR="00063F26" w:rsidRDefault="00567FDD">
      <w:pPr>
        <w:rPr>
          <w:rFonts w:ascii="Times" w:eastAsia="Times" w:hAnsi="Times" w:cs="Times"/>
          <w:i/>
        </w:rPr>
      </w:pPr>
      <w:r>
        <w:rPr>
          <w:rFonts w:ascii="Times" w:eastAsia="Times" w:hAnsi="Times" w:cs="Times"/>
          <w:i/>
        </w:rPr>
        <w:t>Basic format for patents (when available online):</w:t>
      </w:r>
    </w:p>
    <w:p w:rsidR="00063F26" w:rsidRDefault="00567FDD">
      <w:pPr>
        <w:rPr>
          <w:sz w:val="16"/>
          <w:szCs w:val="16"/>
        </w:rPr>
      </w:pPr>
      <w:r>
        <w:rPr>
          <w:sz w:val="16"/>
          <w:szCs w:val="16"/>
        </w:rPr>
        <w:t>Name of the invention, by inventor’s name. (</w:t>
      </w:r>
      <w:proofErr w:type="gramStart"/>
      <w:r>
        <w:rPr>
          <w:sz w:val="16"/>
          <w:szCs w:val="16"/>
        </w:rPr>
        <w:t>year</w:t>
      </w:r>
      <w:proofErr w:type="gramEnd"/>
      <w:r>
        <w:rPr>
          <w:sz w:val="16"/>
          <w:szCs w:val="16"/>
        </w:rPr>
        <w:t>, month day). Patent Number</w:t>
      </w:r>
      <w:r>
        <w:rPr>
          <w:i/>
          <w:sz w:val="16"/>
          <w:szCs w:val="16"/>
        </w:rPr>
        <w:t xml:space="preserve"> </w:t>
      </w:r>
      <w:r>
        <w:rPr>
          <w:sz w:val="16"/>
          <w:szCs w:val="16"/>
        </w:rPr>
        <w:t>[Type of medium]. Available: site/path/file</w:t>
      </w:r>
    </w:p>
    <w:p w:rsidR="00063F26" w:rsidRDefault="00567FDD">
      <w:pPr>
        <w:rPr>
          <w:rFonts w:ascii="Times" w:eastAsia="Times" w:hAnsi="Times" w:cs="Times"/>
          <w:i/>
        </w:rPr>
      </w:pPr>
      <w:r>
        <w:rPr>
          <w:rFonts w:ascii="Times" w:eastAsia="Times" w:hAnsi="Times" w:cs="Times"/>
          <w:i/>
        </w:rPr>
        <w:t>Example:</w:t>
      </w:r>
    </w:p>
    <w:p w:rsidR="00063F26" w:rsidRDefault="00567FDD">
      <w:pPr>
        <w:numPr>
          <w:ilvl w:val="0"/>
          <w:numId w:val="1"/>
        </w:numPr>
        <w:rPr>
          <w:rFonts w:ascii="Times" w:eastAsia="Times" w:hAnsi="Times" w:cs="Times"/>
          <w:sz w:val="16"/>
          <w:szCs w:val="16"/>
        </w:rPr>
      </w:pPr>
      <w:r>
        <w:rPr>
          <w:sz w:val="16"/>
          <w:szCs w:val="16"/>
        </w:rPr>
        <w:t xml:space="preserve">Musical toothbrush with mirror, by L.M.R. Brooks. (1992, May 19). </w:t>
      </w:r>
      <w:r>
        <w:rPr>
          <w:rFonts w:ascii="Times" w:eastAsia="Times" w:hAnsi="Times" w:cs="Times"/>
          <w:sz w:val="16"/>
          <w:szCs w:val="16"/>
        </w:rPr>
        <w:t xml:space="preserve">Patent D 326 189 </w:t>
      </w:r>
    </w:p>
    <w:p w:rsidR="00063F26" w:rsidRDefault="00567FDD">
      <w:pPr>
        <w:ind w:left="360" w:hanging="360"/>
        <w:rPr>
          <w:rFonts w:ascii="Times" w:eastAsia="Times" w:hAnsi="Times" w:cs="Times"/>
          <w:i/>
          <w:sz w:val="16"/>
          <w:szCs w:val="16"/>
        </w:rPr>
      </w:pPr>
      <w:r>
        <w:rPr>
          <w:sz w:val="16"/>
          <w:szCs w:val="16"/>
        </w:rPr>
        <w:t xml:space="preserve">                    [Online]. Available: NEXIS Library: LEXPAT File:   DES </w:t>
      </w:r>
    </w:p>
    <w:p w:rsidR="00063F26" w:rsidRDefault="00063F26">
      <w:pPr>
        <w:widowControl w:val="0"/>
        <w:ind w:right="-20"/>
        <w:rPr>
          <w:rFonts w:ascii="Times" w:eastAsia="Times" w:hAnsi="Times" w:cs="Times"/>
          <w:i/>
        </w:rPr>
      </w:pPr>
    </w:p>
    <w:p w:rsidR="00063F26" w:rsidRDefault="00567FDD">
      <w:pPr>
        <w:widowControl w:val="0"/>
        <w:ind w:right="-20"/>
      </w:pPr>
      <w:r>
        <w:rPr>
          <w:rFonts w:ascii="Times" w:eastAsia="Times" w:hAnsi="Times" w:cs="Times"/>
          <w:i/>
        </w:rPr>
        <w:t>Basic format</w:t>
      </w:r>
      <w:r>
        <w:rPr>
          <w:i/>
        </w:rPr>
        <w:t xml:space="preserve"> for conference proceedings (published):</w:t>
      </w:r>
    </w:p>
    <w:p w:rsidR="00063F26" w:rsidRDefault="00567FDD">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Pr>
          <w:i/>
          <w:sz w:val="16"/>
          <w:szCs w:val="16"/>
        </w:rPr>
        <w:t>xxxxxx</w:t>
      </w:r>
      <w:proofErr w:type="spellEnd"/>
      <w:r>
        <w:rPr>
          <w:i/>
          <w:sz w:val="16"/>
          <w:szCs w:val="16"/>
        </w:rPr>
        <w:t>.</w:t>
      </w:r>
    </w:p>
    <w:p w:rsidR="00063F26" w:rsidRDefault="00567FDD">
      <w:pPr>
        <w:rPr>
          <w:rFonts w:ascii="Times" w:eastAsia="Times" w:hAnsi="Times" w:cs="Times"/>
          <w:i/>
        </w:rPr>
      </w:pPr>
      <w:r>
        <w:rPr>
          <w:rFonts w:ascii="Times" w:eastAsia="Times" w:hAnsi="Times" w:cs="Times"/>
          <w:i/>
        </w:rPr>
        <w:t>Example:</w:t>
      </w:r>
    </w:p>
    <w:p w:rsidR="00063F26" w:rsidRDefault="00567FDD">
      <w:pPr>
        <w:numPr>
          <w:ilvl w:val="0"/>
          <w:numId w:val="1"/>
        </w:numPr>
        <w:jc w:val="both"/>
      </w:pPr>
      <w:r>
        <w:rPr>
          <w:sz w:val="16"/>
          <w:szCs w:val="16"/>
        </w:rPr>
        <w:t xml:space="preserve">D. B. Payne and J. R. Stern, “Wavelength-switched pas- </w:t>
      </w:r>
      <w:proofErr w:type="spellStart"/>
      <w:r>
        <w:rPr>
          <w:sz w:val="16"/>
          <w:szCs w:val="16"/>
        </w:rPr>
        <w:t>sively</w:t>
      </w:r>
      <w:proofErr w:type="spellEnd"/>
      <w:r>
        <w:rPr>
          <w:sz w:val="16"/>
          <w:szCs w:val="16"/>
        </w:rPr>
        <w:t xml:space="preserve">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rsidR="00063F26" w:rsidRDefault="00567FDD">
      <w:pPr>
        <w:widowControl w:val="0"/>
        <w:ind w:right="-20"/>
      </w:pPr>
      <w:r>
        <w:rPr>
          <w:i/>
        </w:rPr>
        <w:t>Example for papers presented at conferences (unpublished):</w:t>
      </w:r>
    </w:p>
    <w:p w:rsidR="00063F26" w:rsidRDefault="00567FDD">
      <w:pPr>
        <w:numPr>
          <w:ilvl w:val="0"/>
          <w:numId w:val="1"/>
        </w:numPr>
        <w:jc w:val="both"/>
      </w:pPr>
      <w:r>
        <w:rPr>
          <w:sz w:val="16"/>
          <w:szCs w:val="16"/>
        </w:rPr>
        <w:t xml:space="preserve">D. </w:t>
      </w:r>
      <w:proofErr w:type="spellStart"/>
      <w:r>
        <w:rPr>
          <w:sz w:val="16"/>
          <w:szCs w:val="16"/>
        </w:rPr>
        <w:t>Ebehard</w:t>
      </w:r>
      <w:proofErr w:type="spellEnd"/>
      <w:r>
        <w:rPr>
          <w:sz w:val="16"/>
          <w:szCs w:val="16"/>
        </w:rPr>
        <w:t xml:space="preserve"> and E. </w:t>
      </w:r>
      <w:proofErr w:type="spellStart"/>
      <w:r>
        <w:rPr>
          <w:sz w:val="16"/>
          <w:szCs w:val="16"/>
        </w:rPr>
        <w:t>Voges</w:t>
      </w:r>
      <w:proofErr w:type="spellEnd"/>
      <w:r>
        <w:rPr>
          <w:sz w:val="16"/>
          <w:szCs w:val="16"/>
        </w:rPr>
        <w:t xml:space="preserve">, “Digital single sideband detection for interferometric sensors,” presented at the </w:t>
      </w:r>
      <w:r>
        <w:rPr>
          <w:i/>
          <w:sz w:val="16"/>
          <w:szCs w:val="16"/>
        </w:rPr>
        <w:t>2nd Int. Conf. Optical Fiber Sensors,</w:t>
      </w:r>
      <w:r>
        <w:rPr>
          <w:sz w:val="16"/>
          <w:szCs w:val="16"/>
        </w:rPr>
        <w:t xml:space="preserve"> Stuttgart, Germany, </w:t>
      </w:r>
      <w:proofErr w:type="gramStart"/>
      <w:r>
        <w:rPr>
          <w:sz w:val="16"/>
          <w:szCs w:val="16"/>
        </w:rPr>
        <w:t>Jan</w:t>
      </w:r>
      <w:proofErr w:type="gramEnd"/>
      <w:r>
        <w:rPr>
          <w:sz w:val="16"/>
          <w:szCs w:val="16"/>
        </w:rPr>
        <w:t>. 2-5, 1984.</w:t>
      </w:r>
    </w:p>
    <w:p w:rsidR="00063F26" w:rsidRDefault="00063F26">
      <w:pPr>
        <w:widowControl w:val="0"/>
        <w:spacing w:before="6"/>
        <w:rPr>
          <w:sz w:val="14"/>
          <w:szCs w:val="14"/>
        </w:rPr>
      </w:pPr>
    </w:p>
    <w:p w:rsidR="00063F26" w:rsidRDefault="00567FDD">
      <w:pPr>
        <w:rPr>
          <w:rFonts w:ascii="Times" w:eastAsia="Times" w:hAnsi="Times" w:cs="Times"/>
          <w:i/>
        </w:rPr>
      </w:pPr>
      <w:r>
        <w:rPr>
          <w:rFonts w:ascii="Times" w:eastAsia="Times" w:hAnsi="Times" w:cs="Times"/>
          <w:i/>
        </w:rPr>
        <w:t>Basic format</w:t>
      </w:r>
      <w:r>
        <w:rPr>
          <w:i/>
        </w:rPr>
        <w:t xml:space="preserve"> for patents</w:t>
      </w:r>
      <w:r>
        <w:rPr>
          <w:rFonts w:ascii="Times" w:eastAsia="Times" w:hAnsi="Times" w:cs="Times"/>
          <w:i/>
        </w:rPr>
        <w:t>:</w:t>
      </w:r>
    </w:p>
    <w:p w:rsidR="00063F26" w:rsidRDefault="00567FDD">
      <w:pPr>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rsidR="00063F26" w:rsidRDefault="00567FDD">
      <w:pPr>
        <w:widowControl w:val="0"/>
        <w:ind w:right="-20"/>
        <w:rPr>
          <w:i/>
        </w:rPr>
      </w:pPr>
      <w:r>
        <w:rPr>
          <w:i/>
        </w:rPr>
        <w:t>Example:</w:t>
      </w:r>
    </w:p>
    <w:p w:rsidR="00063F26" w:rsidRDefault="00567FDD">
      <w:pPr>
        <w:numPr>
          <w:ilvl w:val="0"/>
          <w:numId w:val="1"/>
        </w:numPr>
        <w:jc w:val="both"/>
      </w:pPr>
      <w:r>
        <w:rPr>
          <w:sz w:val="16"/>
          <w:szCs w:val="16"/>
        </w:rPr>
        <w:t xml:space="preserve">G. </w:t>
      </w:r>
      <w:proofErr w:type="spellStart"/>
      <w:r>
        <w:rPr>
          <w:sz w:val="16"/>
          <w:szCs w:val="16"/>
        </w:rPr>
        <w:t>Brandli</w:t>
      </w:r>
      <w:proofErr w:type="spellEnd"/>
      <w:r>
        <w:rPr>
          <w:sz w:val="16"/>
          <w:szCs w:val="16"/>
        </w:rPr>
        <w:t xml:space="preserve"> and M. Dick, “Alternating current fed power supply,</w:t>
      </w:r>
      <w:proofErr w:type="gramStart"/>
      <w:r>
        <w:rPr>
          <w:sz w:val="16"/>
          <w:szCs w:val="16"/>
        </w:rPr>
        <w:t>”  U.S</w:t>
      </w:r>
      <w:proofErr w:type="gramEnd"/>
      <w:r>
        <w:rPr>
          <w:sz w:val="16"/>
          <w:szCs w:val="16"/>
        </w:rPr>
        <w:t>. Patent 4 084 217, Nov. 4, 1978.</w:t>
      </w:r>
    </w:p>
    <w:p w:rsidR="00063F26" w:rsidRDefault="00567FDD">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rsidR="00063F26" w:rsidRDefault="00567FDD">
      <w:pPr>
        <w:rPr>
          <w:sz w:val="16"/>
          <w:szCs w:val="16"/>
        </w:rPr>
      </w:pPr>
      <w:r>
        <w:rPr>
          <w:sz w:val="16"/>
          <w:szCs w:val="16"/>
        </w:rPr>
        <w:t>a) J. K. Author, “Title of thesis,” M.S. thesis, Abbrev. Dept., Abbrev. Univ., City of Univ., Abbrev. State, year.</w:t>
      </w:r>
    </w:p>
    <w:p w:rsidR="00063F26" w:rsidRDefault="00567FDD">
      <w:pPr>
        <w:rPr>
          <w:sz w:val="16"/>
          <w:szCs w:val="16"/>
        </w:rPr>
      </w:pPr>
      <w:r>
        <w:rPr>
          <w:sz w:val="16"/>
          <w:szCs w:val="16"/>
        </w:rPr>
        <w:t>b) J. K. Author, “Title of dissertation,” Ph.D. dissertation, Abbrev. Dept., Abbrev. Univ., City of Univ., Abbrev. State, year.</w:t>
      </w:r>
    </w:p>
    <w:p w:rsidR="00063F26" w:rsidRDefault="00567FDD">
      <w:pPr>
        <w:rPr>
          <w:rFonts w:ascii="Times" w:eastAsia="Times" w:hAnsi="Times" w:cs="Times"/>
          <w:i/>
        </w:rPr>
      </w:pPr>
      <w:r>
        <w:rPr>
          <w:rFonts w:ascii="Times" w:eastAsia="Times" w:hAnsi="Times" w:cs="Times"/>
          <w:i/>
        </w:rPr>
        <w:t>Examples:</w:t>
      </w:r>
    </w:p>
    <w:p w:rsidR="00063F26" w:rsidRDefault="00567FDD">
      <w:pPr>
        <w:numPr>
          <w:ilvl w:val="0"/>
          <w:numId w:val="1"/>
        </w:numPr>
        <w:jc w:val="both"/>
      </w:pPr>
      <w:r>
        <w:rPr>
          <w:sz w:val="16"/>
          <w:szCs w:val="16"/>
        </w:rPr>
        <w:t>J. O. Williams, “Narrow-band analyzer,” Ph.D. dissertation, Dept. Elect. Eng., Harvard Univ., Cambridge, MA, USA, 1993.</w:t>
      </w:r>
    </w:p>
    <w:p w:rsidR="00063F26" w:rsidRDefault="00567FDD">
      <w:pPr>
        <w:numPr>
          <w:ilvl w:val="0"/>
          <w:numId w:val="1"/>
        </w:numPr>
        <w:jc w:val="both"/>
      </w:pPr>
      <w:r>
        <w:rPr>
          <w:sz w:val="16"/>
          <w:szCs w:val="16"/>
        </w:rPr>
        <w:t xml:space="preserve">N. Kawasaki, “Parametric study of thermal and chemical </w:t>
      </w:r>
      <w:proofErr w:type="spellStart"/>
      <w:r>
        <w:rPr>
          <w:sz w:val="16"/>
          <w:szCs w:val="16"/>
        </w:rPr>
        <w:t>nonequilibrium</w:t>
      </w:r>
      <w:proofErr w:type="spellEnd"/>
      <w:r>
        <w:rPr>
          <w:sz w:val="16"/>
          <w:szCs w:val="16"/>
        </w:rPr>
        <w:t xml:space="preserve"> nozzle flow,” M.S. thesis, Dept. Electron. Eng., Osaka Univ., Osaka, Japan, 1993.</w:t>
      </w:r>
    </w:p>
    <w:p w:rsidR="00063F26" w:rsidRDefault="00567FDD">
      <w:pPr>
        <w:rPr>
          <w:rFonts w:ascii="Times" w:eastAsia="Times" w:hAnsi="Times" w:cs="Times"/>
          <w:i/>
        </w:rPr>
      </w:pPr>
      <w:r>
        <w:rPr>
          <w:rFonts w:ascii="Times" w:eastAsia="Times" w:hAnsi="Times" w:cs="Times"/>
          <w:i/>
        </w:rPr>
        <w:br/>
        <w:t>Basic format for the most common types of unpublished references:</w:t>
      </w:r>
    </w:p>
    <w:p w:rsidR="00063F26" w:rsidRDefault="00567FDD">
      <w:pPr>
        <w:rPr>
          <w:sz w:val="16"/>
          <w:szCs w:val="16"/>
        </w:rPr>
      </w:pPr>
      <w:r>
        <w:rPr>
          <w:sz w:val="16"/>
          <w:szCs w:val="16"/>
        </w:rPr>
        <w:t>a) J. K. Author, private communication, Abbrev. Month, year.</w:t>
      </w:r>
    </w:p>
    <w:p w:rsidR="00063F26" w:rsidRDefault="00567FDD">
      <w:pPr>
        <w:rPr>
          <w:sz w:val="16"/>
          <w:szCs w:val="16"/>
        </w:rPr>
      </w:pPr>
      <w:r>
        <w:rPr>
          <w:sz w:val="16"/>
          <w:szCs w:val="16"/>
        </w:rPr>
        <w:t>b) J. K. Author, “Title of paper,” unpublished.</w:t>
      </w:r>
    </w:p>
    <w:p w:rsidR="00063F26" w:rsidRDefault="00567FDD">
      <w:pPr>
        <w:rPr>
          <w:sz w:val="16"/>
          <w:szCs w:val="16"/>
        </w:rPr>
      </w:pPr>
      <w:r>
        <w:rPr>
          <w:sz w:val="16"/>
          <w:szCs w:val="16"/>
        </w:rPr>
        <w:t>c) J. K. Author, “Title of paper,” to be published.</w:t>
      </w:r>
    </w:p>
    <w:p w:rsidR="00063F26" w:rsidRDefault="00567FDD">
      <w:pPr>
        <w:rPr>
          <w:rFonts w:ascii="Times" w:eastAsia="Times" w:hAnsi="Times" w:cs="Times"/>
          <w:i/>
        </w:rPr>
      </w:pPr>
      <w:r>
        <w:rPr>
          <w:rFonts w:ascii="Times" w:eastAsia="Times" w:hAnsi="Times" w:cs="Times"/>
          <w:i/>
        </w:rPr>
        <w:t>Examples:</w:t>
      </w:r>
    </w:p>
    <w:p w:rsidR="00063F26" w:rsidRDefault="00567FDD">
      <w:pPr>
        <w:numPr>
          <w:ilvl w:val="0"/>
          <w:numId w:val="1"/>
        </w:numPr>
        <w:jc w:val="both"/>
      </w:pPr>
      <w:r>
        <w:rPr>
          <w:sz w:val="16"/>
          <w:szCs w:val="16"/>
        </w:rPr>
        <w:t>A. Harrison, private communication, May 1995.</w:t>
      </w:r>
    </w:p>
    <w:p w:rsidR="00063F26" w:rsidRDefault="00567FDD">
      <w:pPr>
        <w:numPr>
          <w:ilvl w:val="0"/>
          <w:numId w:val="1"/>
        </w:numPr>
        <w:jc w:val="both"/>
      </w:pPr>
      <w:r>
        <w:rPr>
          <w:sz w:val="16"/>
          <w:szCs w:val="16"/>
        </w:rPr>
        <w:t>B. Smith, “An approach to graphs of linear forms,” unpublished.</w:t>
      </w:r>
    </w:p>
    <w:p w:rsidR="00063F26" w:rsidRDefault="00567FDD">
      <w:pPr>
        <w:numPr>
          <w:ilvl w:val="0"/>
          <w:numId w:val="1"/>
        </w:numPr>
        <w:jc w:val="both"/>
      </w:pPr>
      <w:r>
        <w:rPr>
          <w:sz w:val="16"/>
          <w:szCs w:val="16"/>
        </w:rPr>
        <w:t>A. Brahms, “Representation error for real numbers in binary computer arithmetic,” IEEE Computer Group Repository, Paper R-67-85.</w:t>
      </w:r>
    </w:p>
    <w:p w:rsidR="00063F26" w:rsidRDefault="00063F26">
      <w:pPr>
        <w:rPr>
          <w:rFonts w:ascii="Times" w:eastAsia="Times" w:hAnsi="Times" w:cs="Times"/>
          <w:i/>
        </w:rPr>
      </w:pPr>
    </w:p>
    <w:p w:rsidR="00063F26" w:rsidRDefault="00567FDD">
      <w:pPr>
        <w:rPr>
          <w:rFonts w:ascii="Times" w:eastAsia="Times" w:hAnsi="Times" w:cs="Times"/>
          <w:i/>
        </w:rPr>
      </w:pPr>
      <w:r>
        <w:rPr>
          <w:rFonts w:ascii="Times" w:eastAsia="Times" w:hAnsi="Times" w:cs="Times"/>
          <w:i/>
        </w:rPr>
        <w:t>Basic formats for standards:</w:t>
      </w:r>
    </w:p>
    <w:p w:rsidR="00063F26" w:rsidRDefault="00567FDD">
      <w:pPr>
        <w:rPr>
          <w:sz w:val="16"/>
          <w:szCs w:val="16"/>
        </w:rPr>
      </w:pPr>
      <w:proofErr w:type="gramStart"/>
      <w:r>
        <w:rPr>
          <w:sz w:val="16"/>
          <w:szCs w:val="16"/>
        </w:rPr>
        <w:t>a</w:t>
      </w:r>
      <w:proofErr w:type="gramEnd"/>
      <w:r>
        <w:rPr>
          <w:sz w:val="16"/>
          <w:szCs w:val="16"/>
        </w:rPr>
        <w:t>)</w:t>
      </w:r>
      <w:r>
        <w:rPr>
          <w:i/>
          <w:sz w:val="16"/>
          <w:szCs w:val="16"/>
        </w:rPr>
        <w:t xml:space="preserve"> Title of Standard</w:t>
      </w:r>
      <w:r>
        <w:rPr>
          <w:sz w:val="16"/>
          <w:szCs w:val="16"/>
        </w:rPr>
        <w:t>, Standard number, date.</w:t>
      </w:r>
    </w:p>
    <w:p w:rsidR="00063F26" w:rsidRDefault="00567FDD">
      <w:pPr>
        <w:rPr>
          <w:sz w:val="16"/>
          <w:szCs w:val="16"/>
        </w:rPr>
      </w:pPr>
      <w:proofErr w:type="gramStart"/>
      <w:r>
        <w:rPr>
          <w:sz w:val="16"/>
          <w:szCs w:val="16"/>
        </w:rPr>
        <w:t>b</w:t>
      </w:r>
      <w:proofErr w:type="gramEnd"/>
      <w:r>
        <w:rPr>
          <w:sz w:val="16"/>
          <w:szCs w:val="16"/>
        </w:rPr>
        <w:t xml:space="preserve">) </w:t>
      </w:r>
      <w:r>
        <w:rPr>
          <w:i/>
          <w:sz w:val="16"/>
          <w:szCs w:val="16"/>
        </w:rPr>
        <w:t>Title of Standard</w:t>
      </w:r>
      <w:r>
        <w:rPr>
          <w:sz w:val="16"/>
          <w:szCs w:val="16"/>
        </w:rPr>
        <w:t>, Standard number, Corporate author, location, date.</w:t>
      </w:r>
    </w:p>
    <w:p w:rsidR="00063F26" w:rsidRDefault="00567FDD">
      <w:pPr>
        <w:rPr>
          <w:rFonts w:ascii="Times" w:eastAsia="Times" w:hAnsi="Times" w:cs="Times"/>
          <w:i/>
        </w:rPr>
      </w:pPr>
      <w:r>
        <w:rPr>
          <w:rFonts w:ascii="Times" w:eastAsia="Times" w:hAnsi="Times" w:cs="Times"/>
          <w:i/>
        </w:rPr>
        <w:t>Examples:</w:t>
      </w:r>
    </w:p>
    <w:p w:rsidR="00063F26" w:rsidRDefault="00567FDD">
      <w:pPr>
        <w:numPr>
          <w:ilvl w:val="0"/>
          <w:numId w:val="1"/>
        </w:numPr>
        <w:jc w:val="both"/>
        <w:rPr>
          <w:sz w:val="16"/>
          <w:szCs w:val="16"/>
        </w:rPr>
      </w:pPr>
      <w:r>
        <w:rPr>
          <w:sz w:val="16"/>
          <w:szCs w:val="16"/>
        </w:rPr>
        <w:t>IEEE Criteria for Class IE Electric Systems, IEEE Standard 308, 1969.</w:t>
      </w:r>
    </w:p>
    <w:p w:rsidR="00063F26" w:rsidRDefault="00567FDD">
      <w:pPr>
        <w:numPr>
          <w:ilvl w:val="0"/>
          <w:numId w:val="1"/>
        </w:numPr>
        <w:jc w:val="both"/>
        <w:rPr>
          <w:sz w:val="16"/>
          <w:szCs w:val="16"/>
        </w:rPr>
      </w:pPr>
      <w:r>
        <w:rPr>
          <w:sz w:val="16"/>
          <w:szCs w:val="16"/>
        </w:rPr>
        <w:t>Letter Symbols for Quantities, ANSI Standard Y10.5-1968.</w:t>
      </w:r>
    </w:p>
    <w:p w:rsidR="00063F26" w:rsidRDefault="00063F26">
      <w:pPr>
        <w:ind w:left="540" w:hanging="360"/>
        <w:jc w:val="both"/>
        <w:rPr>
          <w:sz w:val="16"/>
          <w:szCs w:val="16"/>
        </w:rPr>
      </w:pPr>
    </w:p>
    <w:p w:rsidR="00063F26" w:rsidRDefault="00567FDD">
      <w:pPr>
        <w:rPr>
          <w:rFonts w:ascii="Arial" w:eastAsia="Arial" w:hAnsi="Arial" w:cs="Arial"/>
          <w:i/>
          <w:sz w:val="19"/>
          <w:szCs w:val="19"/>
        </w:rPr>
      </w:pPr>
      <w:r>
        <w:rPr>
          <w:i/>
        </w:rPr>
        <w:t>Article number in reference examples:</w:t>
      </w:r>
    </w:p>
    <w:p w:rsidR="00063F26" w:rsidRDefault="00567FDD">
      <w:pPr>
        <w:numPr>
          <w:ilvl w:val="0"/>
          <w:numId w:val="1"/>
        </w:numPr>
        <w:jc w:val="both"/>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xml:space="preserve">, vol. 91, no. 6, Aug. 2007, Art. </w:t>
      </w:r>
      <w:proofErr w:type="gramStart"/>
      <w:r>
        <w:rPr>
          <w:sz w:val="16"/>
          <w:szCs w:val="16"/>
        </w:rPr>
        <w:t>no</w:t>
      </w:r>
      <w:proofErr w:type="gramEnd"/>
      <w:r>
        <w:rPr>
          <w:sz w:val="16"/>
          <w:szCs w:val="16"/>
        </w:rPr>
        <w:t>. 061103. </w:t>
      </w:r>
    </w:p>
    <w:p w:rsidR="00063F26" w:rsidRDefault="00567FDD">
      <w:pPr>
        <w:numPr>
          <w:ilvl w:val="0"/>
          <w:numId w:val="1"/>
        </w:numPr>
        <w:jc w:val="both"/>
      </w:pPr>
      <w:r>
        <w:rPr>
          <w:sz w:val="16"/>
          <w:szCs w:val="16"/>
        </w:rPr>
        <w:t xml:space="preserve">J. Zhang and N. </w:t>
      </w:r>
      <w:proofErr w:type="spellStart"/>
      <w:r>
        <w:rPr>
          <w:sz w:val="16"/>
          <w:szCs w:val="16"/>
        </w:rPr>
        <w:t>Tansu</w:t>
      </w:r>
      <w:proofErr w:type="spellEnd"/>
      <w:r>
        <w:rPr>
          <w:sz w:val="16"/>
          <w:szCs w:val="16"/>
        </w:rPr>
        <w:t xml:space="preserve">, “Optical gain and laser characteristics of </w:t>
      </w:r>
      <w:proofErr w:type="spellStart"/>
      <w:r>
        <w:rPr>
          <w:sz w:val="16"/>
          <w:szCs w:val="16"/>
        </w:rPr>
        <w:t>InGaN</w:t>
      </w:r>
      <w:proofErr w:type="spellEnd"/>
      <w:r>
        <w:rPr>
          <w:sz w:val="16"/>
          <w:szCs w:val="16"/>
        </w:rPr>
        <w:t xml:space="preserve"> quantum wells on ternary </w:t>
      </w:r>
      <w:proofErr w:type="spellStart"/>
      <w:r>
        <w:rPr>
          <w:sz w:val="16"/>
          <w:szCs w:val="16"/>
        </w:rPr>
        <w:t>InGaN</w:t>
      </w:r>
      <w:proofErr w:type="spellEnd"/>
      <w:r>
        <w:rPr>
          <w:sz w:val="16"/>
          <w:szCs w:val="16"/>
        </w:rPr>
        <w:t xml:space="preserve"> substrates,” </w:t>
      </w:r>
      <w:r>
        <w:rPr>
          <w:i/>
          <w:sz w:val="16"/>
          <w:szCs w:val="16"/>
        </w:rPr>
        <w:t>IEEE Photon. J.</w:t>
      </w:r>
      <w:r>
        <w:rPr>
          <w:sz w:val="16"/>
          <w:szCs w:val="16"/>
        </w:rPr>
        <w:t>, vol. 5, no. 2, Apr. 2013, Art. no. 2600111</w:t>
      </w:r>
    </w:p>
    <w:p w:rsidR="00063F26" w:rsidRDefault="00063F26">
      <w:pPr>
        <w:ind w:left="540" w:hanging="360"/>
        <w:jc w:val="both"/>
        <w:rPr>
          <w:sz w:val="16"/>
          <w:szCs w:val="16"/>
        </w:rPr>
      </w:pPr>
    </w:p>
    <w:p w:rsidR="00063F26" w:rsidRDefault="00567FDD">
      <w:pPr>
        <w:ind w:left="180" w:hanging="360"/>
        <w:jc w:val="both"/>
        <w:rPr>
          <w:rFonts w:ascii="Arial" w:eastAsia="Arial" w:hAnsi="Arial" w:cs="Arial"/>
          <w:i/>
        </w:rPr>
      </w:pPr>
      <w:r>
        <w:rPr>
          <w:i/>
        </w:rPr>
        <w:t>Example when using et al.:</w:t>
      </w:r>
    </w:p>
    <w:p w:rsidR="00063F26" w:rsidRDefault="00567FDD">
      <w:pPr>
        <w:numPr>
          <w:ilvl w:val="0"/>
          <w:numId w:val="1"/>
        </w:numPr>
        <w:jc w:val="both"/>
      </w:pPr>
      <w:r>
        <w:rPr>
          <w:sz w:val="16"/>
          <w:szCs w:val="16"/>
        </w:rPr>
        <w:t xml:space="preserve"> S. </w:t>
      </w:r>
      <w:proofErr w:type="spellStart"/>
      <w:r>
        <w:rPr>
          <w:sz w:val="16"/>
          <w:szCs w:val="16"/>
        </w:rPr>
        <w:t>Azodolmolky</w:t>
      </w:r>
      <w:proofErr w:type="spellEnd"/>
      <w:r>
        <w:rPr>
          <w:sz w:val="16"/>
          <w:szCs w:val="16"/>
        </w:rPr>
        <w:t> </w:t>
      </w:r>
      <w:r>
        <w:rPr>
          <w:i/>
          <w:sz w:val="16"/>
          <w:szCs w:val="16"/>
        </w:rPr>
        <w:t>et al.</w:t>
      </w:r>
      <w:r>
        <w:rPr>
          <w:sz w:val="16"/>
          <w:szCs w:val="16"/>
        </w:rPr>
        <w:t>, Experimental demonstration of an impairment aware network planning and operation tool for transparent/translucent optical networks,” </w:t>
      </w:r>
      <w:r>
        <w:rPr>
          <w:i/>
          <w:sz w:val="16"/>
          <w:szCs w:val="16"/>
        </w:rPr>
        <w:t xml:space="preserve">J. </w:t>
      </w:r>
      <w:proofErr w:type="spellStart"/>
      <w:r>
        <w:rPr>
          <w:i/>
          <w:sz w:val="16"/>
          <w:szCs w:val="16"/>
        </w:rPr>
        <w:t>Lightw</w:t>
      </w:r>
      <w:proofErr w:type="spellEnd"/>
      <w:r>
        <w:rPr>
          <w:i/>
          <w:sz w:val="16"/>
          <w:szCs w:val="16"/>
        </w:rPr>
        <w:t>. Technol.</w:t>
      </w:r>
      <w:r>
        <w:rPr>
          <w:sz w:val="16"/>
          <w:szCs w:val="16"/>
        </w:rPr>
        <w:t>, vol. 29, no. 4, pp. 439–448, Sep. 2011. </w:t>
      </w:r>
    </w:p>
    <w:p w:rsidR="00063F26" w:rsidRDefault="00063F26">
      <w:pPr>
        <w:ind w:left="540" w:hanging="360"/>
        <w:jc w:val="both"/>
        <w:rPr>
          <w:sz w:val="16"/>
          <w:szCs w:val="16"/>
        </w:rPr>
      </w:pPr>
    </w:p>
    <w:p w:rsidR="00063F26" w:rsidRDefault="00063F26">
      <w:pPr>
        <w:ind w:left="540" w:hanging="360"/>
        <w:jc w:val="both"/>
        <w:rPr>
          <w:sz w:val="16"/>
          <w:szCs w:val="16"/>
        </w:rPr>
      </w:pPr>
    </w:p>
    <w:p w:rsidR="00063F26" w:rsidRDefault="00063F26">
      <w:pPr>
        <w:jc w:val="both"/>
        <w:rPr>
          <w:b/>
          <w:sz w:val="16"/>
          <w:szCs w:val="16"/>
        </w:rPr>
      </w:pPr>
    </w:p>
    <w:p w:rsidR="00063F26" w:rsidRDefault="00063F26">
      <w:pPr>
        <w:jc w:val="both"/>
        <w:rPr>
          <w:b/>
          <w:sz w:val="16"/>
          <w:szCs w:val="16"/>
        </w:rPr>
      </w:pPr>
    </w:p>
    <w:p w:rsidR="00063F26" w:rsidRDefault="00567FDD">
      <w:pPr>
        <w:jc w:val="both"/>
      </w:pPr>
      <w:r>
        <w:rPr>
          <w:b/>
        </w:rPr>
        <w:t>First A. Author</w:t>
      </w:r>
      <w:r>
        <w:t xml:space="preserve"> (M’76–SM’81–F’87)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r>
        <w:rPr>
          <w:noProof/>
          <w:lang w:val="en-IN"/>
        </w:rPr>
        <w:drawing>
          <wp:anchor distT="0" distB="0" distL="114300" distR="114300" simplePos="0" relativeHeight="251660288" behindDoc="0" locked="0" layoutInCell="1" hidden="0" allowOverlap="1">
            <wp:simplePos x="0" y="0"/>
            <wp:positionH relativeFrom="margin">
              <wp:posOffset>3810</wp:posOffset>
            </wp:positionH>
            <wp:positionV relativeFrom="paragraph">
              <wp:posOffset>50165</wp:posOffset>
            </wp:positionV>
            <wp:extent cx="914400" cy="117475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914400" cy="1174750"/>
                    </a:xfrm>
                    <a:prstGeom prst="rect">
                      <a:avLst/>
                    </a:prstGeom>
                    <a:ln/>
                  </pic:spPr>
                </pic:pic>
              </a:graphicData>
            </a:graphic>
          </wp:anchor>
        </w:drawing>
      </w:r>
    </w:p>
    <w:p w:rsidR="00063F26" w:rsidRDefault="00567FDD">
      <w:pPr>
        <w:ind w:firstLine="202"/>
        <w:jc w:val="both"/>
      </w:pP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063F26" w:rsidRDefault="00567FDD">
      <w:pPr>
        <w:jc w:val="both"/>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rsidR="00063F26" w:rsidRDefault="00063F26">
      <w:pPr>
        <w:jc w:val="both"/>
      </w:pPr>
    </w:p>
    <w:p w:rsidR="00063F26" w:rsidRDefault="00063F26">
      <w:pPr>
        <w:jc w:val="both"/>
      </w:pPr>
    </w:p>
    <w:p w:rsidR="00063F26" w:rsidRDefault="00063F26">
      <w:pPr>
        <w:jc w:val="both"/>
      </w:pPr>
    </w:p>
    <w:p w:rsidR="00063F26" w:rsidRDefault="00063F26">
      <w:pPr>
        <w:jc w:val="both"/>
      </w:pPr>
    </w:p>
    <w:p w:rsidR="00063F26" w:rsidRDefault="00567FDD">
      <w:pPr>
        <w:jc w:val="both"/>
      </w:pPr>
      <w:r>
        <w:rPr>
          <w:b/>
          <w:sz w:val="16"/>
          <w:szCs w:val="16"/>
        </w:rPr>
        <w:br/>
      </w:r>
    </w:p>
    <w:p w:rsidR="00063F26" w:rsidRDefault="00567FDD">
      <w:pPr>
        <w:jc w:val="both"/>
      </w:pPr>
      <w:r>
        <w:rPr>
          <w:b/>
        </w:rPr>
        <w:lastRenderedPageBreak/>
        <w:t>Second B. Author</w:t>
      </w:r>
      <w:r>
        <w:t xml:space="preserve"> </w:t>
      </w:r>
      <w:r>
        <w:rPr>
          <w:rFonts w:ascii="Times" w:eastAsia="Times" w:hAnsi="Times" w:cs="Times"/>
        </w:rPr>
        <w:t xml:space="preserve">was born in Greenwich Village, New York, NY, </w:t>
      </w:r>
      <w:proofErr w:type="gramStart"/>
      <w:r>
        <w:rPr>
          <w:rFonts w:ascii="Times" w:eastAsia="Times" w:hAnsi="Times" w:cs="Times"/>
        </w:rPr>
        <w:t>USA</w:t>
      </w:r>
      <w:proofErr w:type="gramEnd"/>
      <w:r>
        <w:rPr>
          <w:rFonts w:ascii="Times" w:eastAsia="Times" w:hAnsi="Times" w:cs="Times"/>
        </w:rPr>
        <w:t xml:space="preserve"> in 1977. He received the B.S. and M.S. degrees in aerospace engineering from the University of Virginia, Charlottesville, in 2001 and the Ph.D. degree in mechanical engineering from Drexel University, Philadelphia, PA, in 2008.</w:t>
      </w:r>
      <w:r>
        <w:rPr>
          <w:noProof/>
          <w:lang w:val="en-IN"/>
        </w:rPr>
        <w:drawing>
          <wp:anchor distT="0" distB="0" distL="114300" distR="114300" simplePos="0" relativeHeight="251661312" behindDoc="0" locked="0" layoutInCell="1" hidden="0" allowOverlap="1">
            <wp:simplePos x="0" y="0"/>
            <wp:positionH relativeFrom="margin">
              <wp:posOffset>-1269</wp:posOffset>
            </wp:positionH>
            <wp:positionV relativeFrom="paragraph">
              <wp:posOffset>1270</wp:posOffset>
            </wp:positionV>
            <wp:extent cx="914400" cy="1143000"/>
            <wp:effectExtent l="0" t="0" r="0" b="0"/>
            <wp:wrapSquare wrapText="bothSides" distT="0" distB="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914400" cy="1143000"/>
                    </a:xfrm>
                    <a:prstGeom prst="rect">
                      <a:avLst/>
                    </a:prstGeom>
                    <a:ln/>
                  </pic:spPr>
                </pic:pic>
              </a:graphicData>
            </a:graphic>
          </wp:anchor>
        </w:drawing>
      </w:r>
    </w:p>
    <w:p w:rsidR="00063F26" w:rsidRDefault="00567FDD">
      <w:pPr>
        <w:jc w:val="both"/>
        <w:rPr>
          <w:rFonts w:ascii="Times" w:eastAsia="Times" w:hAnsi="Times" w:cs="Times"/>
        </w:rPr>
      </w:pPr>
      <w:r>
        <w:rPr>
          <w:rFonts w:ascii="Times" w:eastAsia="Times" w:hAnsi="Times" w:cs="Times"/>
        </w:rPr>
        <w:t xml:space="preserve">    From 2001 to 2004, he was a Research Assistant with the Princeton Plasma Physics Laboratory. Since 2009, he has been an Assistant Professor with the Mechanical Engineering Department, Texas A&amp;M University, </w:t>
      </w:r>
      <w:proofErr w:type="gramStart"/>
      <w:r>
        <w:rPr>
          <w:rFonts w:ascii="Times" w:eastAsia="Times" w:hAnsi="Times" w:cs="Times"/>
        </w:rPr>
        <w:t>College</w:t>
      </w:r>
      <w:proofErr w:type="gramEnd"/>
      <w:r>
        <w:rPr>
          <w:rFonts w:ascii="Times" w:eastAsia="Times" w:hAnsi="Times" w:cs="Times"/>
        </w:rPr>
        <w:t xml:space="preserve"> Station. He is the author of three books, more than 150 articles, and more than 70 inventions. His research interests include high-pressure and high-density </w:t>
      </w:r>
      <w:proofErr w:type="spellStart"/>
      <w:r>
        <w:rPr>
          <w:rFonts w:ascii="Times" w:eastAsia="Times" w:hAnsi="Times" w:cs="Times"/>
        </w:rPr>
        <w:t>nonthermal</w:t>
      </w:r>
      <w:proofErr w:type="spellEnd"/>
      <w:r>
        <w:rPr>
          <w:rFonts w:ascii="Times" w:eastAsia="Times" w:hAnsi="Times" w:cs="Times"/>
        </w:rPr>
        <w:t xml:space="preserve"> plasma discharge processes and applications, microscale plasma discharges, discharges in liquids, spectroscopic diagnostics, plasma propulsion, and innovation plasma applications. He is an Associate Editor of the journal </w:t>
      </w:r>
      <w:r>
        <w:rPr>
          <w:rFonts w:ascii="Times" w:eastAsia="Times" w:hAnsi="Times" w:cs="Times"/>
          <w:i/>
        </w:rPr>
        <w:t>Earth</w:t>
      </w:r>
      <w:r>
        <w:rPr>
          <w:rFonts w:ascii="Times" w:eastAsia="Times" w:hAnsi="Times" w:cs="Times"/>
        </w:rPr>
        <w:t xml:space="preserve">, </w:t>
      </w:r>
      <w:r>
        <w:rPr>
          <w:rFonts w:ascii="Times" w:eastAsia="Times" w:hAnsi="Times" w:cs="Times"/>
          <w:i/>
        </w:rPr>
        <w:t>Moon</w:t>
      </w:r>
      <w:r>
        <w:rPr>
          <w:rFonts w:ascii="Times" w:eastAsia="Times" w:hAnsi="Times" w:cs="Times"/>
        </w:rPr>
        <w:t xml:space="preserve">, </w:t>
      </w:r>
      <w:r>
        <w:rPr>
          <w:rFonts w:ascii="Times" w:eastAsia="Times" w:hAnsi="Times" w:cs="Times"/>
          <w:i/>
        </w:rPr>
        <w:t>Planets</w:t>
      </w:r>
      <w:r>
        <w:rPr>
          <w:rFonts w:ascii="Times" w:eastAsia="Times" w:hAnsi="Times" w:cs="Times"/>
        </w:rPr>
        <w:t xml:space="preserve">, and holds two patents. </w:t>
      </w:r>
    </w:p>
    <w:p w:rsidR="00063F26" w:rsidRDefault="00567FDD">
      <w:pPr>
        <w:jc w:val="both"/>
        <w:rPr>
          <w:rFonts w:ascii="Times" w:eastAsia="Times" w:hAnsi="Times" w:cs="Times"/>
        </w:rPr>
      </w:pPr>
      <w:r>
        <w:rPr>
          <w:rFonts w:ascii="Times" w:eastAsia="Times" w:hAnsi="Times" w:cs="Times"/>
        </w:rPr>
        <w:t xml:space="preserve">   Dr. Author was a recipient of the International Association of Geomagnetism and </w:t>
      </w:r>
      <w:proofErr w:type="spellStart"/>
      <w:r>
        <w:rPr>
          <w:rFonts w:ascii="Times" w:eastAsia="Times" w:hAnsi="Times" w:cs="Times"/>
        </w:rPr>
        <w:t>Aeronomy</w:t>
      </w:r>
      <w:proofErr w:type="spellEnd"/>
      <w:r>
        <w:rPr>
          <w:rFonts w:ascii="Times" w:eastAsia="Times" w:hAnsi="Times" w:cs="Times"/>
        </w:rPr>
        <w:t xml:space="preserve"> Young Scientist Award for Excellence in 2008, and the IEEE Electromagnetic Compatibility Society Best Symposium Paper Award in 2011. </w:t>
      </w: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567FDD">
      <w:pPr>
        <w:jc w:val="both"/>
        <w:rPr>
          <w:rFonts w:ascii="Times" w:eastAsia="Times" w:hAnsi="Times" w:cs="Times"/>
        </w:rPr>
      </w:pPr>
      <w:r>
        <w:rPr>
          <w:rFonts w:ascii="Times" w:eastAsia="Times" w:hAnsi="Times" w:cs="Times"/>
        </w:rPr>
        <w:t xml:space="preserve"> </w:t>
      </w: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567FDD">
      <w:pPr>
        <w:jc w:val="both"/>
        <w:rPr>
          <w:rFonts w:ascii="Times" w:eastAsia="Times" w:hAnsi="Times" w:cs="Times"/>
        </w:rPr>
        <w:sectPr w:rsidR="00063F26">
          <w:headerReference w:type="default" r:id="rId17"/>
          <w:footerReference w:type="default" r:id="rId18"/>
          <w:pgSz w:w="12240" w:h="15840"/>
          <w:pgMar w:top="1008" w:right="936" w:bottom="1008" w:left="936" w:header="432" w:footer="432" w:gutter="0"/>
          <w:pgNumType w:start="1"/>
          <w:cols w:num="2" w:space="720" w:equalWidth="0">
            <w:col w:w="5040" w:space="288"/>
            <w:col w:w="5040" w:space="0"/>
          </w:cols>
        </w:sectPr>
      </w:pPr>
      <w:r>
        <w:rPr>
          <w:rFonts w:ascii="Times" w:eastAsia="Times" w:hAnsi="Times" w:cs="Times"/>
        </w:rPr>
        <w:t xml:space="preserve"> </w:t>
      </w:r>
    </w:p>
    <w:p w:rsidR="00063F26" w:rsidRDefault="00567FDD">
      <w:pPr>
        <w:jc w:val="both"/>
        <w:rPr>
          <w:rFonts w:ascii="Times" w:eastAsia="Times" w:hAnsi="Times" w:cs="Times"/>
        </w:rPr>
      </w:pPr>
      <w:r>
        <w:rPr>
          <w:b/>
        </w:rPr>
        <w:t xml:space="preserve">Third C. Author, Jr. </w:t>
      </w:r>
      <w:r>
        <w:t xml:space="preserve">(M’87) </w:t>
      </w:r>
      <w:r>
        <w:rPr>
          <w:rFonts w:ascii="Times" w:eastAsia="Times" w:hAnsi="Times" w:cs="Times"/>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t>, TX, USA</w:t>
      </w:r>
      <w:r>
        <w:rPr>
          <w:rFonts w:ascii="Times" w:eastAsia="Times" w:hAnsi="Times" w:cs="Times"/>
        </w:rPr>
        <w:t>.</w:t>
      </w:r>
      <w:r>
        <w:rPr>
          <w:noProof/>
          <w:lang w:val="en-IN"/>
        </w:rPr>
        <w:drawing>
          <wp:anchor distT="0" distB="118745" distL="114300" distR="114300" simplePos="0" relativeHeight="251662336" behindDoc="0" locked="0" layoutInCell="1" hidden="0" allowOverlap="1">
            <wp:simplePos x="0" y="0"/>
            <wp:positionH relativeFrom="margin">
              <wp:posOffset>8890</wp:posOffset>
            </wp:positionH>
            <wp:positionV relativeFrom="paragraph">
              <wp:posOffset>45720</wp:posOffset>
            </wp:positionV>
            <wp:extent cx="914400" cy="1143000"/>
            <wp:effectExtent l="0" t="0" r="0" b="0"/>
            <wp:wrapSquare wrapText="bothSides" distT="0" distB="118745"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914400" cy="1143000"/>
                    </a:xfrm>
                    <a:prstGeom prst="rect">
                      <a:avLst/>
                    </a:prstGeom>
                    <a:ln/>
                  </pic:spPr>
                </pic:pic>
              </a:graphicData>
            </a:graphic>
          </wp:anchor>
        </w:drawing>
      </w:r>
    </w:p>
    <w:p w:rsidR="00063F26" w:rsidRDefault="00567FDD">
      <w:pPr>
        <w:jc w:val="both"/>
        <w:rPr>
          <w:rFonts w:ascii="Times" w:eastAsia="Times" w:hAnsi="Times" w:cs="Times"/>
        </w:rPr>
      </w:pPr>
      <w:r>
        <w:rPr>
          <w:rFonts w:ascii="Times" w:eastAsia="Times" w:hAnsi="Times" w:cs="Times"/>
        </w:rPr>
        <w:t xml:space="preserve">    From 2008 to 2009, he was a Research Assistant with the Institute of Physics, Academia </w:t>
      </w:r>
      <w:proofErr w:type="spellStart"/>
      <w:r>
        <w:rPr>
          <w:rFonts w:ascii="Times" w:eastAsia="Times" w:hAnsi="Times" w:cs="Times"/>
        </w:rPr>
        <w:t>Sinica</w:t>
      </w:r>
      <w:proofErr w:type="spellEnd"/>
      <w:r>
        <w:rPr>
          <w:rFonts w:ascii="Times" w:eastAsia="Times" w:hAnsi="Times" w:cs="Times"/>
        </w:rPr>
        <w:t xml:space="preserve">, </w:t>
      </w:r>
      <w:proofErr w:type="spellStart"/>
      <w:proofErr w:type="gramStart"/>
      <w:r>
        <w:rPr>
          <w:rFonts w:ascii="Times" w:eastAsia="Times" w:hAnsi="Times" w:cs="Times"/>
        </w:rPr>
        <w:t>Tapei</w:t>
      </w:r>
      <w:proofErr w:type="spellEnd"/>
      <w:proofErr w:type="gramEnd"/>
      <w:r>
        <w:rPr>
          <w:rFonts w:ascii="Times" w:eastAsia="Times" w:hAnsi="Times" w:cs="Times"/>
        </w:rPr>
        <w:t xml:space="preserve">, Taiwan. His research interest includes the development of surface processing and biological/medical treatment techniques using </w:t>
      </w:r>
      <w:proofErr w:type="spellStart"/>
      <w:r>
        <w:rPr>
          <w:rFonts w:ascii="Times" w:eastAsia="Times" w:hAnsi="Times" w:cs="Times"/>
        </w:rPr>
        <w:t>nonthermal</w:t>
      </w:r>
      <w:proofErr w:type="spellEnd"/>
      <w:r>
        <w:rPr>
          <w:rFonts w:ascii="Times" w:eastAsia="Times" w:hAnsi="Times" w:cs="Times"/>
        </w:rPr>
        <w:t xml:space="preserve"> atmospheric pressure plasmas, fundamental study of plasma sources, and fabrication of micro- or nanostructured surfaces. </w:t>
      </w:r>
    </w:p>
    <w:p w:rsidR="00063F26" w:rsidRDefault="00567FDD">
      <w:pPr>
        <w:jc w:val="both"/>
        <w:rPr>
          <w:rFonts w:ascii="Times" w:eastAsia="Times" w:hAnsi="Times" w:cs="Times"/>
        </w:rPr>
      </w:pPr>
      <w:r>
        <w:rPr>
          <w:rFonts w:ascii="Times" w:eastAsia="Times" w:hAnsi="Times" w:cs="Times"/>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063F26" w:rsidRDefault="00063F26">
      <w:pPr>
        <w:jc w:val="both"/>
        <w:rPr>
          <w:rFonts w:ascii="Times" w:eastAsia="Times" w:hAnsi="Times" w:cs="Times"/>
        </w:rPr>
      </w:pPr>
    </w:p>
    <w:p w:rsidR="00063F26" w:rsidRDefault="00063F26">
      <w:pPr>
        <w:jc w:val="both"/>
        <w:rPr>
          <w:rFonts w:ascii="Times" w:eastAsia="Times" w:hAnsi="Times" w:cs="Times"/>
        </w:rPr>
      </w:pPr>
    </w:p>
    <w:p w:rsidR="00063F26" w:rsidRDefault="00063F26">
      <w:pPr>
        <w:jc w:val="both"/>
      </w:pPr>
    </w:p>
    <w:sectPr w:rsidR="00063F26">
      <w:type w:val="continuous"/>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3A1" w:rsidRDefault="000573A1">
      <w:r>
        <w:separator/>
      </w:r>
    </w:p>
  </w:endnote>
  <w:endnote w:type="continuationSeparator" w:id="0">
    <w:p w:rsidR="000573A1" w:rsidRDefault="0005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Neue">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FDD" w:rsidRDefault="00567FDD">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3A1" w:rsidRDefault="000573A1">
      <w:r>
        <w:separator/>
      </w:r>
    </w:p>
  </w:footnote>
  <w:footnote w:type="continuationSeparator" w:id="0">
    <w:p w:rsidR="000573A1" w:rsidRDefault="000573A1">
      <w:r>
        <w:continuationSeparator/>
      </w:r>
    </w:p>
  </w:footnote>
  <w:footnote w:id="1">
    <w:p w:rsidR="00567FDD" w:rsidRDefault="00567FDD">
      <w:pPr>
        <w:ind w:firstLine="202"/>
        <w:jc w:val="both"/>
        <w:rPr>
          <w:sz w:val="16"/>
          <w:szCs w:val="16"/>
        </w:rPr>
      </w:pPr>
      <w:r>
        <w:rPr>
          <w:vertAlign w:val="superscript"/>
        </w:rPr>
        <w:footnoteRef/>
      </w:r>
      <w:r>
        <w:rPr>
          <w:sz w:val="16"/>
          <w:szCs w:val="16"/>
        </w:rPr>
        <w:t xml:space="preserve">This paragraph of the first footnote will contain the date on which you submitted your paper for review. It will also contain support information, including sponsor and financial support acknowledgment. For example, “This work was supported in part by the U.S. Department of Commerce under Grant BS123456.” </w:t>
      </w:r>
    </w:p>
    <w:p w:rsidR="00567FDD" w:rsidRDefault="00567FDD">
      <w:pPr>
        <w:ind w:firstLine="202"/>
        <w:jc w:val="both"/>
        <w:rPr>
          <w:sz w:val="16"/>
          <w:szCs w:val="16"/>
        </w:rPr>
      </w:pPr>
      <w:r>
        <w:rPr>
          <w:sz w:val="16"/>
          <w:szCs w:val="16"/>
        </w:rP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567FDD" w:rsidRDefault="00567FDD">
      <w:pPr>
        <w:ind w:firstLine="202"/>
        <w:jc w:val="both"/>
        <w:rPr>
          <w:sz w:val="16"/>
          <w:szCs w:val="16"/>
        </w:rPr>
      </w:pPr>
      <w:r>
        <w:rPr>
          <w:sz w:val="16"/>
          <w:szCs w:val="16"/>
        </w:rPr>
        <w:t>S. B. Author, Jr., was with Rice University, Houston, TX 77005 USA. He is now with the Department of Physics, Colorado State University, Fort Collins, CO 80523 USA (e-mail: author@lamar.colostate.edu).</w:t>
      </w:r>
    </w:p>
    <w:p w:rsidR="00567FDD" w:rsidRDefault="00567FDD">
      <w:pPr>
        <w:ind w:firstLine="202"/>
        <w:jc w:val="both"/>
        <w:rPr>
          <w:sz w:val="16"/>
          <w:szCs w:val="16"/>
        </w:rPr>
      </w:pPr>
      <w:r>
        <w:rPr>
          <w:sz w:val="16"/>
          <w:szCs w:val="16"/>
        </w:rPr>
        <w:t>T. C. Author is with the Electrical Engineering Department, University of Colorado, Boulder, CO 80309 USA, on leave from the National Research Institute for Metals, Tsukuba, Japan (e-mail: author@nrim.go.jp).</w:t>
      </w:r>
    </w:p>
  </w:footnote>
  <w:footnote w:id="2">
    <w:p w:rsidR="00567FDD" w:rsidRDefault="00567FDD">
      <w:pPr>
        <w:ind w:firstLine="202"/>
        <w:jc w:val="both"/>
        <w:rPr>
          <w:sz w:val="16"/>
          <w:szCs w:val="16"/>
        </w:rPr>
      </w:pPr>
      <w:r>
        <w:rPr>
          <w:vertAlign w:val="superscript"/>
        </w:rPr>
        <w:footnoteRef/>
      </w:r>
      <w:r>
        <w:rPr>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FDD" w:rsidRDefault="00567FDD">
    <w:pPr>
      <w:jc w:val="right"/>
    </w:pPr>
    <w:r>
      <w:fldChar w:fldCharType="begin"/>
    </w:r>
    <w:r>
      <w:instrText>PAGE</w:instrText>
    </w:r>
    <w:r>
      <w:fldChar w:fldCharType="separate"/>
    </w:r>
    <w:r w:rsidR="0097294F">
      <w:rPr>
        <w:noProof/>
      </w:rPr>
      <w:t>9</w:t>
    </w:r>
    <w:r>
      <w:fldChar w:fldCharType="end"/>
    </w:r>
  </w:p>
  <w:p w:rsidR="00567FDD" w:rsidRDefault="00567FDD">
    <w:pPr>
      <w:ind w:right="360"/>
    </w:pPr>
    <w:r>
      <w:t>&gt; REPLACE THIS LINE WITH YOUR PAPER IDENTIFICATION NUMBER (DOUBLE-CLICK HERE TO EDIT) &lt;</w:t>
    </w:r>
  </w:p>
  <w:p w:rsidR="00567FDD" w:rsidRDefault="00567FD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412"/>
    <w:multiLevelType w:val="multilevel"/>
    <w:tmpl w:val="D1320804"/>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BE4322"/>
    <w:multiLevelType w:val="multilevel"/>
    <w:tmpl w:val="53DED14C"/>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7853217"/>
    <w:multiLevelType w:val="multilevel"/>
    <w:tmpl w:val="C53AFFDA"/>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6F6C4614"/>
    <w:multiLevelType w:val="multilevel"/>
    <w:tmpl w:val="837A558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0C57D30"/>
    <w:multiLevelType w:val="multilevel"/>
    <w:tmpl w:val="F5E62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3F26"/>
    <w:rsid w:val="000573A1"/>
    <w:rsid w:val="00063F26"/>
    <w:rsid w:val="001B57BC"/>
    <w:rsid w:val="00567FDD"/>
    <w:rsid w:val="0097294F"/>
    <w:rsid w:val="00B45D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3A85C-6E49-4299-9041-4007016B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IN" w:bidi="hi-IN"/>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80"/>
      <w:jc w:val="center"/>
      <w:outlineLvl w:val="0"/>
    </w:pPr>
    <w:rPr>
      <w:smallCaps/>
    </w:rPr>
  </w:style>
  <w:style w:type="paragraph" w:styleId="Heading2">
    <w:name w:val="heading 2"/>
    <w:basedOn w:val="Normal"/>
    <w:next w:val="Normal"/>
    <w:pPr>
      <w:keepNext/>
      <w:spacing w:before="120" w:after="60"/>
      <w:outlineLvl w:val="1"/>
    </w:pPr>
    <w:rPr>
      <w:i/>
    </w:rPr>
  </w:style>
  <w:style w:type="paragraph" w:styleId="Heading3">
    <w:name w:val="heading 3"/>
    <w:basedOn w:val="Normal"/>
    <w:next w:val="Normal"/>
    <w:pPr>
      <w:keepNext/>
      <w:outlineLvl w:val="2"/>
    </w:pPr>
    <w:rPr>
      <w:i/>
    </w:rPr>
  </w:style>
  <w:style w:type="paragraph" w:styleId="Heading4">
    <w:name w:val="heading 4"/>
    <w:basedOn w:val="Normal"/>
    <w:next w:val="Normal"/>
    <w:pPr>
      <w:keepNext/>
      <w:spacing w:before="240" w:after="60"/>
      <w:ind w:left="1152" w:hanging="720"/>
      <w:outlineLvl w:val="3"/>
    </w:pPr>
    <w:rPr>
      <w:i/>
      <w:sz w:val="18"/>
      <w:szCs w:val="18"/>
    </w:rPr>
  </w:style>
  <w:style w:type="paragraph" w:styleId="Heading5">
    <w:name w:val="heading 5"/>
    <w:basedOn w:val="Normal"/>
    <w:next w:val="Normal"/>
    <w:pPr>
      <w:spacing w:before="240" w:after="60"/>
      <w:ind w:left="1872" w:hanging="720"/>
      <w:outlineLvl w:val="4"/>
    </w:pPr>
    <w:rPr>
      <w:sz w:val="18"/>
      <w:szCs w:val="18"/>
    </w:rPr>
  </w:style>
  <w:style w:type="paragraph" w:styleId="Heading6">
    <w:name w:val="heading 6"/>
    <w:basedOn w:val="Normal"/>
    <w:next w:val="Normal"/>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67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http://www.ieee.org/publications_standards/publications/authors/authors_submission.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hub.cc/https:/doi.org/10.1017/S0140525X01000127" TargetMode="External"/><Relationship Id="rId12" Type="http://schemas.openxmlformats.org/officeDocument/2006/relationships/hyperlink" Target="http://www.ieee.org/authortool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aphics@ieee.or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graphicsqc.ieee.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ieee.org/publications_standards/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1356</TotalTime>
  <Pages>9</Pages>
  <Words>6089</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Ashwinikumar Gupta</cp:lastModifiedBy>
  <cp:revision>2</cp:revision>
  <dcterms:created xsi:type="dcterms:W3CDTF">2018-03-27T17:19:00Z</dcterms:created>
  <dcterms:modified xsi:type="dcterms:W3CDTF">2018-03-28T15:58:00Z</dcterms:modified>
</cp:coreProperties>
</file>