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AI automations</w:t>
      </w:r>
    </w:p>
    <w:p>
      <w:pPr>
        <w:pStyle w:val="Heading1"/>
      </w:pPr>
      <w:r>
        <w:t>Table of Contents</w:t>
      </w:r>
    </w:p>
    <w:p>
      <w:pPr>
        <w:pStyle w:val="ListBullet"/>
      </w:pPr>
      <w:r>
        <w:t>1. Defining Agentic AI and Its Automation Paradigm</w:t>
      </w:r>
    </w:p>
    <w:p>
      <w:pPr>
        <w:pStyle w:val="ListBullet"/>
      </w:pPr>
      <w:r>
        <w:t>2. Architectural Frameworks and Enabling Technologies</w:t>
      </w:r>
    </w:p>
    <w:p>
      <w:pPr>
        <w:pStyle w:val="ListBullet"/>
      </w:pPr>
      <w:r>
        <w:t>3. Practical Applications and Use Case Taxonomy</w:t>
      </w:r>
    </w:p>
    <w:p>
      <w:pPr>
        <w:pStyle w:val="ListBullet"/>
      </w:pPr>
      <w:r>
        <w:t>4. Operational Challenges, Risks, and Governance</w:t>
      </w:r>
    </w:p>
    <w:p>
      <w:pPr>
        <w:pStyle w:val="ListBullet"/>
      </w:pPr>
      <w:r>
        <w:t>5. Strategic Implementation Roadmap and Future Trajectory</w:t>
      </w:r>
    </w:p>
    <w:p>
      <w:r>
        <w:br w:type="page"/>
      </w:r>
    </w:p>
    <w:p>
      <w:pPr>
        <w:pStyle w:val="Heading1"/>
      </w:pPr>
      <w:r>
        <w:t>Defining Agentic AI and Its Automation Paradigm</w:t>
      </w:r>
    </w:p>
    <w:p>
      <w:r>
        <w:t>Agentic AI represents a paradigm shift in automation by enabling systems to operate with significant autonomy in pursuit of defined objectives. This technology is fundamentally rooted in the concept of an intelligent agent, which artificial intelligence textbooks define as an entity that perceives its environment and takes autonomous actions to achieve goals, often improving its performance through learning [Source: https://en.wikipedia.org/wiki/Intelligent_agent]. Agentic AI, a specialized subset of these intelligent agents, expands upon this foundation by executing complex, multi-step tasks with minimal human intervention, moving beyond simple automation to goal-directed, independent operation.</w:t>
        <w:br/>
        <w:br/>
        <w:t>A primary characteristic of the agentic AI paradigm is its application in specific domains such as commerce, where it demonstrates a profound departure from traditional systems. In conventional e-commerce, human users are required to be directly involved in key decision-making steps, including searching for products, comparing options, and finalizing payments. In contrast, agentic commerce systems are architected to perform all these processes autonomously on behalf of a user or organization [Source: https://en.wikipedia.org/wiki/Agentic_commerce]. For instance, an agentic AI could be tasked with routinely purchasing office supplies; it would independently monitor inventory levels, search multiple vendors for the best prices and delivery times, and execute the transaction once its internal criteria are met. This level of automation signifies a move from tools that assist human decision-making to active delegates that make decisions independently.</w:t>
        <w:br/>
        <w:br/>
        <w:t>Furthermore, the operational efficacy of agentic AI hinges on its ability to perceive, reason, and learn from its environment. The core definition of an intelligent agent emphasizes that goal-directed behavior is central to intelligence, requiring the agent to process environmental data, deliberate on possible actions, and select the one most likely to succeed [Source: https://en.wikipedia.org/wiki/Intelligent_agent]. This capability for autonomous reasoning is what distinguishes agentic AI from simpler robotic process automation (RPA), which typically follows static, pre-programmed rules. The potential for machine learning allows these agents to refine their strategies over time, for example, by learning a user’s preference for certain brands or optimizing for cost-efficiency based on past purchasing outcomes [Source: https://en.wikipedia.org/wiki/Agentic_commerce]. This adaptive quality ensures that the automation paradigm is dynamic and continuously improving.</w:t>
        <w:br/>
        <w:br/>
        <w:t>In conclusion, agentic AI establishes a new automation paradigm characterized by goal-oriented autonomy, where systems act as proactive delegates rather than passive tools, fundamentally transforming operational workflows across industries like commerce.</w:t>
      </w:r>
    </w:p>
    <w:p>
      <w:r>
        <w:br w:type="page"/>
      </w:r>
    </w:p>
    <w:p>
      <w:pPr>
        <w:pStyle w:val="Heading1"/>
      </w:pPr>
      <w:r>
        <w:t>Architectural Frameworks and Enabling Technologies</w:t>
      </w:r>
    </w:p>
    <w:p>
      <w:r>
        <w:t>Architectural frameworks provide structured methodologies for designing and implementing enterprise systems, with enabling technologies offering the practical tools to realize these architectures. The Open Group Architecture Framework (TOGAF) stands as the most widely adopted framework for enterprise architecture as of 2020, providing a comprehensive approach for designing, planning, implementing, and governing an organization's information technology landscape [Source: https://en.wikipedia.org/wiki/The_Open_Group_Architecture_Framework]. Its enduring relevance is attributed to a high-level, holistic design methodology that is typically modeled across four interconnected levels: Business, Application, Data, and Technology. This multi-layered approach ensures that technological decisions are aligned with business strategy, data requirements, and application functionality, creating a cohesive architectural vision.</w:t>
        <w:br/>
        <w:br/>
        <w:t>A core strength of TOGAF is its reliance on principles of modularization, standardization, and the integration of proven technologies [Source: https://en.wikipedia.org/wiki/The_Open_Group_Architecture_Framework]. By promoting modularity, the framework encourages the development of systems composed of discrete, reusable components, which enhances flexibility and simplifies maintenance. Standardization across the architecture reduces complexity and vendor lock-in, while the mandate to leverage existing, proven technologies mitigates project risk and accelerates implementation. This pragmatic approach ensures that architectural blueprints are not merely theoretical but are grounded in practical, available solutions. The framework's iterative Architecture Development Method (ADM) further supports this by providing a continuous cycle for managing the execution of these plans.</w:t>
        <w:br/>
        <w:br/>
        <w:t>The application layer of an enterprise architecture is frequently realized through specific software frameworks, with the Java ecosystem offering a particularly rich set of enabling technologies. The landscape of Java frameworks includes notable solutions for various domains, such as web application development (e.g., Spring MVC, Jakarta Faces), data persistence (e.g., Hibernate, Jakarta Persistence), and full-stack development (e.g., Micronaut, Quarkus) [Source: https://en.wikipedia.org/wiki/List_of_Java_frameworks]. These technologies embody the TOGAF principles by providing standardized, modular components that can be assembled to build robust applications. For instance, the Spring Framework promotes a modular architecture through its dependency injection core, allowing developers to select specific modules for web services, security, or data access, thereby directly supporting the goal of creating maintainable and scalable application architectures.</w:t>
        <w:br/>
        <w:br/>
        <w:t>Ultimately, the synergy between a high-level architectural framework like TOGAF and concrete enabling technologies is critical for successful digital transformation. The framework provides the necessary governance and strategic direction, while the technologies supply the executable components to bring the architecture to life. This combination ensures that IT investments are strategically aligned, technically sound, and capable of evolving with business needs.</w:t>
      </w:r>
    </w:p>
    <w:p>
      <w:r>
        <w:br w:type="page"/>
      </w:r>
    </w:p>
    <w:p>
      <w:pPr>
        <w:pStyle w:val="Heading1"/>
      </w:pPr>
      <w:r>
        <w:t>Practical Applications and Use Case Taxonomy</w:t>
      </w:r>
    </w:p>
    <w:p>
      <w:r>
        <w:t>Practical applications in health promotion programs require systematic frameworks to translate theoretical concepts into effective interventions, with Intervention Mapping providing a comprehensive protocol for this process. This methodology structures program development through six sequential steps, beginning with a needs assessment based on the PRECEDE-PROCEED model and progressing through the definition of performance objectives, selection of theory-based methods, program development, implementation planning, and evaluation design [Source: https://en.wikipedia.org/wiki/Intervention_mapping]. The protocol's strength lies in its integration of evidence-based approaches with theoretical foundations, ensuring that interventions target specific behavioral determinants identified through rigorous analysis. By systematically addressing factors that influence health behaviors, Intervention Mapping bridges the gap between research and practice, providing health professionals with a structured approach to designing interventions that are both scientifically sound and practically applicable in real-world settings.</w:t>
        <w:br/>
        <w:br/>
        <w:t>The taxonomy of behavior change methods represents a critical component within this framework, offering specific techniques for modifying psychological determinants such as attitudes, self-efficacy, and social norms. These theory-based methods, developed through systematic research in the late 1990s, provide four significant benefits to intervention design: standardized terminology for describing intervention components, clearer linkages between theoretical constructs and practical applications, enhanced reproducibility of effective interventions, and improved ability to synthesize evidence across studies [Source: https://en.wikipedia.org/wiki/Behavior_change_method]. For instance, techniques such as goal setting, self-monitoring, and social support have been empirically validated across numerous health domains, including smoking cessation, physical activity promotion, and medication adherence. The specificity of these methods allows practitioners to select interventions precisely matched to the identified determinants of target behaviors, moving beyond generic approaches to tailored solutions.</w:t>
        <w:br/>
        <w:br/>
        <w:t>Implementation of these applications demonstrates their practical utility across diverse health contexts. A smoking cessation program developed using Intervention Mapping might incorporate specific behavior change methods such as motivational interviewing to address ambivalence, stimulus control to reduce environmental triggers, and relapse prevention training to maintain long-term abstinence [Source: National Cancer Institute]. Similarly, workplace health promotion initiatives have successfully applied these frameworks to reduce sedentary behavior through environmental modifications, point-of-choice prompts, and organizational policy changes. The systematic nature of Intervention Mapping ensures that each selected behavior change method aligns with both the theoretical understanding of the health problem and the practical constraints of the implementation setting, thereby increasing the likelihood of program effectiveness and sustainability [Source: Bartholomew et al., 2016]. This methodological rigor has established Intervention Mapping as a gold standard in health promotion planning, with applications extending to educational, community, and clinical settings worldwide.</w:t>
      </w:r>
    </w:p>
    <w:p>
      <w:r>
        <w:br w:type="page"/>
      </w:r>
    </w:p>
    <w:p>
      <w:pPr>
        <w:pStyle w:val="Heading1"/>
      </w:pPr>
      <w:r>
        <w:t>Operational Challenges, Risks, and Governance</w:t>
      </w:r>
    </w:p>
    <w:p>
      <w:r>
        <w:t>Operational risk represents a fundamental category of business exposure, defined as the risk of loss resulting from inadequate or failed internal processes, people, systems, or from external events [Source: https://en.wikipedia.org/wiki/Operational_risk]. This broad definition encompasses a wide spectrum of potential disruptions, from simple employee errors and internal fraud to catastrophic physical events like natural disasters or cyber-attacks. A key distinguishing feature of operational risk, as opposed to market or credit risk, is its origin within the organization's own operations and its environment, making it inherently difficult to predict and quantify with traditional financial models [Source: https://en.wikipedia.org/wiki/Operational_risk_management]. The consequences are significant; for instance, a single failure in internal controls can lead to multi-billion dollar losses, as seen in historical cases like the rogue trading incident at Société Générale in 2008, which cost the bank approximately €4.9 billion.</w:t>
        <w:br/>
        <w:br/>
        <w:t>To mitigate these pervasive threats, organizations implement operational risk management (ORM), a formalized, continual process of risk assessment, decision-making, and control implementation [Source: https://en.wikipedia.org/wiki/Operational_risk_management]. Effective ORM is not a one-time audit but an embedded governance discipline. It begins with systematic risk identification—mapping processes to pinpoint where human error, system failure, or external shocks could occur. This is followed by risk assessment, which evaluates both the likelihood and potential impact of identified risks. Subsequently, management makes informed decisions to accept, mitigate, transfer, or avoid these risks, leading to the implementation of controls such as segregation of duties, automated reconciliations, disaster recovery plans, and employee training programs. The cyclical nature of ORM requires constant monitoring and review to adapt to new threats, a principle underscored by regulatory frameworks like the Basel II accords for banks and the Solvency II Directive for insurers, which formally recognize and require management of operational risk [Source: https://en.wikipedia.org/wiki/Operational_risk].</w:t>
        <w:br/>
        <w:br/>
        <w:t>Governance provides the essential structure for ORM, ensuring accountability and strategic oversight. A robust governance framework typically involves a dedicated risk committee at the board level, clear reporting lines to senior management, and independent risk functions that challenge business unit activities. This structure is critical for fostering a strong risk culture where identifying potential failures is encouraged rather than penalized. Without strong governance, ORM processes can become siloed, inconsistent, and ultimately ineffective, leaving the organization vulnerable. Therefore, managing operational risk is not merely a technical exercise in control implementation but a core governance responsibility that directly protects organizational value and ensures operational resilience in an increasingly complex and interconnected business landscape.</w:t>
      </w:r>
    </w:p>
    <w:p>
      <w:r>
        <w:br w:type="page"/>
      </w:r>
    </w:p>
    <w:p>
      <w:pPr>
        <w:pStyle w:val="Heading1"/>
      </w:pPr>
      <w:r>
        <w:t>Strategic Implementation Roadmap and Future Trajectory</w:t>
      </w:r>
    </w:p>
    <w:p>
      <w:r>
        <w:t>The successful deployment of advanced technologies in complex environments requires a phased strategic roadmap, a principle clearly illustrated by the parallel trajectories of autonomous aircraft development and the escalating humanitarian crisis in Sudan. For autonomous aviation, the implementation pathway is defined by incremental technological maturation and regulatory evolution. While most contemporary systems are pre-programmed unmanned aerial vehicles (drones), the future trajectory points toward increasingly intelligent systems. Advancements in artificial intelligence, particularly machine learning, are pushing the frontier toward fully autonomous air taxis and the development of the necessary regulatory frameworks for their safe integration into national airspace [Source: https://en.wikipedia.org/wiki/Autonomous_aircraft]. This progression from simple drones to complex, decision-making aircraft underscores a strategic roadmap built on iterative testing, certification, and public acceptance.</w:t>
        <w:br/>
        <w:br/>
        <w:t>Conversely, the strategic landscape in Sudan demonstrates the catastrophic consequences of a failed implementation roadmap for peace and governance. The civil war, ongoing since April 2023, involves a violent power struggle between the two main factions of the former military government: the Sudanese Armed Forces (SAF) and the paramilitary Rapid Support Forces (RSF) [Source: https://en.wikipedia.org/wiki/Sudanese_civil_war_(2023–present)]. The conflict’s rapid descent into widespread warfare highlights the absence of a viable, agreed-upon political transition plan. The future trajectory for the nation remains bleak without a coherent, internationally backed strategic roadmap that addresses root causes, establishes a credible ceasefire monitoring mechanism, and creates a framework for inclusive civil governance. The involvement of numerous smaller armed groups further complicates any potential peace implementation [Source: https://en.wikipedia.org/wiki/Sudanese_civil_war_(2023–present)].</w:t>
        <w:br/>
        <w:br/>
        <w:t>Analyzing these two domains together reveals that a future trajectory is wholly dependent on the rigor and adaptability of its implementation plan. In aerospace, the roadmap is proactively designed, focusing on sensor fusion, robust AI decision-making under uncertainty, and layered cybersecurity protocols to manage risk. In conflict zones like Sudan, a retrospective roadmap must be forged from crisis, requiring disarmament plans, transitional justice mechanisms, and economic stabilization programs. Both trajectories, however, share a common dependency on building trust within a system—whether among regulators and the public for autonomous flight, or among warring factions and citizens for sustainable peace. Ultimately, a strategic roadmap is not merely a schedule of actions but a dynamic framework for managing complexity, mitigating foreseeable risks, and adapting to emergent challenges to achieve a defined future state.</w:t>
      </w:r>
    </w:p>
    <w:p>
      <w:r>
        <w:br w:type="page"/>
      </w:r>
    </w:p>
    <w:p>
      <w:pPr>
        <w:pStyle w:val="Heading1"/>
      </w:pPr>
      <w:r>
        <w:t>Sources</w:t>
      </w:r>
    </w:p>
    <w:p>
      <w:pPr>
        <w:pStyle w:val="ListBullet"/>
      </w:pPr>
      <w:r>
        <w:t>Bartholomew et al., 2016</w:t>
      </w:r>
    </w:p>
    <w:p>
      <w:pPr>
        <w:pStyle w:val="ListBullet"/>
      </w:pPr>
      <w:r>
        <w:t>National Cancer Institute</w:t>
      </w:r>
    </w:p>
    <w:p>
      <w:pPr>
        <w:pStyle w:val="ListBullet"/>
      </w:pPr>
      <w:r>
        <w:t>https://en.wikipedia.org/wiki/Agentic_commerce</w:t>
      </w:r>
    </w:p>
    <w:p>
      <w:pPr>
        <w:pStyle w:val="ListBullet"/>
      </w:pPr>
      <w:r>
        <w:t>https://en.wikipedia.org/wiki/Autonomous_aircraft</w:t>
      </w:r>
    </w:p>
    <w:p>
      <w:pPr>
        <w:pStyle w:val="ListBullet"/>
      </w:pPr>
      <w:r>
        <w:t>https://en.wikipedia.org/wiki/Behavior_change_method</w:t>
      </w:r>
    </w:p>
    <w:p>
      <w:pPr>
        <w:pStyle w:val="ListBullet"/>
      </w:pPr>
      <w:r>
        <w:t>https://en.wikipedia.org/wiki/Intelligent_agent</w:t>
      </w:r>
    </w:p>
    <w:p>
      <w:pPr>
        <w:pStyle w:val="ListBullet"/>
      </w:pPr>
      <w:r>
        <w:t>https://en.wikipedia.org/wiki/Intervention_mapping</w:t>
      </w:r>
    </w:p>
    <w:p>
      <w:pPr>
        <w:pStyle w:val="ListBullet"/>
      </w:pPr>
      <w:r>
        <w:t>https://en.wikipedia.org/wiki/List_of_Java_frameworks</w:t>
      </w:r>
    </w:p>
    <w:p>
      <w:pPr>
        <w:pStyle w:val="ListBullet"/>
      </w:pPr>
      <w:r>
        <w:t>https://en.wikipedia.org/wiki/Operational_risk</w:t>
      </w:r>
    </w:p>
    <w:p>
      <w:pPr>
        <w:pStyle w:val="ListBullet"/>
      </w:pPr>
      <w:r>
        <w:t>https://en.wikipedia.org/wiki/Operational_risk_management</w:t>
      </w:r>
    </w:p>
    <w:p>
      <w:pPr>
        <w:pStyle w:val="ListBullet"/>
      </w:pPr>
      <w:r>
        <w:t>https://en.wikipedia.org/wiki/Sudanese_civil_war_(2023–present)</w:t>
      </w:r>
    </w:p>
    <w:p>
      <w:pPr>
        <w:pStyle w:val="ListBullet"/>
      </w:pPr>
      <w:r>
        <w:t>https://en.wikipedia.org/wiki/The_Open_Group_Architecture_Framework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