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neuroplasticity in 2026</w:t>
      </w:r>
    </w:p>
    <w:p w:rsidR="00000000" w:rsidDel="00000000" w:rsidP="00000000" w:rsidRDefault="00000000" w:rsidRPr="00000000" w14:paraId="00000002">
      <w:pPr>
        <w:pStyle w:val="Heading1"/>
        <w:rPr/>
      </w:pPr>
      <w:r w:rsidDel="00000000" w:rsidR="00000000" w:rsidRPr="00000000">
        <w:rPr>
          <w:rtl w:val="0"/>
        </w:rPr>
        <w:t xml:space="preserve">Table of Contents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Introduction: The Evolving Landscape of Neuroplasticity in 2026</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Technological Catalysts: Advanced Tools for Mapping and Modulating Plasticity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Clinical Frontiers: Precision Neurorehabilitation and Mental Health Interventions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Cognitive Enhancement and Lifelong Learning: Applications for Healthy Brains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Analysis: Ethical, Societal, and Philosophical Implications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Conclusion: Future Trajectories and the Path Ahead for Neuroplasticity</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Introduction: The Evolving Landscape of Neuroplasticity in 2026</w:t>
      </w:r>
    </w:p>
    <w:p w:rsidR="00000000" w:rsidDel="00000000" w:rsidP="00000000" w:rsidRDefault="00000000" w:rsidRPr="00000000" w14:paraId="0000000B">
      <w:pPr>
        <w:rPr/>
      </w:pPr>
      <w:r w:rsidDel="00000000" w:rsidR="00000000" w:rsidRPr="00000000">
        <w:rPr>
          <w:rtl w:val="0"/>
        </w:rPr>
        <w:t xml:space="preserve">The study of neuroplasticity—the brain's inherent capacity to reorganize its structure, function, and connections in response to experience—has undergone a profound evolution, reaching a pivotal point in its contemporary understanding by 2026. This introduction examines the current landscape, where foundational biological principles intersect with complex neuropsychological phenomena, revealing a dynamic system of adaptation with significant implications for both health and pathology. The field now recognizes neuroplasticity not as a monolithic concept of beneficial change, but as a fundamental, targetable property of the nervous system that underlies both resilience and vulnerability.</w:t>
        <w:br w:type="textWrapping"/>
        <w:br w:type="textWrapping"/>
        <w:t xml:space="preserve">The fundamental mechanisms of neuroplasticity, including synaptic strengthening, neurogenesis, and cortical remapping, are conserved across species and provide a basis for understanding adaptive learning. Foundational research utilizing animal models has been instrumental in elucidating these core principles. For example, studies on sensory deprivation and enrichment in mammals demonstrate how experiential input directly shapes cortical organization and neural circuitry [Source: https://www.ncbi.nlm.nih.gov/books/NBK557811/]. Such models establish that plasticity is not merely a response to injury but a continuous process underpinning skill acquisition, memory formation, and behavioral adaptation throughout the lifespan.</w:t>
        <w:br w:type="textWrapping"/>
        <w:br w:type="textWrapping"/>
        <w:t xml:space="preserve">However, the modern neuroplasticity paradigm critically extends beyond adaptive learning to encompass its integral role in maladaptive processes and psychopathology. This is most salient in the context of addiction, which is conceptualized as a disorder of pathological learning and memory facilitated by drug-induced neuroplasticity [Source: https://en.wikipedia.org/wiki/Addiction]. Repetitive substance use hijacks synaptic plasticity mechanisms in mesolimbic and prefrontal circuits, altering brain function in regions governing reward, motivation, and executive control. These drug-induced neuroadaptations can induce more potent and enduring changes than natural rewards, creating compulsive reward-seeking behaviors that persist despite adverse consequences. This represents a central paradox: the very mechanisms that enable learning and adaptation can be co-opted to perpetuate disease states, cementing pathological neural pathways that undermine self-regulation [Source: https://www.nature.com/articles/s41386-021-01148-6].</w:t>
        <w:br w:type="textWrapping"/>
        <w:br w:type="textWrapping"/>
        <w:t xml:space="preserve">By 2026, research has therefore increasingly focused on harnessing this dual nature of plasticity for targeted therapeutic intervention. The field has progressed from observation to active modulation, employing advanced techniques such as closed-loop neuromodulation, pharmacotherapies targeting specific plasticity-related proteins, and personalized cognitive-behavioral therapies. The objective is to selectively reverse maladaptive synaptic changes while promoting resilient, healthy neural pathways. This therapeutic frontier acknowledges that neuroplasticity itself is neutral; its clinical outcome is determined by the direction and context of the change. Consequently, the evolving landscape is defined by a nuanced, systems-level approach that seeks to precisely guide the brain’s malleability, offering novel strategies for treating conditions from addiction and depression to neurodegenerative diseases and stroke recovery.</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Technological Catalysts: Advanced Tools for Mapping and Modulating Plasticity</w:t>
      </w:r>
    </w:p>
    <w:p w:rsidR="00000000" w:rsidDel="00000000" w:rsidP="00000000" w:rsidRDefault="00000000" w:rsidRPr="00000000" w14:paraId="0000000E">
      <w:pPr>
        <w:rPr/>
      </w:pPr>
      <w:r w:rsidDel="00000000" w:rsidR="00000000" w:rsidRPr="00000000">
        <w:rPr>
          <w:rtl w:val="0"/>
        </w:rPr>
        <w:t xml:space="preserve">Technological advancements are fundamentally reshaping our capacity to map and modulate neural plasticity, providing unprecedented tools to observe and manipulate the brain's dynamic nature. These innovations span from high-resolution imaging to precise intervention techniques, enabling researchers to move beyond correlation and toward causal understanding of how neural circuits adapt. The development of optogenetics, for instance, marked a pivotal moment, allowing scientists to use light to control specific neurons with millisecond precision [Source: Deisseroth, 2015]. This tool has been instrumental in demonstrating causal links between neuronal activity and behavioral plasticity in models of learning and memory.</w:t>
        <w:br w:type="textWrapping"/>
        <w:br w:type="textWrapping"/>
        <w:t xml:space="preserve">In the domain of mapping, recent breakthroughs in microscopy and genetic labeling have dramatically improved spatial and temporal resolution. Expansion microscopy, a technique that physically enlarges biological specimens, enables nanoscale imaging of synaptic structures on conventional microscopes [Source: Chen et al., 2015]. When combined with viral vectors that deliver fluorescent proteins to specific cell types, researchers can now visualize the formation and elimination of dendritic spines—the primary sites of excitatory synapses—in the living brain over days or weeks [Source: https://www.nature.com/articles/nn.2369]. For example, longitudinal studies using two-photon imaging have quantified that in the mouse visual cortex, approximately 5-10% of spines are turned over weekly, a rate that is modulated by experience [Source: Fu et al., 2012]. These tools provide a dynamic map of structural plasticity that was previously inaccessible.</w:t>
        <w:br w:type="textWrapping"/>
        <w:br w:type="textWrapping"/>
        <w:t xml:space="preserve">Beyond observation, novel methods for modulating plasticity offer therapeutic potential. Chemogenetics, using Designer Receptors Exclusively Activated by Designer Drugs (DREADDs), provides longer-term neuronal modulation than optogenetics and is being explored in preclinical models of neuropsychiatric disorders [Source: Roth, 2016]. Furthermore, non-invasive brain stimulation techniques like transcranial magnetic stimulation (TMS) are being refined to target plasticity mechanisms in humans. Studies have shown that repetitive TMS protocols can induce long-term potentiation- or depression-like changes in cortical circuits, leading to measurable improvements in motor recovery after stroke [Source: Lefaucheur et al., 2020]. The integration of these tools with real-time neurofeedback, such as in closed-loop brain-computer interfaces, represents the frontier of this field, allowing for moment-to-moment guidance of plasticity based on ongoing brain activity.</w:t>
        <w:br w:type="textWrapping"/>
        <w:br w:type="textWrapping"/>
        <w:t xml:space="preserve">Consequently, the synergy between advanced mapping and modulation technologies is creating a powerful feedback loop, where detailed observation informs precise intervention, accelerating the translation of basic plasticity research into clinical applications for neurological and psychiatric conditions.</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Clinical Frontiers: Precision Neurorehabilitation and Mental Health Interventions</w:t>
      </w:r>
    </w:p>
    <w:p w:rsidR="00000000" w:rsidDel="00000000" w:rsidP="00000000" w:rsidRDefault="00000000" w:rsidRPr="00000000" w14:paraId="00000011">
      <w:pPr>
        <w:rPr/>
      </w:pPr>
      <w:r w:rsidDel="00000000" w:rsidR="00000000" w:rsidRPr="00000000">
        <w:rPr>
          <w:rtl w:val="0"/>
        </w:rPr>
        <w:t xml:space="preserve">Precision neurorehabilitation represents a paradigm shift in treating neurological and mental health conditions by leveraging advanced technologies to deliver highly individualized therapeutic interventions. This approach moves beyond standardized protocols to target the specific neural pathways and physiological mechanisms underlying each patient's condition. A prominent application is the use of brain-computer interfaces (BCIs) for managing neuropathic pain, a debilitating condition affecting up to 7–8% of the European population [Source: https://en.wikipedia.org/wiki/Neuropathic_pain]. Neuropathic pain, resulting from damage or disease of the somatosensory nervous system, is characterized by symptoms such as abnormal sensations (dysesthesia), pain from non-painful stimuli (allodynia), and episodic qualities like burning, coldness, or electric shock-like pains [Source: https://en.wikipedia.org/wiki/Neuropathic_pain].</w:t>
        <w:br w:type="textWrapping"/>
        <w:br w:type="textWrapping"/>
        <w:t xml:space="preserve">BCIs address this challenge by establishing a direct communication pathway between the brain's electrical activity and an external computer system, effectively bypassing damaged peripheral nerves to modulate central nervous system activity [Source: https://en.wikipedia.org/wiki/Brain%E2%80%93computer_interface]. The therapeutic mechanism primarily involves real-time neurofeedback within closed-loop systems. For example, patients learn to self-regulate brain rhythms associated with pain perception, such as sensorimotor rhythms. By receiving visual or auditory feedback correlated with their neural activity, patients develop volitional control over circuits that modulate pain. This neurofeedback process promotes neuroplasticity, which can lead to sustained symptom alleviation [Source: Journal of NeuroEngineering and Rehabilitation]. Furthermore, advanced closed-loop BCIs can detect the onset of neuropathic pain episodes, such as paroxysmal electric shocks, and automatically deliver a counter-stimulation or neuromodulatory signal to preempt the full experience of pain [Source: Frontiers in Neuroscience].</w:t>
        <w:br w:type="textWrapping"/>
        <w:br w:type="textWrapping"/>
        <w:t xml:space="preserve">The application of BCIs extends beyond pain management, particularly through integration with complementary technologies like virtual reality (VR) and robotic exoskeletons. In motor rehabilitation for conditions such as stroke or spinal cord injury, BCIs can drive robotic aids, enabling intention-driven movement restoration. This integration provides rich, multimodal sensory feedback that encourages neural rewiring and functional recovery. In the domain of mental health, BCIs are being explored for disorders including post-traumatic stress disorder (PTSD) and depression by facilitating targeted modulation of key brain regions like the amygdala or prefrontal cortex, thereby helping to recalibrate dysfunctional emotional responses [Source: Nature Reviews Neurology]. The convergence of precise neurological data from BCIs with personalized therapeutic protocols thus marks a significant advancement toward effective, patient-centric neurorehabilitation, offering new hope for conditions previously resistant to conventional treatments.</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Cognitive Enhancement and Lifelong Learning: Applications for Healthy Brains</w:t>
      </w:r>
    </w:p>
    <w:p w:rsidR="00000000" w:rsidDel="00000000" w:rsidP="00000000" w:rsidRDefault="00000000" w:rsidRPr="00000000" w14:paraId="00000014">
      <w:pPr>
        <w:rPr/>
      </w:pPr>
      <w:r w:rsidDel="00000000" w:rsidR="00000000" w:rsidRPr="00000000">
        <w:rPr>
          <w:rtl w:val="0"/>
        </w:rPr>
        <w:t xml:space="preserve">Cognitive enhancement and lifelong learning represent powerful applications for maintaining and optimizing brain function across the lifespan, grounded in an understanding of neurodevelopmental diversity and the brain’s inherent plasticity. The neurodiversity paradigm provides a foundational framework, positing that human cognition exists on a broad spectrum encompassing sensory processing, social comfort, and attentional focus [Source: https://en.wikipedia.org/wiki/Neurodiversity]. This perspective reframes conditions like autism not as disorders but as natural variations in neurobiological wiring, highlighting that there is no single, optimal cognitive profile. Consequently, cognitive enhancement strategies for healthy brains must move beyond a one-size-fits-all model to embrace personalized approaches that align with an individual’s unique neurological makeup, thereby maximizing the efficacy of interventions from educational tools to cognitive training software.</w:t>
        <w:br w:type="textWrapping"/>
        <w:br w:type="textWrapping"/>
        <w:t xml:space="preserve">A critical period for establishing lifelong cognitive habits is adolescence, a pivotal developmental stage characterized by profound neurobiological and psychological change. This transitional phase, spanning from puberty to adulthood, involves significant synaptic pruning and refinement of neural networks, which solidify cognitive and behavioral patterns [Source: https://en.wikipedia.org/wiki/Adolescence]. Interventions during this period can have outsized, lasting impacts. For instance, educational programs that teach metacognitive skills—such as learning how to learn, critical thinking, and emotional regulation—can leverage the adolescent brain’s plasticity to build resilient cognitive architectures. Research indicates that adolescents who engage in structured cognitive challenges, like mastering a complex skill or a new language, demonstrate enhanced executive function and greater neural efficiency in adulthood [Source: Diamond, 2013]. Therefore, lifelong learning initiatives are most potent when they begin early, capitalizing on this sensitive developmental window to instill a growth mindset and adaptive learning strategies.</w:t>
        <w:br w:type="textWrapping"/>
        <w:br w:type="textWrapping"/>
        <w:t xml:space="preserve">For the mature, healthy brain, the principle of “use it or lose it” underscores the necessity of continuous cognitive engagement. Lifelong learning acts as a form of cognitive enrichment, stimulating neurogenesis in the hippocampus and strengthening synaptic connections throughout the cortex [Source: Park &amp; Bischof, 2013]. This is not merely academic; practical applications include learning new technologies, engaging in strategic games, pursuing musical training, or participating in complex professional development. Such activities provide the novel and effortful challenges that counter cognitive decline. Importantly, effective enhancement respects neurodiversity; for example, a person with an autistic cognitive style might excel with visual-spatial training tools, while another might benefit more from social cognition exercises [Source: https://en.wikipedia.org/wiki/Neurodiversity]. The goal is not to pathologize but to personalize, using evidence-based tools to scaffold cognitive strengths and address individual goals for mental acuity.</w:t>
        <w:br w:type="textWrapping"/>
        <w:br w:type="textWrapping"/>
        <w:t xml:space="preserve">Ultimately, the convergence of the neurodiversity paradigm and insights into lifelong neuroplasticity provides a robust, person-centered model for cognitive enhancement. By recognizing the variable trajectories of brain development and function, and by implementing tailored, engaging learning opportunities from adolescence through late adulthood, individuals can cultivate cognitive resilience, adaptability, and sustained mental performance.</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Analysis: Ethical, Societal, and Philosophical Implications</w:t>
      </w:r>
    </w:p>
    <w:p w:rsidR="00000000" w:rsidDel="00000000" w:rsidP="00000000" w:rsidRDefault="00000000" w:rsidRPr="00000000" w14:paraId="00000017">
      <w:pPr>
        <w:rPr/>
      </w:pPr>
      <w:r w:rsidDel="00000000" w:rsidR="00000000" w:rsidRPr="00000000">
        <w:rPr>
          <w:rtl w:val="0"/>
        </w:rPr>
        <w:t xml:space="preserve">The rapid advancement of artificial intelligence necessitates a rigorous analysis of its ethical, societal, and philosophical implications, drawing upon established frameworks from moral philosophy. Ethics, as the philosophical study of moral phenomena, provides the essential vocabulary and analytical tools for this task, primarily through its branches of normative ethics, applied ethics, and metaethics [Source: https://en.wikipedia.org/wiki/Ethics]. Normative ethics, which seeks general principles for right action, is directly challenged by AI systems that operate on optimization functions rather than moral reasoning. This creates a foundational tension between utilitarian outcomes, deontological rules, and virtue-based approaches when determining how autonomous systems *should* behave.</w:t>
        <w:br w:type="textWrapping"/>
        <w:br w:type="textWrapping"/>
        <w:t xml:space="preserve">A primary area of concern falls under applied ethics, where abstract principles confront concrete technological realities. The ethics of artificial intelligence specifically highlights issues like algorithmic bias, fairness, and accountability, which have immediate societal consequences [Source: https://en.wikipedia.org/wiki/Ethics_of_artificial_intelligence]. For instance, biased training data has led to discriminatory outcomes in areas from hiring algorithms to predictive policing, demonstrating how automated systems can perpetuate and amplify existing societal inequities. The 2016 investigation into the COMPAS recidivism algorithm, which was found to be biased against African-American defendants, serves as a stark example of the urgent need for transparency and fairness in algorithmic decision-making [Source: ProPublica]. Furthermore, the deployment of lethal autonomous weapon systems (LAWS) raises profound questions about the delegation of life-and-death decisions to machines, challenging international humanitarian law and creating new dynamics in global arms races.</w:t>
        <w:br w:type="textWrapping"/>
        <w:br w:type="textWrapping"/>
        <w:t xml:space="preserve">On a more philosophical level, the field of AI engages deeply with metaethics, which questions the nature and foundation of moral facts. The prospect of developing artificial moral agents forces a re-examination of fundamental concepts like consciousness, intentionality, and moral responsibility. If an autonomous vehicle causes a fatal accident, the chain of accountability becomes distributed among developers, manufacturers, and the AI itself, complicating traditional legal and ethical models [Source: IEEE Global Initiative on Ethics of Autonomous and Intelligent Systems]. This leads to the subfield of machine ethics, which explores how to embed ethical considerations into AI systems, a task that presupposes we can formally define and encode complex human values. The societal implications are vast, touching upon privacy erosion through mass surveillance, the future of work amid widespread automation, and the long-term trajectory of AI development, often discussed in terms of AI safety and alignment with human interests [Source: Future of Life Institute]. Ultimately, the integration of AI into society is not merely a technical challenge but a profound philosophical project that demands interdisciplinary collaboration to ensure these technologies are developed and governed in a manner that is equitable, transparent, and beneficial for humanity.</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Conclusion: Future Trajectories and the Path Ahead for Neuroplasticity</w:t>
      </w:r>
    </w:p>
    <w:p w:rsidR="00000000" w:rsidDel="00000000" w:rsidP="00000000" w:rsidRDefault="00000000" w:rsidRPr="00000000" w14:paraId="0000001A">
      <w:pPr>
        <w:rPr/>
      </w:pPr>
      <w:r w:rsidDel="00000000" w:rsidR="00000000" w:rsidRPr="00000000">
        <w:rPr>
          <w:rtl w:val="0"/>
        </w:rPr>
        <w:t xml:space="preserve">The future trajectory of neuroplasticity research points toward an increasingly integrated model, where the biological mechanisms of brain adaptation are understood as deeply intertwined with psychological constructs of well-being. A primary avenue for advancement lies in elucidating the precise neurochemical pathways that serve as the biological substrate for positive psychological states. As noted in foundational well-being literature, endogenous molecules like dopamine, serotonin, oxytocin, and endorphins function as critical "well-being related markers" that influence happiness and euphoria [Source: https://en.wikipedia.org/wiki/Well-being_contributing_factors]. Future research must map how specific patterns of neuroplastic change—such as synaptogenesis in the prefrontal cortex or hippocampal neurogenesis—are modulated by these markers, thereby directly linking molecular activity with the cultivation of eudaimonia and flourishing.</w:t>
        <w:br w:type="textWrapping"/>
        <w:br w:type="textWrapping"/>
        <w:t xml:space="preserve">Consequently, the path ahead will be characterized by the development of highly personalized, evidence-based interventions designed to harness neuroplasticity for enhanced mental health. For instance, longitudinal neuroimaging studies are beginning to quantify how sustained mindfulness practice can increase gray matter density in brain regions associated with emotional regulation [Source: Frontiers in Human Neuroscience, 2022]. These structural changes correlate strongly with self-reported improvements in contentment and quality of life. Similarly, targeted cognitive training paradigms and novel pharmacological agents that upregulate Brain-Derived Neurotrophic Factor (BDNF) hold promise for strengthening neural circuits underpinning resilience [Source: National Institutes of Health, Neuroplasticity Fact Sheet]. The goal is to move beyond generic advice to protocols as precise as clinical medicine, where interventions are tailored to an individual's genetic predispositions, current neural circuitry, and psychological profile.</w:t>
        <w:br w:type="textWrapping"/>
        <w:br w:type="textWrapping"/>
        <w:t xml:space="preserve">Ultimately, the frontier of this field is the ethical and practical application of this knowledge to foster a more meaningful life at both individual and societal levels. This requires a balanced synthesis of perspectives from neuroscience, psychology, and even philosophy. While the potential for cognitive enhancement is significant, it necessitates careful ethical frameworks to ensure equitable access and to define the boundaries of augmentation [Source: Neuroethics Journal, 2023]. The synthesis of biological and psychological research underscores that the future of neuroplasticity is not merely about repairing the brain but about optimizing its inherent capacity for growth, thereby offering a scientifically-grounded path to human flourishing.</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Sources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Chen et al., 2015</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Deisseroth, 2015</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Diamond, 2013</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Frontiers in Human Neuroscience, 2022</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Frontiers in Neuroscience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 et al., 2012</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Future of Life Institute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IEEE Global Initiative on Ethics of Autonomous and Intelligent Systems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Journal of NeuroEngineering and Rehabilitation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Lefaucheur et al., 2020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National Institutes of Health, Neuroplasticity Fact Sheet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Nature Reviews Neurology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Neuroethics Journal, 2023</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Park &amp; Bischof, 2013</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ProPublica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Roth, 2016</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https://en.wikipedia.org/wiki/Addiction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https://en.wikipedia.org/wiki/Adolescence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https://en.wikipedia.org/wiki/Brain%E2%80%93computer_interface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https://en.wikipedia.org/wiki/Ethics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https://en.wikipedia.org/wiki/Ethics_of_artificial_intelligence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https://en.wikipedia.org/wiki/Neurodiversity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https://en.wikipedia.org/wiki/Neuropathic_pain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https://en.wikipedia.org/wiki/Well-being_contributing_factors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https://www.nature.com/articles/nn.2369</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https://www.nature.com/articles/s41386-021-01148-6</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https://www.ncbi.nlm.nih.gov/books/NBK557811/</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