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54360"/>
          <w:sz w:val="72"/>
          <w:szCs w:val="72"/>
        </w:rPr>
        <w:t xml:space="preserve">FinPilot</w:t>
      </w:r>
    </w:p>
    <w:p>
      <w:pPr>
        <w:spacing w:after="200"/>
        <w:jc w:val="center"/>
      </w:pPr>
      <w:r>
        <w:rPr>
          <w:color w:val="1A5276"/>
          <w:sz w:val="36"/>
          <w:szCs w:val="36"/>
        </w:rPr>
        <w:t xml:space="preserve">High-Level Design &amp; Technical Architecture</w:t>
      </w:r>
    </w:p>
    <w:p>
      <w:pPr>
        <w:pBdr>
          <w:bottom w:val="single" w:color="5D6D7E" w:sz="1"/>
        </w:pBdr>
        <w:spacing w:after="200" w:before="200"/>
      </w:pPr>
    </w:p>
    <w:p>
      <w:pPr>
        <w:spacing w:after="600"/>
        <w:jc w:val="center"/>
      </w:pPr>
      <w:r>
        <w:rPr>
          <w:color w:val="5D6D7E"/>
          <w:sz w:val="22"/>
          <w:szCs w:val="22"/>
        </w:rPr>
        <w:t xml:space="preserve">Phase 1 | v1.0 | July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Electron</w:t>
            </w:r>
          </w:p>
        </w:tc>
        <w:tc>
          <w:tcPr>
            <w:tcW w:type="dxa" w:w="4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Cross-platform; future React Native mobile sharing component logic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18+ with Vite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Component-based; large ecosystem; shared knowledge for React Native port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Zustand</w:t>
            </w:r>
          </w:p>
        </w:tc>
        <w:tc>
          <w:tcPr>
            <w:tcW w:type="dxa" w:w="4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Lightweight; survives Electron window reloads better than Redux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Charts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Recharts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React-native charting; declarative; good for financial dashboards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via better-sqlite3</w:t>
            </w:r>
          </w:p>
        </w:tc>
        <w:tc>
          <w:tcPr>
            <w:tcW w:type="dxa" w:w="4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Local-first; no server; synchronous API simpler in Electron main process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ORM / Query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Drizzle ORM or raw SQL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Type-safe queries; lightweight; good SQLite support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pdf-parse (JS) + Python sidecar</w:t>
            </w:r>
          </w:p>
        </w:tc>
        <w:tc>
          <w:tcPr>
            <w:tcW w:type="dxa" w:w="4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 for simple PDFs; Python (casparser, statementsparser) for CAS &amp; bank stmts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 Parsing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PapaParse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Battle-tested CSV parser for browser/Node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MF NAV Data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mfapi.in</w:t>
            </w:r>
          </w:p>
        </w:tc>
        <w:tc>
          <w:tcPr>
            <w:tcW w:type="dxa" w:w="4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Free; no auth; covers all AMFI schemes; daily NAV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Price Data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Yahoo Finance wrapper / NSE API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Free; daily close prices sufficient for Phase 1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XIRR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 (Newton-Raphson)</w:t>
            </w:r>
          </w:p>
        </w:tc>
        <w:tc>
          <w:tcPr>
            <w:tcW w:type="dxa" w:w="4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~50 lines; no external dependency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Utility-first; consistent design system; fast iteration</w:t>
            </w:r>
          </w:p>
        </w:tc>
      </w:tr>
      <w:tr>
        <w:tc>
          <w:tcPr>
            <w:tcW w:type="dxa" w:w="2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4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Fast; Vite-native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2. Architecture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Electron app with clear process separation: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Process (Node.js): </w:t>
      </w:r>
      <w:r>
        <w:rPr>
          <w:rFonts w:ascii="Calibri" w:cs="Calibri" w:eastAsia="Calibri" w:hAnsi="Calibri"/>
          <w:sz w:val="22"/>
          <w:szCs w:val="22"/>
        </w:rPr>
        <w:t xml:space="preserve">SQLite DB, file I/O, PDF/CSV parsing, market data fetching, all sensitive operations. Exposes functionality via Electron IPC.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Renderer Process (React): </w:t>
      </w:r>
      <w:r>
        <w:rPr>
          <w:rFonts w:ascii="Calibri" w:cs="Calibri" w:eastAsia="Calibri" w:hAnsi="Calibri"/>
          <w:sz w:val="22"/>
          <w:szCs w:val="22"/>
        </w:rPr>
        <w:t xml:space="preserve">Pure UI. Communicates with main process via IPC bridges. No direct file or DB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Python Sidecar: </w:t>
      </w:r>
      <w:r>
        <w:rPr>
          <w:rFonts w:ascii="Calibri" w:cs="Calibri" w:eastAsia="Calibri" w:hAnsi="Calibri"/>
          <w:sz w:val="22"/>
          <w:szCs w:val="22"/>
        </w:rPr>
        <w:t xml:space="preserve">Bundled Python runtime (PyInstaller) for CAS PDF and bank statement parsing. Called from main process via child_process. Returns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Background Jobs: </w:t>
      </w:r>
      <w:r>
        <w:rPr>
          <w:rFonts w:ascii="Calibri" w:cs="Calibri" w:eastAsia="Calibri" w:hAnsi="Calibri"/>
          <w:sz w:val="22"/>
          <w:szCs w:val="22"/>
        </w:rPr>
        <w:t xml:space="preserve">Daily NAV/price refresh via node-cron in main process. Triggers on app start if stale, or at configured time (default 7 PM IST).</w:t>
      </w:r>
    </w:p>
    <w:p>
      <w:pPr>
        <w:pStyle w:val="Heading2"/>
      </w:pPr>
      <w:r>
        <w:rPr>
          <w:b/>
          <w:bCs/>
        </w:rPr>
        <w:t xml:space="preserve">2.1 IPC Contract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IPC handlers follow this pattern: Renderer calls ipcRenderer.invoke(channel, { userId, ...params }). Main process handler validates userId, queries DB with WHERE user_id = ?, returns result. userId is always required — even in Phase 1 (hardcoded to 1).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Channel naming convention: domain:action — e.g., accounts:list, transactions:import, investments:refresh-nav.</w:t>
      </w:r>
    </w:p>
    <w:p>
      <w:pPr>
        <w:pStyle w:val="Heading1"/>
      </w:pPr>
      <w:r>
        <w:rPr>
          <w:b/>
          <w:bCs/>
        </w:rPr>
        <w:t xml:space="preserve">3. Project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finpilot/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electron/ — Main process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main.ts — Entry, window creation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ipc/ — IPC handlers (accounts, transactions, investments, import)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db/ — SQLite schema, migrations, queries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db/migrations/ — Versioned SQL migration files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parsers/ — PDF/CSV parsing logic (JS side)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services/ — Market data fetcher, categorization engine, transfer detector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src/ — React frontend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components/ — Reusable UI (cards, charts, tables, forms)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pages/ — Onboarding, SpendDashboard, InvestmentDashboard, Settings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hooks/ — useIPC(), useAccounts(), useTransactions(), useInvestments()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stores/ — Zustand stores (user, accounts, transactions, investments, ui)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utils/ — Formatters (currency, date, %), helpers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python/ — Python sidecar scripts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parse_cas.py — CAS PDF parser (wraps casparser)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parse_bank.py — Bank statement parser (wraps statementsparser)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  requirements.txt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assets/ — Icons, fonts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  data/ — Default category rules, MCC mappings, keyword dictionaries (JSON)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Data Model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SQLite with SQLCipher encryption. Every entity (except User, MFNav, StockPrice) includes user_id FK. All queries filter by user_id.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2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name, salary, employer_name, fy_start, created_at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row in Phase 1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bank, nickname, last4, type(savings/current/salary), opening_balance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Belongs to User</w:t>
            </w:r>
          </w:p>
        </w:tc>
      </w:tr>
      <w:tr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CreditCard</w:t>
            </w:r>
          </w:p>
        </w:tc>
        <w:tc>
          <w:tcPr>
            <w:tcW w:type="dxa" w:w="4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issuer, nickname, last4, credit_limit, bill_date, linked_account_id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Belongs to User; FK to Account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account_id/card_id, date, amount, type(cr/dr), narration, raw_text, category_id, sub_category_id, is_transfer, is_cc_payment, is_excluded, remarks, source_file, matched_transfer_id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table; remarks for user notes</w:t>
            </w:r>
          </w:p>
        </w:tc>
      </w:tr>
      <w:tr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name, parent_id, icon, is_system, is_hidden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Hierarchical; system defaults + user-created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CategoryRule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rule_type(keyword/mcc/vpa/amount), pattern, category_id, priority, is_user_created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Layered rule engine</w:t>
            </w:r>
          </w:p>
        </w:tc>
      </w:tr>
      <w:tr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MFScheme</w:t>
            </w:r>
          </w:p>
        </w:tc>
        <w:tc>
          <w:tcPr>
            <w:tcW w:type="dxa" w:w="4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scheme_code(AMFI), scheme_name, folio, amc_name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CAS PDF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MFTransaction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scheme_id, date, type, amount, units, nav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SIP/lumpsum/redemption/switch</w:t>
            </w:r>
          </w:p>
        </w:tc>
      </w:tr>
      <w:tr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MFNav</w:t>
            </w:r>
          </w:p>
        </w:tc>
        <w:tc>
          <w:tcPr>
            <w:tcW w:type="dxa" w:w="4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scheme_code, date, nav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cache — no user_id (public data)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symbol, name, exchange, sector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Groww export</w:t>
            </w:r>
          </w:p>
        </w:tc>
      </w:tr>
      <w:tr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StockTransaction</w:t>
            </w:r>
          </w:p>
        </w:tc>
        <w:tc>
          <w:tcPr>
            <w:tcW w:type="dxa" w:w="4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stock_id, date, type, qty, price, charges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Buy/sell log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StockPrice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symbol, date, close_price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Shared cache — no user_id (public data)</w:t>
            </w:r>
          </w:p>
        </w:tc>
      </w:tr>
      <w:tr>
        <w:tc>
          <w:tcPr>
            <w:tcW w:type="dxa" w:w="18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ImportLog</w:t>
            </w:r>
          </w:p>
        </w:tc>
        <w:tc>
          <w:tcPr>
            <w:tcW w:type="dxa" w:w="42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user_id, file_name, file_hash, account_id, import_date, txn_count, date_range_start, date_range_end, status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Dedup tracking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Statement Parsing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36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Parser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ICICI Bank</w:t>
            </w:r>
          </w:p>
        </w:tc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PDF, CSV</w:t>
            </w:r>
          </w:p>
        </w:tc>
        <w:tc>
          <w:tcPr>
            <w:tcW w:type="dxa" w:w="4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statementsparser (Python) + CSV column mapper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HDFC Bank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PDF, CSV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statementsparser (Python) + CSV column mapper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SBI</w:t>
            </w:r>
          </w:p>
        </w:tc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PDF, CSV</w:t>
            </w:r>
          </w:p>
        </w:tc>
        <w:tc>
          <w:tcPr>
            <w:tcW w:type="dxa" w:w="4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statementsparser (Python) + CSV column mapper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 banks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 only (Phase 1)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Generic CSV with user-defined column mapping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ICICI CC</w:t>
            </w:r>
          </w:p>
        </w:tc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</w:t>
            </w:r>
          </w:p>
        </w:tc>
        <w:tc>
          <w:tcPr>
            <w:tcW w:type="dxa" w:w="4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Template-based parser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HDFC CC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Template-based parser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 CC</w:t>
            </w:r>
          </w:p>
        </w:tc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 only (Phase 1)</w:t>
            </w:r>
          </w:p>
        </w:tc>
        <w:tc>
          <w:tcPr>
            <w:tcW w:type="dxa" w:w="4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Generic CSV with column mapping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Cash tracker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User-mapped columns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 (MF)</w:t>
            </w:r>
          </w:p>
        </w:tc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(password-protected)</w:t>
            </w:r>
          </w:p>
        </w:tc>
        <w:tc>
          <w:tcPr>
            <w:tcW w:type="dxa" w:w="4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casparser (Python)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Groww stocks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</w:t>
            </w:r>
          </w:p>
        </w:tc>
        <w:tc>
          <w:tcPr>
            <w:tcW w:type="dxa" w:w="4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Fixed-format parser</w:t>
            </w:r>
          </w:p>
        </w:tc>
      </w:tr>
    </w:tbl>
    <w:p>
      <w:pPr>
        <w:pStyle w:val="Heading2"/>
      </w:pPr>
      <w:r>
        <w:rPr>
          <w:b/>
          <w:bCs/>
        </w:rPr>
        <w:t xml:space="preserve">5.1 Python Sidecar Design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Python sidecar is bundled as a standalone executable via PyInstaller. It exposes a simple CLI interface: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parse_cas.py --file &lt;path&gt; --password &lt;pan+email&gt; → JSON output with schemes, transactions, units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parse_bank.py --file &lt;path&gt; --bank &lt;icici|hdfc|sbi&gt; → JSON output with transactions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Main process calls via child_process.execFile(), captures stdout JSON. Errors via stderr. Timeout: 30 seconds per file.</w:t>
      </w:r>
    </w:p>
    <w:p>
      <w:pPr>
        <w:pStyle w:val="Heading1"/>
      </w:pPr>
      <w:r>
        <w:rPr>
          <w:b/>
          <w:bCs/>
        </w:rPr>
        <w:t xml:space="preserve">6. Security &amp; Encryption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Database Encryption: </w:t>
      </w:r>
      <w:r>
        <w:rPr>
          <w:rFonts w:ascii="Calibri" w:cs="Calibri" w:eastAsia="Calibri" w:hAnsi="Calibri"/>
          <w:sz w:val="22"/>
          <w:szCs w:val="22"/>
        </w:rPr>
        <w:t xml:space="preserve">SQLCipher (better-sqlite3 compatible). User sets master password on first launch. DB decrypted in memory only while app runs.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 Storage: </w:t>
      </w:r>
      <w:r>
        <w:rPr>
          <w:rFonts w:ascii="Calibri" w:cs="Calibri" w:eastAsia="Calibri" w:hAnsi="Calibri"/>
          <w:sz w:val="22"/>
          <w:szCs w:val="22"/>
        </w:rPr>
        <w:t xml:space="preserve">Uploaded statements parsed then deleted. Optional encrypted vault for originals.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Secrets: </w:t>
      </w:r>
      <w:r>
        <w:rPr>
          <w:rFonts w:ascii="Calibri" w:cs="Calibri" w:eastAsia="Calibri" w:hAnsi="Calibri"/>
          <w:sz w:val="22"/>
          <w:szCs w:val="22"/>
        </w:rPr>
        <w:t xml:space="preserve">API keys/tokens (future phases) via electron-store with OS-level encryption (DPAPI/Keychain/libsecret).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Network: </w:t>
      </w:r>
      <w:r>
        <w:rPr>
          <w:rFonts w:ascii="Calibri" w:cs="Calibri" w:eastAsia="Calibri" w:hAnsi="Calibri"/>
          <w:sz w:val="22"/>
          <w:szCs w:val="22"/>
        </w:rPr>
        <w:t xml:space="preserve">Only outbound reads: mfapi.in (NAV) + stock price API. No user data transmitted.</w:t>
      </w:r>
    </w:p>
    <w:p>
      <w:pPr>
        <w:pStyle w:val="Heading1"/>
      </w:pPr>
      <w:r>
        <w:rPr>
          <w:b/>
          <w:bCs/>
        </w:rPr>
        <w:t xml:space="preserve">7. Multi-User Readiness &amp; Auth Roadmap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1 — Desktop (Single User): </w:t>
      </w:r>
      <w:r>
        <w:rPr>
          <w:rFonts w:ascii="Calibri" w:cs="Calibri" w:eastAsia="Calibri" w:hAnsi="Calibri"/>
          <w:sz w:val="22"/>
          <w:szCs w:val="22"/>
        </w:rPr>
        <w:t xml:space="preserve">No server, no API requests. All runs locally in Electron main process. user_id hardcoded to 1 at app entry point, passed through all IPC handlers and DB queries. No attack surface — one process, one machine.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Phase 3 — Server + Mobile (Multi-User): </w:t>
      </w:r>
      <w:r>
        <w:rPr>
          <w:rFonts w:ascii="Calibri" w:cs="Calibri" w:eastAsia="Calibri" w:hAnsi="Calibri"/>
          <w:sz w:val="22"/>
          <w:szCs w:val="22"/>
        </w:rPr>
        <w:t xml:space="preserve">Auth model changes fundamentally: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authenticates via OAuth/JWT — receives signed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API request carries token in Authorization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Server extracts user_id from verified token — never from request body/URL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 if user sends user_id=2 in payload, server ignores it and uses token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Row-level security: all DB queries filter by token-derived user_id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gateway validates tokens before requests reach application layer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Key principle: client never controls which user's data it accesses. Identity derived from authenticated session, not client-supplied parameters. Schema is ready today; only auth middleware + API layer needed in Phase 3.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AI vs. Rule-Based Categorization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5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5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236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0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Rule-Based (Phase 1)</w:t>
            </w:r>
          </w:p>
        </w:tc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cost; offline; deterministic; Play Store ready</w:t>
            </w:r>
          </w:p>
        </w:tc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rule curation; misses novel merchants</w:t>
            </w:r>
          </w:p>
        </w:tc>
        <w:tc>
          <w:tcPr>
            <w:tcW w:type="dxa" w:w="2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engine in all phases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API (Phase 2)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Handles ambiguous narrations; context-aware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~₹0.01/txn; needs internet; not viable at mobile scale</w:t>
            </w:r>
          </w:p>
        </w:tc>
        <w:tc>
          <w:tcPr>
            <w:tcW w:type="dxa" w:w="2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 with Claude subscription; batch uncategorized</w:t>
            </w:r>
          </w:p>
        </w:tc>
      </w:tr>
      <w:tr>
        <w:tc>
          <w:tcPr>
            <w:tcW w:type="dxa" w:w="20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ML (Phase 3)</w:t>
            </w:r>
          </w:p>
        </w:tc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Offline; no per-txn cost; improves over time</w:t>
            </w:r>
          </w:p>
        </w:tc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Needs training data; model size; cold start</w:t>
            </w:r>
          </w:p>
        </w:tc>
        <w:tc>
          <w:tcPr>
            <w:tcW w:type="dxa" w:w="2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app; after enough user data to train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Hybrid Strategy: </w:t>
      </w:r>
      <w:r>
        <w:rPr>
          <w:rFonts w:ascii="Calibri" w:cs="Calibri" w:eastAsia="Calibri" w:hAnsi="Calibri"/>
          <w:sz w:val="22"/>
          <w:szCs w:val="22"/>
        </w:rPr>
        <w:t xml:space="preserve">Rule-based handles 70-85%. Phase 2: "AI Categorize" button sends uncategorized to Claude API in batch, user reviews, accepted mappings become rules. Phase 3: local TF Lite/ONNX classifier trained on user's history.</w:t>
      </w:r>
    </w:p>
    <w:p>
      <w:pPr>
        <w:pStyle w:val="Heading2"/>
      </w:pPr>
      <w:r>
        <w:rPr>
          <w:b/>
          <w:bCs/>
        </w:rPr>
        <w:t xml:space="preserve">8.1 Claude API Integration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enters Claude API key in Settings (stored encrypted)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"AI Categorize" on Uncategorized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Sends only narration text (no amounts/dates — privacy)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reviews side-by-side: narration | AI suggestion | confirm/override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Confirmed mappings saved as keyword rules — AI teaches the rule engine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Estimated cost: ~₹50-100/month for 200-400 uncategorized transactions via Claude Haiku.</w:t>
      </w:r>
    </w:p>
    <w:p>
      <w:pPr>
        <w:pStyle w:val="Heading1"/>
      </w:pPr>
      <w:r>
        <w:rPr>
          <w:b/>
          <w:bCs/>
        </w:rPr>
        <w:t xml:space="preserve">9.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86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Bank PDF format changes</w:t>
            </w:r>
          </w:p>
        </w:tc>
        <w:tc>
          <w:tcPr>
            <w:tcW w:type="dxa" w:w="20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Parser breaks</w:t>
            </w:r>
          </w:p>
        </w:tc>
        <w:tc>
          <w:tcPr>
            <w:tcW w:type="dxa" w:w="4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Template-based with version detection; CSV fallback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Groww export availability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Can't import stocks</w:t>
            </w:r>
          </w:p>
        </w:tc>
        <w:tc>
          <w:tcPr>
            <w:tcW w:type="dxa" w:w="4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export options; manual entry fallback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 PDF password handling</w:t>
            </w:r>
          </w:p>
        </w:tc>
        <w:tc>
          <w:tcPr>
            <w:tcW w:type="dxa" w:w="20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Can't parse MF data</w:t>
            </w:r>
          </w:p>
        </w:tc>
        <w:tc>
          <w:tcPr>
            <w:tcW w:type="dxa" w:w="4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casparser handles password; store encrypted for re-use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Rule-based accuracy ~70-80%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review burden</w:t>
            </w:r>
          </w:p>
        </w:tc>
        <w:tc>
          <w:tcPr>
            <w:tcW w:type="dxa" w:w="4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Acceptable for Phase 1; AI fills gaps Phase 2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stock API rate limits</w:t>
            </w:r>
          </w:p>
        </w:tc>
        <w:tc>
          <w:tcPr>
            <w:tcW w:type="dxa" w:w="20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Stale prices</w:t>
            </w:r>
          </w:p>
        </w:tc>
        <w:tc>
          <w:tcPr>
            <w:tcW w:type="dxa" w:w="48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Aggressive caching; multiple fallback APIs; daily = low freq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sidecar size (~50MB)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 app bundle</w:t>
            </w:r>
          </w:p>
        </w:tc>
        <w:tc>
          <w:tcPr>
            <w:tcW w:type="dxa" w:w="48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PyInstaller standalone; port parsers to JS later</w:t>
            </w:r>
          </w:p>
        </w:tc>
      </w:tr>
    </w:tbl>
    <w:p>
      <w:pPr>
        <w:pStyle w:val="Heading1"/>
      </w:pPr>
      <w:r>
        <w:rPr>
          <w:b/>
          <w:bCs/>
        </w:rPr>
        <w:t xml:space="preserve">10. Key Libraries &amp;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50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shd w:fill="15436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License / Cost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casparser</w:t>
            </w:r>
          </w:p>
        </w:tc>
        <w:tc>
          <w:tcPr>
            <w:tcW w:type="dxa" w:w="3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Parse CAS PDF (CAMS/KFintech)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MIT; Free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statementsparser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Parse Indian bank statements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MIT; Free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mfapi.in</w:t>
            </w:r>
          </w:p>
        </w:tc>
        <w:tc>
          <w:tcPr>
            <w:tcW w:type="dxa" w:w="3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MF NAV data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Free; No auth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Yahoo Finance wrapper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price data (NSE/BSE)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Free; Unofficial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3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for Node.js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MIT; Free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SQLCipher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Encrypted SQLite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BSD; Free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PapaParse</w:t>
            </w:r>
          </w:p>
        </w:tc>
        <w:tc>
          <w:tcPr>
            <w:tcW w:type="dxa" w:w="3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 parsing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MIT; Free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Recharts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charting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MIT; Free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Zustand</w:t>
            </w:r>
          </w:p>
        </w:tc>
        <w:tc>
          <w:tcPr>
            <w:tcW w:type="dxa" w:w="3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MIT; Free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Electron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MIT; Free</w:t>
            </w:r>
          </w:p>
        </w:tc>
      </w:tr>
      <w:tr>
        <w:tc>
          <w:tcPr>
            <w:tcW w:type="dxa" w:w="2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0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3360"/>
            <w:shd w:fill="F2F3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MIT; Free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Type-safe SQL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2.0; Free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— End of HLD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8"/>
        <w:szCs w:val="18"/>
      </w:rPr>
      <w:t xml:space="preserve">Confidential | Page </w:t>
    </w:r>
    <w:r>
      <w:rPr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D6D7E"/>
        <w:sz w:val="18"/>
        <w:szCs w:val="18"/>
      </w:rPr>
      <w:t xml:space="preserve">FinPilot HLD | Phase 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2026-07-26T15:29:30.516Z</dcterms:created>
  <dcterms:modified xsi:type="dcterms:W3CDTF">2026-07-26T15:29:30.516Z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