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7200" w:hRule="exact"/>
        </w:trPr>
        <w:tc>
          <w:tcPr>
            <w:tcBorders>
              <w:top w:val="none" w:color="FFFFFF" w:sz="0"/>
              <w:left w:val="none" w:color="FFFFFF" w:sz="0"/>
              <w:bottom w:val="none" w:color="FFFFFF" w:sz="0"/>
              <w:right w:val="none" w:color="FFFFFF" w:sz="0"/>
            </w:tcBorders>
            <w:shd w:fill="1A2330" w:val="clear"/>
            <w:vAlign w:val="top"/>
          </w:tcPr>
          <w:p>
            <w:pPr>
              <w:spacing w:before="2400"/>
            </w:pPr>
          </w:p>
          <w:p>
            <w:pPr>
              <w:spacing w:before="400" w:line="920" w:lineRule="atLeast"/>
            </w:pPr>
            <w:r>
              <w:rPr>
                <w:rFonts w:ascii="Times New Roman" w:eastAsia="SimHei"/>
                <w:b/>
                <w:bCs/>
                <w:color w:val="FFFFFF"/>
                <w:sz w:val="80"/>
                <w:szCs w:val="80"/>
              </w:rPr>
              <w:t xml:space="preserve">OpenWorkflow</w:t>
            </w:r>
          </w:p>
          <w:p>
            <w:pPr>
              <w:spacing w:before="200" w:line="460" w:lineRule="atLeast"/>
            </w:pPr>
            <w:r>
              <w:rPr>
                <w:rFonts w:ascii="Times New Roman" w:eastAsia="Microsoft YaHei"/>
                <w:color w:val="B0B8C0"/>
                <w:sz w:val="40"/>
                <w:szCs w:val="40"/>
              </w:rPr>
              <w:t xml:space="preserve">AI Workflow Operating System</w:t>
            </w:r>
          </w:p>
          <w:p>
            <w:pPr>
              <w:pBdr>
                <w:bottom w:val="single" w:color="D4875A" w:sz="12" w:space="8"/>
              </w:pBdr>
              <w:spacing w:before="400"/>
              <w:ind w:left="100" w:right="8900"/>
            </w:pPr>
          </w:p>
        </w:tc>
      </w:tr>
    </w:tbl>
    <w:p>
      <w:pPr>
        <w:spacing w:before="800"/>
      </w:pPr>
    </w:p>
    <w:p>
      <w:pPr>
        <w:spacing w:after="60" w:before="120"/>
        <w:ind w:left="200"/>
        <w:jc w:val="left"/>
      </w:pPr>
      <w:r>
        <w:rPr>
          <w:rFonts w:ascii="Times New Roman" w:eastAsia="Microsoft YaHei"/>
          <w:color w:val="90989F"/>
          <w:sz w:val="22"/>
          <w:szCs w:val="22"/>
        </w:rPr>
        <w:t xml:space="preserve">Product Requirements Document</w:t>
      </w:r>
    </w:p>
    <w:p>
      <w:pPr>
        <w:spacing w:after="60" w:before="120"/>
        <w:ind w:left="200"/>
        <w:jc w:val="left"/>
      </w:pPr>
      <w:r>
        <w:rPr>
          <w:rFonts w:ascii="Times New Roman" w:eastAsia="Microsoft YaHei"/>
          <w:color w:val="90989F"/>
          <w:sz w:val="22"/>
          <w:szCs w:val="22"/>
        </w:rPr>
        <w:t xml:space="preserve">Version 1.0</w:t>
      </w:r>
    </w:p>
    <w:p>
      <w:pPr>
        <w:spacing w:after="60" w:before="120"/>
        <w:ind w:left="200"/>
        <w:jc w:val="left"/>
      </w:pPr>
      <w:r>
        <w:rPr>
          <w:rFonts w:ascii="Times New Roman" w:eastAsia="Microsoft YaHei"/>
          <w:color w:val="90989F"/>
          <w:sz w:val="22"/>
          <w:szCs w:val="22"/>
        </w:rPr>
        <w:t xml:space="preserve">June 2026</w:t>
      </w:r>
    </w:p>
    <w:p>
      <w:pPr>
        <w:sectPr>
          <w:pgSz w:w="11906" w:h="16838" w:orient="portrait"/>
          <w:pgMar w:top="0" w:right="0" w:bottom="0" w:left="0" w:header="708" w:footer="708" w:gutter="0"/>
          <w:pgNumType/>
          <w:docGrid w:linePitch="360"/>
        </w:sectPr>
      </w:pPr>
    </w:p>
    <w:p>
      <w:pPr>
        <w:spacing w:after="300" w:before="400"/>
        <w:jc w:val="center"/>
      </w:pPr>
      <w:r>
        <w:rPr>
          <w:rFonts w:ascii="Times New Roman" w:eastAsia="SimHei"/>
          <w:b/>
          <w:bCs/>
          <w:color w:val="1A2330"/>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Problem Statement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AI Decisions Lack Accountability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AI Agents Are Stateless and Context-Free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Workflow Design Requires Specialized Skills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Human-AI Collaboration Is an Afterthought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2.5 Fragmented Tooling Across the AI Lifecycle</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3. Solution Overview</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3.1 Visual Workflow Canvas with 24 Node Types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Confidence-Based AI Routing</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3.3 Persistent Customer Memory Layer</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3.4 Human-in-the-Loop Approval System</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3.5 AI Copilot for Workflow Generation</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4. Feature Specifications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4.1 Workflow Execution Engine</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4.2 Trigger Infrastructure</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4.3 Integration Connectors</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4.4 Analytics and Monitoring Dashboard</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4.5 Version Control and Audit Trail</w:t>
            </w:r>
            <w:r>
              <w:tab/>
            </w:r>
            <w:r>
              <w:fldChar w:fldCharType="begin"/>
            </w:r>
            <w:r>
              <w:instrText xml:space="preserve"> PAGEREF _Toc100018 \h </w:instrText>
            </w:r>
            <w:r>
              <w:fldChar w:fldCharType="separate"/>
            </w:r>
            <w:r>
              <w:t>7</w:t>
            </w:r>
            <w:r>
              <w:fldChar w:fldCharType="end"/>
            </w:r>
          </w:hyperlink>
        </w:p>
        <w:p>
          <w:pPr>
            <w:pStyle w:val="9"/>
            <w:tabs>
              <w:tab w:val="right" w:leader="dot" w:pos="9026"/>
            </w:tabs>
            <w:spacing w:before="120" w:after="60"/>
          </w:pPr>
          <w:hyperlink w:anchor="_Toc100019" w:history="1">
            <w:r>
              <w:rPr>
                <w:rStyle w:val="Hyperlink"/>
              </w:rPr>
              <w:t>5. Technical Architecture</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5.1 Technology Stack</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5.2 Database Schema</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5.3 API Layer</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5.4 Production Infrastructure</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6. Security Architecture</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7. Competitive Differentiation</w:t>
            </w:r>
            <w:r>
              <w:tab/>
            </w:r>
            <w:r>
              <w:fldChar w:fldCharType="begin"/>
            </w:r>
            <w:r>
              <w:instrText xml:space="preserve"> PAGEREF _Toc100025 \h </w:instrText>
            </w:r>
            <w:r>
              <w:fldChar w:fldCharType="separate"/>
            </w:r>
            <w:r>
              <w:t>8</w:t>
            </w:r>
            <w:r>
              <w:fldChar w:fldCharType="end"/>
            </w:r>
          </w:hyperlink>
        </w:p>
        <w:p>
          <w:pPr>
            <w:pStyle w:val="9"/>
            <w:tabs>
              <w:tab w:val="right" w:leader="dot" w:pos="9026"/>
            </w:tabs>
            <w:spacing w:before="120" w:after="60"/>
          </w:pPr>
          <w:hyperlink w:anchor="_Toc100026" w:history="1">
            <w:r>
              <w:rPr>
                <w:rStyle w:val="Hyperlink"/>
              </w:rPr>
              <w:t>8. Future Roadmap</w:t>
            </w:r>
            <w:r>
              <w:tab/>
            </w:r>
            <w:r>
              <w:fldChar w:fldCharType="begin"/>
            </w:r>
            <w:r>
              <w:instrText xml:space="preserve"> PAGEREF _Toc100026 \h </w:instrText>
            </w:r>
            <w:r>
              <w:fldChar w:fldCharType="separate"/>
            </w:r>
            <w:r>
              <w:t>9</w:t>
            </w:r>
            <w:r>
              <w:fldChar w:fldCharType="end"/>
            </w:r>
          </w:hyperlink>
        </w:p>
        <w:p>
          <w:r>
            <w:fldChar w:fldCharType="end"/>
          </w:r>
        </w:p>
      </w:sdtContent>
    </w:sdt>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60" w:before="360"/>
      </w:pPr>
      <w:bookmarkStart w:id="100000" w:name="_Toc100000"/>
      <w:r>
        <w:rPr>
          <w:rFonts w:ascii="Times New Roman" w:eastAsia="SimHei"/>
          <w:b/>
          <w:bCs/>
          <w:color w:val="1A2330"/>
          <w:sz w:val="32"/>
          <w:szCs w:val="32"/>
        </w:rPr>
        <w:t xml:space="preserve">1. Executive Summary</w:t>
      </w:r>
      <w:bookmarkEnd w:id="100000"/>
    </w:p>
    <w:p>
      <w:pPr>
        <w:spacing w:after="80" w:line="312"/>
        <w:ind w:firstLine="480"/>
        <w:jc w:val="both"/>
      </w:pPr>
      <w:r>
        <w:rPr>
          <w:rFonts w:ascii="Times New Roman" w:eastAsia="Microsoft YaHei"/>
          <w:color w:val="000000"/>
          <w:sz w:val="24"/>
          <w:szCs w:val="24"/>
        </w:rPr>
        <w:t xml:space="preserve">OpenWorkflow is an AI Workflow Operating System designed to transform how organizations deploy, manage, and scale AI-powered business processes. Unlike traditional workflow automation tools that merely connect APIs and shuffle data, OpenWorkflow treats AI as a first-class citizen within every workflow, enabling organizations to build AI Employees that can classify, reason, respond, and escalate with the contextual awareness of a human worker. The platform provides a visual drag-and-drop canvas where business users and engineers alike can orchestrate complex multi-step processes that blend AI reasoning, human judgment, and system actions into seamless automated pipelines.</w:t>
      </w:r>
    </w:p>
    <w:p>
      <w:pPr>
        <w:spacing w:after="80" w:line="312"/>
        <w:ind w:firstLine="480"/>
        <w:jc w:val="both"/>
      </w:pPr>
      <w:r>
        <w:rPr>
          <w:rFonts w:ascii="Times New Roman" w:eastAsia="Microsoft YaHei"/>
          <w:color w:val="000000"/>
          <w:sz w:val="24"/>
          <w:szCs w:val="24"/>
        </w:rPr>
        <w:t xml:space="preserve">The core innovation lies in three capabilities that no existing platform delivers together: confidence-based routing that allows AI nodes to self-assess their certainty and automatically escalate uncertain decisions to humans; a persistent memory layer that gives AI Employees contextual continuity across customer interactions so they improve over time rather than starting from scratch each time; and an AI Copilot that can generate entire workflows from natural language descriptions, dramatically reducing the time from idea to deployment. Together, these features address the fundamental gap between what AI can do in isolation and what enterprises need AI to do in production: operate reliably within business processes that require accountability, traceability, and human oversight.</w:t>
      </w:r>
    </w:p>
    <w:p>
      <w:pPr>
        <w:pStyle w:val="Heading1"/>
        <w:spacing w:after="160" w:before="360"/>
      </w:pPr>
      <w:bookmarkStart w:id="100001" w:name="_Toc100001"/>
      <w:r>
        <w:rPr>
          <w:rFonts w:ascii="Times New Roman" w:eastAsia="SimHei"/>
          <w:b/>
          <w:bCs/>
          <w:color w:val="1A2330"/>
          <w:sz w:val="32"/>
          <w:szCs w:val="32"/>
        </w:rPr>
        <w:t xml:space="preserve">2. Problem Statement</w:t>
      </w:r>
      <w:bookmarkEnd w:id="100001"/>
    </w:p>
    <w:p>
      <w:pPr>
        <w:spacing w:after="80" w:line="312"/>
        <w:ind w:firstLine="480"/>
        <w:jc w:val="both"/>
      </w:pPr>
      <w:r>
        <w:rPr>
          <w:rFonts w:ascii="Times New Roman" w:eastAsia="Microsoft YaHei"/>
          <w:color w:val="000000"/>
          <w:sz w:val="24"/>
          <w:szCs w:val="24"/>
        </w:rPr>
        <w:t xml:space="preserve">Enterprise adoption of AI has been bottlenecked not by the capability of models, but by the absence of infrastructure to safely embed AI within real business processes. Organizations face five interconnected challenges that current tools fail to address holistically, resulting in fragmented implementations, unreliable automation, and poor return on AI investment.</w:t>
      </w:r>
    </w:p>
    <w:p>
      <w:pPr>
        <w:pStyle w:val="Heading2"/>
        <w:spacing w:after="120" w:before="240"/>
      </w:pPr>
      <w:bookmarkStart w:id="100002" w:name="_Toc100002"/>
      <w:r>
        <w:rPr>
          <w:rFonts w:ascii="Times New Roman" w:eastAsia="SimHei"/>
          <w:b/>
          <w:bCs/>
          <w:color w:val="1A2330"/>
          <w:sz w:val="28"/>
          <w:szCs w:val="28"/>
        </w:rPr>
        <w:t xml:space="preserve">2.1 AI Decisions Lack Accountability</w:t>
      </w:r>
      <w:bookmarkEnd w:id="100002"/>
    </w:p>
    <w:p>
      <w:pPr>
        <w:spacing w:after="80" w:line="312"/>
        <w:ind w:firstLine="480"/>
        <w:jc w:val="both"/>
      </w:pPr>
      <w:r>
        <w:rPr>
          <w:rFonts w:ascii="Times New Roman" w:eastAsia="Microsoft YaHei"/>
          <w:color w:val="000000"/>
          <w:sz w:val="24"/>
          <w:szCs w:val="24"/>
        </w:rPr>
        <w:t xml:space="preserve">When an AI model makes a classification or generates a response, the confidence level of that decision is typically invisible to the downstream process. A customer support AI might classify an email as a billing inquiry with 45% confidence, yet the system treats it with the same certainty as a classification made with 98% confidence. This leads to misrouted tickets, inappropriate responses, and customer frustration. In regulated industries such as financial services and healthcare, the inability to trace and audit AI decision quality creates compliance risk. Organizations need a system where confidence scores are not just logged but actively drive workflow routing, ensuring that low-confidence AI decisions are escalated to human reviewers before any action is taken.</w:t>
      </w:r>
    </w:p>
    <w:p>
      <w:pPr>
        <w:pStyle w:val="Heading2"/>
        <w:spacing w:after="120" w:before="240"/>
      </w:pPr>
      <w:bookmarkStart w:id="100003" w:name="_Toc100003"/>
      <w:r>
        <w:rPr>
          <w:rFonts w:ascii="Times New Roman" w:eastAsia="SimHei"/>
          <w:b/>
          <w:bCs/>
          <w:color w:val="1A2330"/>
          <w:sz w:val="28"/>
          <w:szCs w:val="28"/>
        </w:rPr>
        <w:t xml:space="preserve">2.2 AI Agents Are Stateless and Context-Free</w:t>
      </w:r>
      <w:bookmarkEnd w:id="100003"/>
    </w:p>
    <w:p>
      <w:pPr>
        <w:spacing w:after="80" w:line="312"/>
        <w:ind w:firstLine="480"/>
        <w:jc w:val="both"/>
      </w:pPr>
      <w:r>
        <w:rPr>
          <w:rFonts w:ascii="Times New Roman" w:eastAsia="Microsoft YaHei"/>
          <w:color w:val="000000"/>
          <w:sz w:val="24"/>
          <w:szCs w:val="24"/>
        </w:rPr>
        <w:t xml:space="preserve">Most AI-powered workflows treat each interaction as an isolated event. An AI agent handling a customer inquiry has no memory of that customer's history, preferences, prior escalations, or sentiment trends. The result is a frustrating experience where customers must repeat themselves, and AI produces generic responses that fail to account for relationship context. For example, an enterprise customer who has escalated three times in the past month should receive a different quality of response than a first-time inquirer, yet stateless AI systems treat both identically. Organizations need a memory layer that persists customer context, interaction history, and extracted knowledge across sessions, enabling AI to personalize responses and demonstrate continuity.</w:t>
      </w:r>
    </w:p>
    <w:p>
      <w:pPr>
        <w:pStyle w:val="Heading2"/>
        <w:spacing w:after="120" w:before="240"/>
      </w:pPr>
      <w:bookmarkStart w:id="100004" w:name="_Toc100004"/>
      <w:r>
        <w:rPr>
          <w:rFonts w:ascii="Times New Roman" w:eastAsia="SimHei"/>
          <w:b/>
          <w:bCs/>
          <w:color w:val="1A2330"/>
          <w:sz w:val="28"/>
          <w:szCs w:val="28"/>
        </w:rPr>
        <w:t xml:space="preserve">2.3 Workflow Design Requires Specialized Skills</w:t>
      </w:r>
      <w:bookmarkEnd w:id="100004"/>
    </w:p>
    <w:p>
      <w:pPr>
        <w:spacing w:after="80" w:line="312"/>
        <w:ind w:firstLine="480"/>
        <w:jc w:val="both"/>
      </w:pPr>
      <w:r>
        <w:rPr>
          <w:rFonts w:ascii="Times New Roman" w:eastAsia="Microsoft YaHei"/>
          <w:color w:val="000000"/>
          <w:sz w:val="24"/>
          <w:szCs w:val="24"/>
        </w:rPr>
        <w:t xml:space="preserve">Building a workflow that incorporates AI reasoning, conditional logic, human approvals, and system integrations today requires engineering teams proficient in code-heavy platforms like Apache Airflow, Temporal, or custom microservice orchestration. Business operations teams who understand the process best cannot participate in designing or modifying workflows without developer involvement. This creates a bottleneck where the backlog of workflow automation requests far exceeds engineering capacity, and the resulting implementations are brittle because the people who understand the business logic did not build them. Organizations need a visual, intuitive workflow builder where business users can design, test, and iterate on AI-powered processes without writing code.</w:t>
      </w:r>
    </w:p>
    <w:p>
      <w:pPr>
        <w:pStyle w:val="Heading2"/>
        <w:spacing w:after="120" w:before="240"/>
      </w:pPr>
      <w:bookmarkStart w:id="100005" w:name="_Toc100005"/>
      <w:r>
        <w:rPr>
          <w:rFonts w:ascii="Times New Roman" w:eastAsia="SimHei"/>
          <w:b/>
          <w:bCs/>
          <w:color w:val="1A2330"/>
          <w:sz w:val="28"/>
          <w:szCs w:val="28"/>
        </w:rPr>
        <w:t xml:space="preserve">2.4 Human-AI Collaboration Is an Afterthought</w:t>
      </w:r>
      <w:bookmarkEnd w:id="100005"/>
    </w:p>
    <w:p>
      <w:pPr>
        <w:spacing w:after="80" w:line="312"/>
        <w:ind w:firstLine="480"/>
        <w:jc w:val="both"/>
      </w:pPr>
      <w:r>
        <w:rPr>
          <w:rFonts w:ascii="Times New Roman" w:eastAsia="Microsoft YaHei"/>
          <w:color w:val="000000"/>
          <w:sz w:val="24"/>
          <w:szCs w:val="24"/>
        </w:rPr>
        <w:t xml:space="preserve">Existing automation platforms operate on a binary model: either a step is fully automated or it requires manual human execution. There is no mechanism for AI to perform the bulk of the work while a human provides judgment on the critical decision point. In practice, customer support processes, content moderation, financial approvals, and incident management all require this hybrid model where AI drafts, classifies, or recommends, and a human approves, corrects, or escalates. Without first-class support for human-in-the-loop checkpoints, organizations are forced to choose between fully automated (risky) or fully manual (slow), missing the productive middle ground where AI amplifies human judgment rather than replacing it.</w:t>
      </w:r>
    </w:p>
    <w:p>
      <w:pPr>
        <w:pStyle w:val="Heading2"/>
        <w:spacing w:after="120" w:before="240"/>
      </w:pPr>
      <w:bookmarkStart w:id="100006" w:name="_Toc100006"/>
      <w:r>
        <w:rPr>
          <w:rFonts w:ascii="Times New Roman" w:eastAsia="SimHei"/>
          <w:b/>
          <w:bCs/>
          <w:color w:val="1A2330"/>
          <w:sz w:val="28"/>
          <w:szCs w:val="28"/>
        </w:rPr>
        <w:t xml:space="preserve">2.5 Fragmented Tooling Across the AI Lifecycle</w:t>
      </w:r>
      <w:bookmarkEnd w:id="100006"/>
    </w:p>
    <w:p>
      <w:pPr>
        <w:spacing w:after="80" w:line="312"/>
        <w:ind w:firstLine="480"/>
        <w:jc w:val="both"/>
      </w:pPr>
      <w:r>
        <w:rPr>
          <w:rFonts w:ascii="Times New Roman" w:eastAsia="Microsoft YaHei"/>
          <w:color w:val="000000"/>
          <w:sz w:val="24"/>
          <w:szCs w:val="24"/>
        </w:rPr>
        <w:t xml:space="preserve">Organizations deploying AI workflows today cobble together 5-8 different tools: a workflow engine for orchestration, an LLM API provider for inference, a vector database for RAG, a monitoring platform for observability, an approval system for human review, a CRM for customer context, and custom integration code to glue them all together. This fragmentation increases operational complexity, creates data silos, makes debugging difficult when a workflow fails, and multiplies security surface area. Teams spend more time maintaining integration glue than building value. Organizations need a unified platform that provides all these capabilities as composable building blocks within a single visual environment.</w:t>
      </w:r>
    </w:p>
    <w:p>
      <w:pPr>
        <w:pStyle w:val="Heading1"/>
        <w:spacing w:after="160" w:before="360"/>
      </w:pPr>
      <w:bookmarkStart w:id="100007" w:name="_Toc100007"/>
      <w:r>
        <w:rPr>
          <w:rFonts w:ascii="Times New Roman" w:eastAsia="SimHei"/>
          <w:b/>
          <w:bCs/>
          <w:color w:val="1A2330"/>
          <w:sz w:val="32"/>
          <w:szCs w:val="32"/>
        </w:rPr>
        <w:t xml:space="preserve">3. Solution Overview</w:t>
      </w:r>
      <w:bookmarkEnd w:id="100007"/>
    </w:p>
    <w:p>
      <w:pPr>
        <w:spacing w:after="80" w:line="312"/>
        <w:ind w:firstLine="480"/>
        <w:jc w:val="both"/>
      </w:pPr>
      <w:r>
        <w:rPr>
          <w:rFonts w:ascii="Times New Roman" w:eastAsia="Microsoft YaHei"/>
          <w:color w:val="000000"/>
          <w:sz w:val="24"/>
          <w:szCs w:val="24"/>
        </w:rPr>
        <w:t xml:space="preserve">OpenWorkflow addresses each of these problems through an integrated platform built on five core pillars: visual workflow orchestration with 24 composable node types, confidence-based AI routing with automatic escalation, a persistent customer memory layer, first-class human-in-the-loop approval gates, and an AI Copilot for natural language workflow generation. The platform is architected as a single application with a React Flow visual canvas, a real-time execution engine, a comprehensive REST API layer, and production-grade infrastructure including authentication, rate limiting, Docker deployment, and CI/CD pipelines.</w:t>
      </w:r>
    </w:p>
    <w:p>
      <w:pPr>
        <w:pStyle w:val="Heading2"/>
        <w:spacing w:after="120" w:before="240"/>
      </w:pPr>
      <w:bookmarkStart w:id="100008" w:name="_Toc100008"/>
      <w:r>
        <w:rPr>
          <w:rFonts w:ascii="Times New Roman" w:eastAsia="SimHei"/>
          <w:b/>
          <w:bCs/>
          <w:color w:val="1A2330"/>
          <w:sz w:val="28"/>
          <w:szCs w:val="28"/>
        </w:rPr>
        <w:t xml:space="preserve">3.1 Visual Workflow Canvas with 24 Node Types</w:t>
      </w:r>
      <w:bookmarkEnd w:id="100008"/>
    </w:p>
    <w:p>
      <w:pPr>
        <w:spacing w:after="80" w:line="312"/>
        <w:ind w:firstLine="480"/>
        <w:jc w:val="both"/>
      </w:pPr>
      <w:r>
        <w:rPr>
          <w:rFonts w:ascii="Times New Roman" w:eastAsia="Microsoft YaHei"/>
          <w:color w:val="000000"/>
          <w:sz w:val="24"/>
          <w:szCs w:val="24"/>
        </w:rPr>
        <w:t xml:space="preserve">The workflow canvas provides a drag-and-drop interface where users assemble processes from five categories of purpose-built nodes. Each node is a self-contained unit of work with configurable parameters, input/output handles, and visual feedback during execution. The node taxonomy covers the full spectrum of workflow operations, eliminating the need for custom code in the vast majority of use cases.</w:t>
      </w:r>
    </w:p>
    <w:p>
      <w:pPr>
        <w:spacing w:after="60"/>
      </w:pP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Category</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Node Types</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Purpose</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Trigger (8)</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API, Webhook, Schedule, Email, Form, Voice Call, WhatsApp, Subflow</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Initiate workflows from external events, schedules, or parent workflows</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Logic (5)</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Condition, Switch, Loop, Retry, Delay</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Control flow with branching, iteration, error recovery, and timing</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AI (5)</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LLM, Agent, RAG, Classifier, Summarizer</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AI reasoning, tool use, knowledge retrieval, classification, and summarization</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Human (3)</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Approval, Review, Escalation</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Human judgment gates with approve/reject, review, and escalation paths</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Action (6)</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CRM, Email, Slack, WhatsApp, Database, Trigger Workflow</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Execute actions across business systems and trigger sub-workflows</w:t>
            </w:r>
          </w:p>
        </w:tc>
      </w:tr>
    </w:tbl>
    <w:p>
      <w:pPr>
        <w:pStyle w:val="Heading2"/>
        <w:spacing w:after="120" w:before="240"/>
      </w:pPr>
      <w:bookmarkStart w:id="100009" w:name="_Toc100009"/>
      <w:r>
        <w:rPr>
          <w:rFonts w:ascii="Times New Roman" w:eastAsia="SimHei"/>
          <w:b/>
          <w:bCs/>
          <w:color w:val="1A2330"/>
          <w:sz w:val="28"/>
          <w:szCs w:val="28"/>
        </w:rPr>
        <w:t xml:space="preserve">3.2 Confidence-Based AI Routing</w:t>
      </w:r>
      <w:bookmarkEnd w:id="100009"/>
    </w:p>
    <w:p>
      <w:pPr>
        <w:spacing w:after="80" w:line="312"/>
        <w:ind w:firstLine="480"/>
        <w:jc w:val="both"/>
      </w:pPr>
      <w:r>
        <w:rPr>
          <w:rFonts w:ascii="Times New Roman" w:eastAsia="Microsoft YaHei"/>
          <w:color w:val="000000"/>
          <w:sz w:val="24"/>
          <w:szCs w:val="24"/>
        </w:rPr>
        <w:t xml:space="preserve">Every AI node in OpenWorkflow produces not just an output but a confidence score between 0 and 1, alongside a configurable threshold. When confidence exceeds the threshold, the workflow follows the high-confidence output path, allowing automated processing. When confidence falls below the threshold, the workflow automatically routes to the low-confidence path, which typically leads to a human approval or escalation node. This is the fundamental architectural difference between OpenWorkflow and conventional automation: AI self-assessment is baked into the execution model, not bolted on as after-the-fact monitoring. In practice, this means an AI Classifier that categorizes an incoming support ticket as a billing issue with 92% confidence can auto-route it to the billing team, while the same classifier producing 55% confidence on a different ticket will escalate it to a human triage agent who can make the correct call.</w:t>
      </w:r>
    </w:p>
    <w:p>
      <w:pPr>
        <w:spacing w:after="80" w:line="312"/>
        <w:ind w:firstLine="480"/>
        <w:jc w:val="both"/>
      </w:pPr>
      <w:r>
        <w:rPr>
          <w:rFonts w:ascii="Times New Roman" w:eastAsia="Microsoft YaHei"/>
          <w:color w:val="000000"/>
          <w:sz w:val="24"/>
          <w:szCs w:val="24"/>
        </w:rPr>
        <w:t xml:space="preserve">This routing mechanism operates at the edge level of the React Flow canvas. Each AI node has two output handles, labeled High Confidence and Low Confidence, visually connecting to different downstream paths. During execution, the engine evaluates the confidence score against the node's threshold and selects the appropriate handle, making the routing decision transparent and auditable in the execution replay timeline. The result is a workflow that is simultaneously more automated (high-confidence cases bypass human review) and more reliable (low-confidence cases always receive human oversight).</w:t>
      </w:r>
    </w:p>
    <w:p>
      <w:pPr>
        <w:pStyle w:val="Heading2"/>
        <w:spacing w:after="120" w:before="240"/>
      </w:pPr>
      <w:bookmarkStart w:id="100010" w:name="_Toc100010"/>
      <w:r>
        <w:rPr>
          <w:rFonts w:ascii="Times New Roman" w:eastAsia="SimHei"/>
          <w:b/>
          <w:bCs/>
          <w:color w:val="1A2330"/>
          <w:sz w:val="28"/>
          <w:szCs w:val="28"/>
        </w:rPr>
        <w:t xml:space="preserve">3.3 Persistent Customer Memory Layer</w:t>
      </w:r>
      <w:bookmarkEnd w:id="100010"/>
    </w:p>
    <w:p>
      <w:pPr>
        <w:spacing w:after="80" w:line="312"/>
        <w:ind w:firstLine="480"/>
        <w:jc w:val="both"/>
      </w:pPr>
      <w:r>
        <w:rPr>
          <w:rFonts w:ascii="Times New Roman" w:eastAsia="Microsoft YaHei"/>
          <w:color w:val="000000"/>
          <w:sz w:val="24"/>
          <w:szCs w:val="24"/>
        </w:rPr>
        <w:t xml:space="preserve">The Memory Layer gives AI Employees the contextual continuity that distinguishes an experienced human agent from a new hire. It is implemented as a set of database models, CustomerProfile, Interaction, SentimentLog, MemoryNote, and CustomerSegment, backed by an API layer and a client-side MemoryStore singleton with LRU caching. Before any AI node executes, the engine automatically extracts the customer identifier from the input payload, fetches the full customer context from the memory layer, and injects a structured prompt into the AI node's system message. This prompt includes the customer's profile and tier, their recent interactions and sentiment trajectory, extracted knowledge such as preferences and commitments, and open tickets or unresolved issues.</w:t>
      </w:r>
    </w:p>
    <w:p>
      <w:pPr>
        <w:spacing w:after="80" w:line="312"/>
        <w:ind w:firstLine="480"/>
        <w:jc w:val="both"/>
      </w:pPr>
      <w:r>
        <w:rPr>
          <w:rFonts w:ascii="Times New Roman" w:eastAsia="Microsoft YaHei"/>
          <w:color w:val="000000"/>
          <w:sz w:val="24"/>
          <w:szCs w:val="24"/>
        </w:rPr>
        <w:t xml:space="preserve">After the AI node completes, the engine records the interaction and sentiment score back to the memory layer in a non-blocking fire-and-forget pattern, ensuring that the memory grows with each interaction without impacting workflow execution latency. The Memory Notes feature allows AI to extract and store structured knowledge about customers, categorized as preferences, facts, insights, warnings, or commitments, each with a confidence score. Over time, this creates a rich, queryable knowledge graph about each customer that makes every subsequent AI interaction more personalized and informed. The analytics dashboard provides visibility into memory utilization, including total customers, interaction volumes, sentiment distribution, and segment breakdowns.</w:t>
      </w:r>
    </w:p>
    <w:p>
      <w:pPr>
        <w:pStyle w:val="Heading2"/>
        <w:spacing w:after="120" w:before="240"/>
      </w:pPr>
      <w:bookmarkStart w:id="100011" w:name="_Toc100011"/>
      <w:r>
        <w:rPr>
          <w:rFonts w:ascii="Times New Roman" w:eastAsia="SimHei"/>
          <w:b/>
          <w:bCs/>
          <w:color w:val="1A2330"/>
          <w:sz w:val="28"/>
          <w:szCs w:val="28"/>
        </w:rPr>
        <w:t xml:space="preserve">3.4 Human-in-the-Loop Approval System</w:t>
      </w:r>
      <w:bookmarkEnd w:id="100011"/>
    </w:p>
    <w:p>
      <w:pPr>
        <w:spacing w:after="80" w:line="312"/>
        <w:ind w:firstLine="480"/>
        <w:jc w:val="both"/>
      </w:pPr>
      <w:r>
        <w:rPr>
          <w:rFonts w:ascii="Times New Roman" w:eastAsia="Microsoft YaHei"/>
          <w:color w:val="000000"/>
          <w:sz w:val="24"/>
          <w:szCs w:val="24"/>
        </w:rPr>
        <w:t xml:space="preserve">The approval system provides first-class support for the hybrid AI-human workflow pattern. When a workflow reaches an Approval node, execution pauses and a structured approval request is persisted to the database with the full execution context, the AI's recommendation, the confidence score, and the relevant customer data. The approval request includes an SLA deadline, an assignee, and a status lifecycle that tracks pending, approved, rejected, and expired states. Human reviewers can see the queue of pending approvals in the Approval Queue panel, review the AI's reasoning and context, and approve or reject with optional notes.</w:t>
      </w:r>
    </w:p>
    <w:p>
      <w:pPr>
        <w:spacing w:after="80" w:line="312"/>
        <w:ind w:firstLine="480"/>
        <w:jc w:val="both"/>
      </w:pPr>
      <w:r>
        <w:rPr>
          <w:rFonts w:ascii="Times New Roman" w:eastAsia="Microsoft YaHei"/>
          <w:color w:val="000000"/>
          <w:sz w:val="24"/>
          <w:szCs w:val="24"/>
        </w:rPr>
        <w:t xml:space="preserve">When a human approves, the workflow resumes on the approved output handle and continues with any downstream actions such as sending a response email or updating the CRM. When rejected, the workflow follows the rejected handle, which typically routes to a revision or escalation path. The Review node provides a lighter-weight variant where a human can provide feedback or corrections without a binary approve/reject decision. The Escalation node automatically routes to a human with an error handle for cases where the escalation itself fails. All approval decisions are audit-logged, creating a complete trail of who approved what, when, and why, which is essential for compliance in regulated industries.</w:t>
      </w:r>
    </w:p>
    <w:p>
      <w:pPr>
        <w:pStyle w:val="Heading2"/>
        <w:spacing w:after="120" w:before="240"/>
      </w:pPr>
      <w:bookmarkStart w:id="100012" w:name="_Toc100012"/>
      <w:r>
        <w:rPr>
          <w:rFonts w:ascii="Times New Roman" w:eastAsia="SimHei"/>
          <w:b/>
          <w:bCs/>
          <w:color w:val="1A2330"/>
          <w:sz w:val="28"/>
          <w:szCs w:val="28"/>
        </w:rPr>
        <w:t xml:space="preserve">3.5 AI Copilot for Workflow Generation</w:t>
      </w:r>
      <w:bookmarkEnd w:id="100012"/>
    </w:p>
    <w:p>
      <w:pPr>
        <w:spacing w:after="80" w:line="312"/>
        <w:ind w:firstLine="480"/>
        <w:jc w:val="both"/>
      </w:pPr>
      <w:r>
        <w:rPr>
          <w:rFonts w:ascii="Times New Roman" w:eastAsia="Microsoft YaHei"/>
          <w:color w:val="000000"/>
          <w:sz w:val="24"/>
          <w:szCs w:val="24"/>
        </w:rPr>
        <w:t xml:space="preserve">The AI Copilot leverages large language models to dramatically reduce the barrier to workflow creation. Users can describe a process in natural language, such as Build me a customer support workflow that classifies emails, searches the knowledge base, drafts responses for high-confidence cases, and escalates to a human for low-confidence cases, and the Copilot generates a complete workflow with the appropriate nodes, connections, and configurations. The generation process is two-step: first, the system analyzes the description and either matches it to an existing template or generates a custom workflow, then the user can review, refine, and confirm the result before it is loaded onto the canvas.</w:t>
      </w:r>
    </w:p>
    <w:p>
      <w:pPr>
        <w:spacing w:after="80" w:line="312"/>
        <w:ind w:firstLine="480"/>
        <w:jc w:val="both"/>
      </w:pPr>
      <w:r>
        <w:rPr>
          <w:rFonts w:ascii="Times New Roman" w:eastAsia="Microsoft YaHei"/>
          <w:color w:val="000000"/>
          <w:sz w:val="24"/>
          <w:szCs w:val="24"/>
        </w:rPr>
        <w:t xml:space="preserve">The Copilot also provides an interactive conversational interface where users can ask questions about workflow design, request modifications to existing workflows, and get guidance on best practices. It maintains context of the current workflow state, including the nodes on the canvas and their configurations, enabling suggestions that are specific to the user's current work. A library of six pre-built templates covering common AI Employee patterns, Customer Support Agent, Sales Development Representative, Incident Commander, Content Reviewer, AI Support Employee, and SDR Employee, provides starting points that users can customize. The Template Gallery displays these with difficulty ratings and category tags, and the Workflow Generator provides a guided two-step flow with preview and refinement.</w:t>
      </w:r>
    </w:p>
    <w:p>
      <w:pPr>
        <w:pStyle w:val="Heading1"/>
        <w:spacing w:after="160" w:before="360"/>
      </w:pPr>
      <w:bookmarkStart w:id="100013" w:name="_Toc100013"/>
      <w:r>
        <w:rPr>
          <w:rFonts w:ascii="Times New Roman" w:eastAsia="SimHei"/>
          <w:b/>
          <w:bCs/>
          <w:color w:val="1A2330"/>
          <w:sz w:val="32"/>
          <w:szCs w:val="32"/>
        </w:rPr>
        <w:t xml:space="preserve">4. Feature Specifications</w:t>
      </w:r>
      <w:bookmarkEnd w:id="100013"/>
    </w:p>
    <w:p>
      <w:pPr>
        <w:pStyle w:val="Heading2"/>
        <w:spacing w:after="120" w:before="240"/>
      </w:pPr>
      <w:bookmarkStart w:id="100014" w:name="_Toc100014"/>
      <w:r>
        <w:rPr>
          <w:rFonts w:ascii="Times New Roman" w:eastAsia="SimHei"/>
          <w:b/>
          <w:bCs/>
          <w:color w:val="1A2330"/>
          <w:sz w:val="28"/>
          <w:szCs w:val="28"/>
        </w:rPr>
        <w:t xml:space="preserve">4.1 Workflow Execution Engine</w:t>
      </w:r>
      <w:bookmarkEnd w:id="100014"/>
    </w:p>
    <w:p>
      <w:pPr>
        <w:spacing w:after="80" w:line="312"/>
        <w:ind w:firstLine="480"/>
        <w:jc w:val="both"/>
      </w:pPr>
      <w:r>
        <w:rPr>
          <w:rFonts w:ascii="Times New Roman" w:eastAsia="Microsoft YaHei"/>
          <w:color w:val="000000"/>
          <w:sz w:val="24"/>
          <w:szCs w:val="24"/>
        </w:rPr>
        <w:t xml:space="preserve">The execution engine implements breadth-first traversal with a maximum depth of 50 to prevent infinite loops. Each node execution follows a consistent lifecycle: the engine resolves input variables from predecessor outputs using the template syntax that allows referencing any node's output fields, executes the node's logic, captures the output including confidence scores for AI nodes, and propagates results to downstream nodes. The engine supports variable resolution with nested object access, condition evaluation with comparison operators including equality, inequality, greater than, less than, and logical OR/AND, and automatic retry with exponential backoff for transient failures. Execution state is batched at 80ms intervals to prevent React render storms during rapid workflow execution, and a 60-second safety timeout automatically force-resets any stalled execution.</w:t>
      </w:r>
    </w:p>
    <w:p>
      <w:pPr>
        <w:pStyle w:val="Heading2"/>
        <w:spacing w:after="120" w:before="240"/>
      </w:pPr>
      <w:bookmarkStart w:id="100015" w:name="_Toc100015"/>
      <w:r>
        <w:rPr>
          <w:rFonts w:ascii="Times New Roman" w:eastAsia="SimHei"/>
          <w:b/>
          <w:bCs/>
          <w:color w:val="1A2330"/>
          <w:sz w:val="28"/>
          <w:szCs w:val="28"/>
        </w:rPr>
        <w:t xml:space="preserve">4.2 Trigger Infrastructure</w:t>
      </w:r>
      <w:bookmarkEnd w:id="100015"/>
    </w:p>
    <w:p>
      <w:pPr>
        <w:spacing w:after="80" w:line="312"/>
        <w:ind w:firstLine="480"/>
        <w:jc w:val="both"/>
      </w:pPr>
      <w:r>
        <w:rPr>
          <w:rFonts w:ascii="Times New Roman" w:eastAsia="Microsoft YaHei"/>
          <w:color w:val="000000"/>
          <w:sz w:val="24"/>
          <w:szCs w:val="24"/>
        </w:rPr>
        <w:t xml:space="preserve">OpenWorkflow supports four trigger mechanisms to initiate workflows from external events. Webhook triggers provide unique URL endpoints with optional HMAC signature verification for secure payload reception, tracking last triggered time and cumulative trigger count. Schedule triggers use node-cron for cron-expression-based scheduling with configurable timezones, loading active schedules from the database on server startup and logging every invocation. Email triggers use the imapflow library for real IMAP connectivity with AES-256-CBC encrypted password storage, configurable polling intervals, and MIME body extraction. Form triggers generate unique form endpoints that accept POST submissions, enabling front-end forms or external applications to kick off workflows. All trigger invocations are logged to the TriggerLog model with full payload, status, duration, and error information.</w:t>
      </w:r>
    </w:p>
    <w:p>
      <w:pPr>
        <w:pStyle w:val="Heading2"/>
        <w:spacing w:after="120" w:before="240"/>
      </w:pPr>
      <w:bookmarkStart w:id="100016" w:name="_Toc100016"/>
      <w:r>
        <w:rPr>
          <w:rFonts w:ascii="Times New Roman" w:eastAsia="SimHei"/>
          <w:b/>
          <w:bCs/>
          <w:color w:val="1A2330"/>
          <w:sz w:val="28"/>
          <w:szCs w:val="28"/>
        </w:rPr>
        <w:t xml:space="preserve">4.3 Integration Connectors</w:t>
      </w:r>
      <w:bookmarkEnd w:id="100016"/>
    </w:p>
    <w:p>
      <w:pPr>
        <w:spacing w:after="80" w:line="312"/>
        <w:ind w:firstLine="480"/>
        <w:jc w:val="both"/>
      </w:pPr>
      <w:r>
        <w:rPr>
          <w:rFonts w:ascii="Times New Roman" w:eastAsia="Microsoft YaHei"/>
          <w:color w:val="000000"/>
          <w:sz w:val="24"/>
          <w:szCs w:val="24"/>
        </w:rPr>
        <w:t xml:space="preserve">Five pre-built integration connectors provide out-of-the-box connectivity to common business systems: Gmail for email actions, Slack for messaging, Zendesk for ticket management, HubSpot for CRM operations, and Outlook for enterprise email. Each connector supports both real execution when API credentials are configured and simulated execution for development and demonstration. The Integration Credential model securely stores OAuth tokens, API keys, and refresh tokens with expiration tracking. The MCP (Model Context Protocol) integration layer provides eight built-in tools, web_search, calculator, http_request, file_read, code_execute, database_query, email_send, and slack_message, that AI Agent nodes can invoke during execution. MCP servers can be added dynamically via the API with support for SSE, streamable HTTP, and stdio transport types.</w:t>
      </w:r>
    </w:p>
    <w:p>
      <w:pPr>
        <w:pStyle w:val="Heading2"/>
        <w:spacing w:after="120" w:before="240"/>
      </w:pPr>
      <w:bookmarkStart w:id="100017" w:name="_Toc100017"/>
      <w:r>
        <w:rPr>
          <w:rFonts w:ascii="Times New Roman" w:eastAsia="SimHei"/>
          <w:b/>
          <w:bCs/>
          <w:color w:val="1A2330"/>
          <w:sz w:val="28"/>
          <w:szCs w:val="28"/>
        </w:rPr>
        <w:t xml:space="preserve">4.4 Analytics and Monitoring Dashboard</w:t>
      </w:r>
      <w:bookmarkEnd w:id="100017"/>
    </w:p>
    <w:p>
      <w:pPr>
        <w:spacing w:after="80" w:line="312"/>
        <w:ind w:firstLine="480"/>
        <w:jc w:val="both"/>
      </w:pPr>
      <w:r>
        <w:rPr>
          <w:rFonts w:ascii="Times New Roman" w:eastAsia="Microsoft YaHei"/>
          <w:color w:val="000000"/>
          <w:sz w:val="24"/>
          <w:szCs w:val="24"/>
        </w:rPr>
        <w:t xml:space="preserve">The dashboard at /dashboard provides real-time visibility into workflow performance through eight metric cards (Resolved Today, Escalated, Avg Confidence, Total Cost, Success Rate, Avg Runtime, Satisfaction, AI Nodes Run) and four chart tabs. The Overview tab shows a run status pie chart and node type breakdown bar chart. The Cost and Duration tab displays cost-per-run and runtime-per-run area charts. The Confidence tab provides a confidence distribution pie chart and routing guide with progress bars showing high, medium, and low confidence distributions. The Activity tab presents a recent execution log with status badges, step counts, and costs. Memory analytics provide additional visibility into customer intelligence with total counts, distributions by tier and type, seven-day activity trends, top customers, and sentiment time series.</w:t>
      </w:r>
    </w:p>
    <w:p>
      <w:pPr>
        <w:pStyle w:val="Heading2"/>
        <w:spacing w:after="120" w:before="240"/>
      </w:pPr>
      <w:bookmarkStart w:id="100018" w:name="_Toc100018"/>
      <w:r>
        <w:rPr>
          <w:rFonts w:ascii="Times New Roman" w:eastAsia="SimHei"/>
          <w:b/>
          <w:bCs/>
          <w:color w:val="1A2330"/>
          <w:sz w:val="28"/>
          <w:szCs w:val="28"/>
        </w:rPr>
        <w:t xml:space="preserve">4.5 Version Control and Audit Trail</w:t>
      </w:r>
      <w:bookmarkEnd w:id="100018"/>
    </w:p>
    <w:p>
      <w:pPr>
        <w:spacing w:after="80" w:line="312"/>
        <w:ind w:firstLine="480"/>
        <w:jc w:val="both"/>
      </w:pPr>
      <w:r>
        <w:rPr>
          <w:rFonts w:ascii="Times New Roman" w:eastAsia="Microsoft YaHei"/>
          <w:color w:val="000000"/>
          <w:sz w:val="24"/>
          <w:szCs w:val="24"/>
        </w:rPr>
        <w:t xml:space="preserve">Every workflow save creates an immutable version entry in the WorkflowVersion model, capturing the complete snapshot of nodes, edges, and configuration at that point in time. Rollback operations never modify historical versions; instead, they create a new version entry with the restored snapshot, maintaining a complete and tamper-proof history. The Version History panel displays the timeline of all versions with their names, change notes, and timestamps, and one-click rollback restores any previous version. The AuditLog model records all significant actions including workflow CRUD, execution triggers, approval decisions, and configuration changes, with the user ID, IP address, user agent, and detailed metadata for each action.</w:t>
      </w:r>
    </w:p>
    <w:p>
      <w:pPr>
        <w:pStyle w:val="Heading1"/>
        <w:spacing w:after="160" w:before="360"/>
      </w:pPr>
      <w:bookmarkStart w:id="100019" w:name="_Toc100019"/>
      <w:r>
        <w:rPr>
          <w:rFonts w:ascii="Times New Roman" w:eastAsia="SimHei"/>
          <w:b/>
          <w:bCs/>
          <w:color w:val="1A2330"/>
          <w:sz w:val="32"/>
          <w:szCs w:val="32"/>
        </w:rPr>
        <w:t xml:space="preserve">5. Technical Architecture</w:t>
      </w:r>
      <w:bookmarkEnd w:id="100019"/>
    </w:p>
    <w:p>
      <w:pPr>
        <w:pStyle w:val="Heading2"/>
        <w:spacing w:after="120" w:before="240"/>
      </w:pPr>
      <w:bookmarkStart w:id="100020" w:name="_Toc100020"/>
      <w:r>
        <w:rPr>
          <w:rFonts w:ascii="Times New Roman" w:eastAsia="SimHei"/>
          <w:b/>
          <w:bCs/>
          <w:color w:val="1A2330"/>
          <w:sz w:val="28"/>
          <w:szCs w:val="28"/>
        </w:rPr>
        <w:t xml:space="preserve">5.1 Technology Stack</w:t>
      </w:r>
      <w:bookmarkEnd w:id="100020"/>
    </w:p>
    <w:p>
      <w:pPr>
        <w:spacing w:after="60"/>
      </w:pP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Layer</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Technology</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Purpose</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Frontend</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Next.js 16, React 19, TypeScript</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Full-stack React framework with SSR</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Visual Canvas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@xyflow/react v12</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Drag-and-drop workflow canvas</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State Management</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Zustand (4 stores)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Client-side state with persistence</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UI Components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shadcn/ui (40+ components)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Consistent design system</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Database</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Prisma ORM (SQLite/PostgreSQL)</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Type-safe database access</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Authentication</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NextAuth.js v5 (JWT)</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Credentials + OAuth providers</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AI Inference</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z-ai-web-dev-sdk</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LLM completions and embeddings</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Charts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Recharts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Dashboard visualization</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Scheduling</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node-cron</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Cron trigger execution</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Email Listener</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imapflow</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IMAP email trigger polling</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Logging</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Pino</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Structured logging</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Deployment</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Docker Compose + GitHub Actions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Containerized deployment + CI/CD</w:t>
            </w:r>
          </w:p>
        </w:tc>
      </w:tr>
    </w:tbl>
    <w:p>
      <w:pPr>
        <w:pStyle w:val="Heading2"/>
        <w:spacing w:after="120" w:before="240"/>
      </w:pPr>
      <w:bookmarkStart w:id="100021" w:name="_Toc100021"/>
      <w:r>
        <w:rPr>
          <w:rFonts w:ascii="Times New Roman" w:eastAsia="SimHei"/>
          <w:b/>
          <w:bCs/>
          <w:color w:val="1A2330"/>
          <w:sz w:val="28"/>
          <w:szCs w:val="28"/>
        </w:rPr>
        <w:t xml:space="preserve">5.2 Database Schema</w:t>
      </w:r>
      <w:bookmarkEnd w:id="100021"/>
    </w:p>
    <w:p>
      <w:pPr>
        <w:spacing w:after="80" w:line="312"/>
        <w:ind w:firstLine="480"/>
        <w:jc w:val="both"/>
      </w:pPr>
      <w:r>
        <w:rPr>
          <w:rFonts w:ascii="Times New Roman" w:eastAsia="Microsoft YaHei"/>
          <w:color w:val="000000"/>
          <w:sz w:val="24"/>
          <w:szCs w:val="24"/>
        </w:rPr>
        <w:t xml:space="preserve">The Prisma schema defines 20 models organized into five domains. The Auth domain includes User, Account, Session, and VerificationToken models supporting NextAuth.js v5 with JWT session strategy and role-based access control. The Workflow domain includes Workflow, XmlNode, Edge, Execution, and WorkflowVersion models supporting full CRUD, versioned snapshots, and execution tracking with step-level detail. The Memory domain includes CustomerProfile, Interaction, SentimentLog, MemoryNote, and CustomerSegment models providing comprehensive customer intelligence. The Trigger domain includes WebhookTrigger, ScheduleTrigger, EmailTrigger, and TriggerLog models managing all trigger types and their execution history. The System domain includes MCPServer, MCPTool, ApprovalRecord, IntegrationCredential, AuditLog, Notification, and ApiKey models supporting the platform's operational infrastructure.</w:t>
      </w:r>
    </w:p>
    <w:p>
      <w:pPr>
        <w:pStyle w:val="Heading2"/>
        <w:spacing w:after="120" w:before="240"/>
      </w:pPr>
      <w:bookmarkStart w:id="100022" w:name="_Toc100022"/>
      <w:r>
        <w:rPr>
          <w:rFonts w:ascii="Times New Roman" w:eastAsia="SimHei"/>
          <w:b/>
          <w:bCs/>
          <w:color w:val="1A2330"/>
          <w:sz w:val="28"/>
          <w:szCs w:val="28"/>
        </w:rPr>
        <w:t xml:space="preserve">5.3 API Layer</w:t>
      </w:r>
      <w:bookmarkEnd w:id="100022"/>
    </w:p>
    <w:p>
      <w:pPr>
        <w:spacing w:after="80" w:line="312"/>
        <w:ind w:firstLine="480"/>
        <w:jc w:val="both"/>
      </w:pPr>
      <w:r>
        <w:rPr>
          <w:rFonts w:ascii="Times New Roman" w:eastAsia="Microsoft YaHei"/>
          <w:color w:val="000000"/>
          <w:sz w:val="24"/>
          <w:szCs w:val="24"/>
        </w:rPr>
        <w:t xml:space="preserve">The platform exposes over 40 REST API endpoints organized into nine functional groups. Workflow endpoints handle CRUD, execution, and versioning. Execution endpoints support listing, retrieval, retry, and persistence. AI endpoints provide LLM completions and Copilot interactions. Memory endpoints manage customer profiles, interactions, sentiment, notes, search, extraction, analytics, and segments. Trigger endpoints manage webhook, schedule, email, and form triggers with execution logging. Integration endpoints handle connector listing, execution, credential management, and OAuth callbacks. MCP endpoints manage server registration and tool discovery. Approval and notification endpoints support human-in-the-loop workflows. Settings endpoints manage user profiles, organization configuration, API keys, notification preferences, and password changes. All API routes are protected by the proxy middleware layer which enforces rate limiting with six preset tiers and authentication checks based on route classification.</w:t>
      </w:r>
    </w:p>
    <w:p>
      <w:pPr>
        <w:pStyle w:val="Heading2"/>
        <w:spacing w:after="120" w:before="240"/>
      </w:pPr>
      <w:bookmarkStart w:id="100023" w:name="_Toc100023"/>
      <w:r>
        <w:rPr>
          <w:rFonts w:ascii="Times New Roman" w:eastAsia="SimHei"/>
          <w:b/>
          <w:bCs/>
          <w:color w:val="1A2330"/>
          <w:sz w:val="28"/>
          <w:szCs w:val="28"/>
        </w:rPr>
        <w:t xml:space="preserve">5.4 Production Infrastructure</w:t>
      </w:r>
      <w:bookmarkEnd w:id="100023"/>
    </w:p>
    <w:p>
      <w:pPr>
        <w:spacing w:after="80" w:line="312"/>
        <w:ind w:firstLine="480"/>
        <w:jc w:val="both"/>
      </w:pPr>
      <w:r>
        <w:rPr>
          <w:rFonts w:ascii="Times New Roman" w:eastAsia="Microsoft YaHei"/>
          <w:color w:val="000000"/>
          <w:sz w:val="24"/>
          <w:szCs w:val="24"/>
        </w:rPr>
        <w:t xml:space="preserve">OpenWorkflow ships with production-grade infrastructure. The Dockerfile implements a multi-stage build using node:20-alpine with bun for dependency installation and a non-root nextjs user for runtime security. Docker Compose orchestrates the full stack with the Next.js application and PostgreSQL 16, with health checks and restart policies. A development Docker Compose variant provides PostgreSQL only for local hot-reload development. The database switching scripts enable seamless migration between SQLite for development and PostgreSQL for production with a single command. Rate limiting is implemented as a sliding window algorithm with six preset tiers: API at 100 requests per minute, AI at 20, Generate at 5, Copilot at 30, Auth at 10, and Webhook at 60. All rate-limited responses include X-RateLimit headers for transparency. GitHub Actions CI/CD pipelines run lint, build, and test on every push, with deployment workflows for staging and production environments.</w:t>
      </w:r>
    </w:p>
    <w:p>
      <w:pPr>
        <w:pStyle w:val="Heading1"/>
        <w:spacing w:after="160" w:before="360"/>
      </w:pPr>
      <w:bookmarkStart w:id="100024" w:name="_Toc100024"/>
      <w:r>
        <w:rPr>
          <w:rFonts w:ascii="Times New Roman" w:eastAsia="SimHei"/>
          <w:b/>
          <w:bCs/>
          <w:color w:val="1A2330"/>
          <w:sz w:val="32"/>
          <w:szCs w:val="32"/>
        </w:rPr>
        <w:t xml:space="preserve">6. Security Architecture</w:t>
      </w:r>
      <w:bookmarkEnd w:id="100024"/>
    </w:p>
    <w:p>
      <w:pPr>
        <w:spacing w:after="80" w:line="312"/>
        <w:ind w:firstLine="480"/>
        <w:jc w:val="both"/>
      </w:pPr>
      <w:r>
        <w:rPr>
          <w:rFonts w:ascii="Times New Roman" w:eastAsia="Microsoft YaHei"/>
          <w:color w:val="000000"/>
          <w:sz w:val="24"/>
          <w:szCs w:val="24"/>
        </w:rPr>
        <w:t xml:space="preserve">Security is implemented across multiple layers. Authentication uses NextAuth.js v5 with JWT session strategy, supporting credentials-based login with SHA-256 password hashing (with bcryptjs legacy fallback), and optional GitHub and Google OAuth providers that are conditionally enabled based on environment variable presence. The proxy middleware enforces route protection by classifying all routes into public, protected-page, public-API, and protected-API categories, redirecting unauthenticated page access to the login page and returning 401 for unauthorized API requests. The trustHost configuration ensures compatibility with reverse proxy deployments behind Caddy or nginx.</w:t>
      </w:r>
    </w:p>
    <w:p>
      <w:pPr>
        <w:spacing w:after="80" w:line="312"/>
        <w:ind w:firstLine="480"/>
        <w:jc w:val="both"/>
      </w:pPr>
      <w:r>
        <w:rPr>
          <w:rFonts w:ascii="Times New Roman" w:eastAsia="Microsoft YaHei"/>
          <w:color w:val="000000"/>
          <w:sz w:val="24"/>
          <w:szCs w:val="24"/>
        </w:rPr>
        <w:t xml:space="preserve">Rate limiting protects all API endpoints with IP-based keys derived from X-Forwarded-For and X-Real-IP headers, preventing abuse at the network edge before authentication checks. Email trigger passwords are encrypted at rest using AES-256-CBC encryption. Webhook triggers support optional HMAC secret verification for payload integrity. API keys are stored using SHA-256 hash with only the key prefix retained for identification, ensuring that compromised databases cannot reveal the original keys. All approval decisions, workflow modifications, and significant actions are recorded in the AuditLog with user identity, IP address, user agent, and timestamp, providing a complete forensic trail for compliance and incident investigation.</w:t>
      </w:r>
    </w:p>
    <w:p>
      <w:pPr>
        <w:pStyle w:val="Heading1"/>
        <w:spacing w:after="160" w:before="360"/>
      </w:pPr>
      <w:bookmarkStart w:id="100025" w:name="_Toc100025"/>
      <w:r>
        <w:rPr>
          <w:rFonts w:ascii="Times New Roman" w:eastAsia="SimHei"/>
          <w:b/>
          <w:bCs/>
          <w:color w:val="1A2330"/>
          <w:sz w:val="32"/>
          <w:szCs w:val="32"/>
        </w:rPr>
        <w:t xml:space="preserve">7. Competitive Differentiation</w:t>
      </w:r>
      <w:bookmarkEnd w:id="100025"/>
    </w:p>
    <w:p>
      <w:pPr>
        <w:spacing w:after="80" w:line="312"/>
        <w:ind w:firstLine="480"/>
        <w:jc w:val="both"/>
      </w:pPr>
      <w:r>
        <w:rPr>
          <w:rFonts w:ascii="Times New Roman" w:eastAsia="Microsoft YaHei"/>
          <w:color w:val="000000"/>
          <w:sz w:val="24"/>
          <w:szCs w:val="24"/>
        </w:rPr>
        <w:t xml:space="preserve">OpenWorkflow differentiates from existing platforms through the combination of capabilities that no single competitor provides. Traditional workflow engines like Apache Airflow and n8n focus on data pipeline orchestration with limited AI integration. AI platforms like LangChain and AutoGPT provide agent frameworks but lack visual workflow design, human approval gates, and production infrastructure. Enterprise automation tools like UiPath and Automation Anywhere excel at RPA but treat AI as a peripheral feature rather than the core execution model. Customer service platforms like Zendesk and Intercom incorporate AI for triage but do not provide customizable workflow orchestration or memory persistence.</w:t>
      </w:r>
    </w:p>
    <w:p>
      <w:pPr>
        <w:spacing w:after="60"/>
      </w:pP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Capability</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OpenWorkflow</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n8n</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LangChain</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UiPath</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Visual Workflow Canvas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Yes (24 nodes)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Yes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No (code only)</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Yes</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Confidence-Based Routing</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Yes (built-in)</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No</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Manual code</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No</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Persistent Memory Layer</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Yes (5 models)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No</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External vector DB</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No</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Human-in-the-Loop</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Yes (3 node types)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Basic webhooks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No</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Basic queues</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AI Workflow Generation</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Yes (Copilot)</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No</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No</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No</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Template Marketplace</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Yes (6 templates)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Community</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No</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Yes</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MCP Integration</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Yes (8 built-in tools)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No</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Manual</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No</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Production Docker + CI/CD</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Yes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Yes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No</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Yes</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Authentication + Rate Limiting</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Yes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Basic</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No</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Enterprise only</w:t>
            </w:r>
          </w:p>
        </w:tc>
      </w:tr>
    </w:tbl>
    <w:p>
      <w:pPr>
        <w:pStyle w:val="Heading1"/>
        <w:spacing w:after="160" w:before="360"/>
      </w:pPr>
      <w:bookmarkStart w:id="100026" w:name="_Toc100026"/>
      <w:r>
        <w:rPr>
          <w:rFonts w:ascii="Times New Roman" w:eastAsia="SimHei"/>
          <w:b/>
          <w:bCs/>
          <w:color w:val="1A2330"/>
          <w:sz w:val="32"/>
          <w:szCs w:val="32"/>
        </w:rPr>
        <w:t xml:space="preserve">8. Future Roadmap</w:t>
      </w:r>
      <w:bookmarkEnd w:id="100026"/>
    </w:p>
    <w:p>
      <w:pPr>
        <w:spacing w:after="80" w:line="312"/>
        <w:ind w:firstLine="480"/>
        <w:jc w:val="both"/>
      </w:pPr>
      <w:r>
        <w:rPr>
          <w:rFonts w:ascii="Times New Roman" w:eastAsia="Microsoft YaHei"/>
          <w:color w:val="000000"/>
          <w:sz w:val="24"/>
          <w:szCs w:val="24"/>
        </w:rPr>
        <w:t xml:space="preserve">The current release establishes the core platform with visual workflow design, AI execution, memory, analytics, and production infrastructure. The next phase of development focuses on four areas: enterprise hardening, expanded intelligence, ecosystem growth, and platform scalability. Enterprise hardening includes error boundaries with auto-recovery across all pages, structured logging with OpenTelemetry integration, health check endpoints for Kubernetes readiness probes, and security headers including Content Security Policy and CSRF protection. Expanded intelligence encompasses multi-model support allowing different LLM providers per AI node, embedding-based semantic search in the memory layer for sub-millisecond customer matching, and fine-tuning integration for domain-specific classification models. Ecosystem growth includes a public template marketplace with community contributions, additional integration connectors for Salesforce, Jira, and Microsoft Teams, and a public API with Swagger documentation. Platform scalability encompasses multi-tenancy with team management and role-based access, horizontal scaling with Redis-backed session and rate limit stores, and workflow execution on serverless infrastructure for cost optimization.</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Microsoft YaHei"/>
        <w:color w:val="607080"/>
        <w:sz w:val="18"/>
        <w:szCs w:val="18"/>
      </w:rPr>
      <w:t xml:space="preserve">OpenWorkflow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2026-06-09T16:03:43.818Z</dcterms:created>
  <dcterms:modified xsi:type="dcterms:W3CDTF">2026-06-09T16:03:43.819Z</dcterms:modified>
</cp:coreProperties>
</file>

<file path=docProps/custom.xml><?xml version="1.0" encoding="utf-8"?>
<Properties xmlns="http://schemas.openxmlformats.org/officeDocument/2006/custom-properties" xmlns:vt="http://schemas.openxmlformats.org/officeDocument/2006/docPropsVTypes"/>
</file>