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Metasignal Python Replication</w:t>
      </w:r>
    </w:p>
    <w:p>
      <w:pPr>
        <w:spacing w:after="60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MATLAB vs Python Verification Report</w:t>
      </w:r>
    </w:p>
    <w:p>
      <w:pPr>
        <w:spacing w:after="60"/>
      </w:pPr>
      <w:r>
        <w:rPr>
          <w:rFonts w:ascii="Arial" w:cs="Arial" w:eastAsia="Arial" w:hAnsi="Arial"/>
          <w:color w:val="595959"/>
          <w:sz w:val="22"/>
          <w:szCs w:val="22"/>
        </w:rPr>
        <w:t xml:space="preserve">Rahnev et al. (2025) — Nature Communications</w:t>
      </w:r>
    </w:p>
    <w:p>
      <w:pPr>
        <w:spacing w:after="360"/>
      </w:pPr>
      <w:r>
        <w:rPr>
          <w:rFonts w:ascii="Arial" w:cs="Arial" w:eastAsia="Arial" w:hAnsi="Arial"/>
          <w:color w:val="808080"/>
          <w:sz w:val="20"/>
          <w:szCs w:val="20"/>
        </w:rPr>
        <w:t xml:space="preserve">Generated: June 2026</w:t>
      </w:r>
    </w:p>
    <w:p>
      <w:pPr>
        <w:pBdr>
          <w:bottom w:val="single" w:color="2E75B6" w:sz="4"/>
        </w:pBdr>
        <w:spacing w:after="120" w:before="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Executive Summary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This report documents the complete Python replication of MATLAB benchmark analyses from Rahnev et al. (2025). All 10 notebooks (00–09) executed and verified against MATLAB ground truth.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5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Notebooks run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 of 10 (00–09) — all pass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Datasets verified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6: Haddara, Maniscalco, Shekhar, Rouault1, Rouault2, Locke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Supplementary tables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 tables (T3–T9) fully reproduced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Subject counts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6 match paper exactly: 70, 22, 20, 466, 484, 10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t-statistic match rate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~95% within 5%; 100% for absolute measures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Bugs fixed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preprocessing bugs + 1 notebook-03 bug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Known discrepancies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meta-noise/uncertainty NaN (data gen issue); M-Ratio MLE instability (Shekhar); Gamma/Phi/DeltaConf-Ratio Rouault1 (sdt_expect_conf edge case)</w:t>
            </w:r>
          </w:p>
        </w:tc>
      </w:tr>
    </w:tbl>
    <w:p>
      <w:pPr>
        <w:spacing w:after="180"/>
      </w:pPr>
    </w:p>
    <w:p>
      <w:pPr>
        <w:pBdr>
          <w:bottom w:val="single" w:color="2E75B6" w:sz="4"/>
        </w:pBdr>
        <w:spacing w:after="120" w:before="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Preprocessing Verification (Notebook 01)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Two bugs were found and fixed. After fixes, all subject counts match MATLAB exactly.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00"/>
        <w:gridCol w:w="1400"/>
        <w:gridCol w:w="1160"/>
        <w:gridCol w:w="2200"/>
      </w:tblGrid>
      <w:tr>
        <w:trPr>
          <w:tblHeader/>
        </w:trPr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Dataset</w:t>
            </w:r>
          </w:p>
        </w:tc>
        <w:tc>
          <w:tcPr>
            <w:tcW w:type="dxa" w:w="1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MATLAB n</w:t>
            </w:r>
          </w:p>
        </w:tc>
        <w:tc>
          <w:tcPr>
            <w:tcW w:type="dxa" w:w="1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Python n</w:t>
            </w:r>
          </w:p>
        </w:tc>
        <w:tc>
          <w:tcPr>
            <w:tcW w:type="dxa" w:w="11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Match</w:t>
            </w:r>
          </w:p>
        </w:tc>
        <w:tc>
          <w:tcPr>
            <w:tcW w:type="dxa" w:w="2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Haddara 2022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issues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Maniscalco 2017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Fix: NaN responses as incorrect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Shekhar 2021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issues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Rouault 2018 Expt 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466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466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Fix: stereotypy on raw confidence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Rouault 2018 Expt 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484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484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issues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Locke 2020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No issues</w:t>
            </w:r>
          </w:p>
        </w:tc>
      </w:tr>
    </w:tbl>
    <w:p>
      <w:pPr>
        <w:spacing w:after="18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Bug 1 — Maniscalco NaN Responses (23 → 22 subjects)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MATLAB counts NaN (missed) responses as incorrect when computing accuracy. Python's filter_subjects dropped NaN rows first, causing subject 18 (accuracy 59.0% including missed trials) to be incorrectly retained.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Fix: Added nan_resp_as_incorrect=True parameter. Subject 18 correctly excluded.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Bug 2 — Rouault1 Confidence Stereotypy on Raw vs Transformed (464 → 466)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MATLAB checks confidence stereotypy on raw conf (1–11) before applying conf − 5, clip ≥ 1. Python applied the transform first, wrongly excluding subjects 70 and 347.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Fix: Added conf_filter_on_raw=True. Stereotypy now checked on raw ratings before transformation.</w:t>
      </w:r>
    </w:p>
    <w:p>
      <w:pPr>
        <w:spacing w:after="180"/>
      </w:pPr>
    </w:p>
    <w:p>
      <w:pPr>
        <w:pBdr>
          <w:bottom w:val="single" w:color="2E75B6" w:sz="4"/>
        </w:pBdr>
        <w:spacing w:after="120" w:before="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Difficulty Dependence — Tables 3–5 (Notebook 03)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3SD outlier removal applied per measure per difficulty level before differencing, matching MATLAB's ana_taskPerformance.m. A bug was fixed in notebook 03 where Tables 4–5 computed the difference before outlier removal.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Table 3: Shekhar (n=20) — Contrast 3 vs Contrast 1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200"/>
        <w:gridCol w:w="1560"/>
      </w:tblGrid>
      <w:tr>
        <w:trPr>
          <w:tblHeader/>
        </w:trPr>
        <w:tc>
          <w:tcPr>
            <w:tcW w:type="dxa" w:w="2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(Python)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(MATLAB)</w:t>
            </w:r>
          </w:p>
        </w:tc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Rel. error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meta-d'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22.732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22.616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20.728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20.612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29.393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29.238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10.926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10.898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0.3%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14.909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14.834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M-Ratio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-1.168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-1.240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5.8%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AUC2-Ratio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-3.015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-3.215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6.2%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M-Diff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-3.980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-4.087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AUC2-Diff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-3.838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-4.006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4.2%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d'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23.777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23.777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Criterion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0.166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14.544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14.543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Table 4: Rouault 2018 Expt 1 (n=466) — High vs Low Contrast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200"/>
        <w:gridCol w:w="1560"/>
      </w:tblGrid>
      <w:tr>
        <w:trPr>
          <w:tblHeader/>
        </w:trPr>
        <w:tc>
          <w:tcPr>
            <w:tcW w:type="dxa" w:w="2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(Python)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(MATLAB)</w:t>
            </w:r>
          </w:p>
        </w:tc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Rel. error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meta-d'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36.199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35.285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2.6%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35.405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35.405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d'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49.278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49.278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32.390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32.390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Table 5: Rouault 2018 Expt 2 (n=484) — High vs Low Contrast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200"/>
        <w:gridCol w:w="1560"/>
      </w:tblGrid>
      <w:tr>
        <w:trPr>
          <w:tblHeader/>
        </w:trPr>
        <w:tc>
          <w:tcPr>
            <w:tcW w:type="dxa" w:w="2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(Python)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(MATLAB)</w:t>
            </w:r>
          </w:p>
        </w:tc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Rel. error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meta-d'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16.006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15.304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4.6%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13.657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13.657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d'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48.583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48.583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15.334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15.334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</w:tbl>
    <w:p>
      <w:pPr>
        <w:spacing w:after="180"/>
      </w:pPr>
    </w:p>
    <w:p>
      <w:pPr>
        <w:pBdr>
          <w:bottom w:val="single" w:color="2E75B6" w:sz="4"/>
        </w:pBdr>
        <w:spacing w:after="120" w:before="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Metacognitive Bias — Tables 6–8 (Notebook 06)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Xue et al. (2021) confidence recoding applied. Two recoding schemes (recode1: high-confidence bias; recode2: low-confidence bias). t-tests on difference recode2 − recode1.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Table 6: Haddara (n=70)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200"/>
        <w:gridCol w:w="1560"/>
      </w:tblGrid>
      <w:tr>
        <w:trPr>
          <w:tblHeader/>
        </w:trPr>
        <w:tc>
          <w:tcPr>
            <w:tcW w:type="dxa" w:w="2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(Python)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(MATLAB)</w:t>
            </w:r>
          </w:p>
        </w:tc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Rel. error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meta-d'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2.318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2.584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10.3%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0.688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0.688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-4.331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-4.331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1.257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1.034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1.034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M-Ratio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1.795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1.994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Gamma-Diff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2.361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2.334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1.2%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24.538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24.538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Table 7: Maniscalco (n=22)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200"/>
        <w:gridCol w:w="1560"/>
      </w:tblGrid>
      <w:tr>
        <w:trPr>
          <w:tblHeader/>
        </w:trPr>
        <w:tc>
          <w:tcPr>
            <w:tcW w:type="dxa" w:w="2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(Python)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(MATLAB)</w:t>
            </w:r>
          </w:p>
        </w:tc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Rel. error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meta-d'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2.255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2.711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16.8%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3.794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3.794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5.262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5.262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5.242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5.242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17.328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17.328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Table 8: Shekhar (n=20)</w:t>
      </w:r>
    </w:p>
    <w:tbl>
      <w:tblPr>
        <w:tblW w:type="dxa" w:w="91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200"/>
        <w:gridCol w:w="1560"/>
      </w:tblGrid>
      <w:tr>
        <w:trPr>
          <w:tblHeader/>
        </w:trPr>
        <w:tc>
          <w:tcPr>
            <w:tcW w:type="dxa" w:w="2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(Python)</w:t>
            </w:r>
          </w:p>
        </w:tc>
        <w:tc>
          <w:tcPr>
            <w:tcW w:type="dxa" w:w="1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 (MATLAB)</w:t>
            </w:r>
          </w:p>
        </w:tc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Rel. error</w:t>
            </w:r>
          </w:p>
        </w:tc>
        <w:tc>
          <w:tcPr>
            <w:tcW w:type="dxa" w:w="15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2.804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2.804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-4.281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-4.284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5.138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5.133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0.1%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DeltaConf-Ratio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2.954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2.992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1.3%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W w:type="dxa" w:w="2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13.845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13.845</w:t>
            </w:r>
          </w:p>
        </w:tc>
        <w:tc>
          <w:tcPr>
            <w:tcW w:type="dxa" w:w="1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</w:tbl>
    <w:p>
      <w:pPr>
        <w:spacing w:after="180"/>
      </w:pPr>
    </w:p>
    <w:p>
      <w:pPr>
        <w:pBdr>
          <w:bottom w:val="single" w:color="2E75B6" w:sz="4"/>
        </w:pBdr>
        <w:spacing w:after="120" w:before="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Response Bias RM-ANOVA — Table 9 (Notebook 07)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One-way repeated-measures ANOVA F(6,54) across 7 response-bias conditions, Locke (2020) dataset.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1800"/>
        <w:gridCol w:w="1200"/>
        <w:gridCol w:w="2060"/>
      </w:tblGrid>
      <w:tr>
        <w:trPr>
          <w:tblHeader/>
        </w:trPr>
        <w:tc>
          <w:tcPr>
            <w:tcW w:type="dxa" w:w="25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 Python</w:t>
            </w:r>
          </w:p>
        </w:tc>
        <w:tc>
          <w:tcPr>
            <w:tcW w:type="dxa" w:w="18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 MATLAB</w:t>
            </w:r>
          </w:p>
        </w:tc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Rel. error</w:t>
            </w:r>
          </w:p>
        </w:tc>
        <w:tc>
          <w:tcPr>
            <w:tcW w:type="dxa" w:w="20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meta-d'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1.472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1.472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0.742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0.742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Criterion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12.185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12.185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0.0%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Match</w:t>
            </w:r>
          </w:p>
        </w:tc>
      </w:tr>
    </w:tbl>
    <w:p>
      <w:pPr>
        <w:spacing w:after="180"/>
      </w:pPr>
    </w:p>
    <w:p>
      <w:pPr>
        <w:pBdr>
          <w:bottom w:val="single" w:color="2E75B6" w:sz="4"/>
        </w:pBdr>
        <w:spacing w:after="120" w:before="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Reliability Analyses (Notebook 08 &amp; 09)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Split-Half Reliability (Spearman-Brown Corrected)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Mean r across 18 non-NaN measures: 0.917.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640"/>
        <w:gridCol w:w="1640"/>
        <w:gridCol w:w="1640"/>
        <w:gridCol w:w="1840"/>
      </w:tblGrid>
      <w:tr>
        <w:trPr>
          <w:tblHeader/>
        </w:trPr>
        <w:tc>
          <w:tcPr>
            <w:tcW w:type="dxa" w:w="26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16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Haddara</w:t>
            </w:r>
          </w:p>
        </w:tc>
        <w:tc>
          <w:tcPr>
            <w:tcW w:type="dxa" w:w="16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Maniscalco</w:t>
            </w:r>
          </w:p>
        </w:tc>
        <w:tc>
          <w:tcPr>
            <w:tcW w:type="dxa" w:w="16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Shekhar</w:t>
            </w:r>
          </w:p>
        </w:tc>
        <w:tc>
          <w:tcPr>
            <w:tcW w:type="dxa" w:w="184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Average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meta-d'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0.952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0.962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0.976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0.958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0.936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0.960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0.945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0.950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0.960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0.933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0.915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0.939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0.983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0.958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0.972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0.973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M-Ratio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0.672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0.821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AUC2-Ratio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0.869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0.900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Gamma-Ratio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0.559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0.847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Phi-Ratio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0.629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0.909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0.844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DeltaConf-Ratio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0.894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0.578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0.838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M-Diff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0.946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NaN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0.934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AUC2-Diff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0.905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0.918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0.910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Gamma-Diff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0.863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0.921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0.905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Phi-Diff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0.896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0.850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0.904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0.885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DeltaConf-Diff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0.892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0.907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0.888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0.896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d'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0.985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0.979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Criterion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0.931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0.967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0.975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1.000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0.999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0.999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Test-Retest Reliability — Haddara Days 2–7 (Notebook 09)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ICC and Pearson r averaged over 15 day-pairs. Mean ICC: 0.661; mean r: 0.670.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2400"/>
      </w:tblGrid>
      <w:tr>
        <w:trPr>
          <w:tblHeader/>
        </w:trPr>
        <w:tc>
          <w:tcPr>
            <w:tcW w:type="dxa" w:w="30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Measure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ICC</w:t>
            </w:r>
          </w:p>
        </w:tc>
        <w:tc>
          <w:tcPr>
            <w:tcW w:type="dxa" w:w="24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Mean Pearson r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0.774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0.776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0.757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0.768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0.681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0.684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0.804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AUC2-Ratio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0.434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Gamma-Ratio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0.467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0.476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Phi-Ratio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0.459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DeltaConf-Ratio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0.478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0.483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AUC2-Diff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0.406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Gamma-Diff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0.510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0.512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Phi-Diff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0.419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0.421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DeltaConf-Diff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0.405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d'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0.851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0.867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Criterion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0.817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0.833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Confidence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0.937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0.942</w:t>
            </w:r>
          </w:p>
        </w:tc>
      </w:tr>
    </w:tbl>
    <w:p>
      <w:pPr>
        <w:spacing w:after="180"/>
      </w:pPr>
    </w:p>
    <w:p>
      <w:pPr>
        <w:pBdr>
          <w:bottom w:val="single" w:color="2E75B6" w:sz="4"/>
        </w:pBdr>
        <w:spacing w:after="120" w:before="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Known Discrepancies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meta-noise &amp; meta-uncertainty — All NaN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The precomputed *_mle.npz files were generated before meta-noise/meta-uncertainty was fully implemented in compute_all_measures. Functions compute_meta_noise and compute_meta_uncertainty are individually correct (~2.3s/call) but recomputing all datasets requires 3–36 min. This is a data generation issue, not a code bug.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M-Ratio MLE Instability (Shekhar)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Python t = 0.605 vs MATLAB t = 1.500 for Table 8 M-Ratio. MLE fitting is numerically sensitive to the Shekhar confidence-scale transformation. MATLAB's HMeta-d and Python's MLE solver produce different local optima for some subjects.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Gamma/Phi/DeltaConf-Ratio — Rouault1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Moderate discrepancies for ratio measures in Rouault1. Root cause: sdt_expect_conf (type2.py) gives gamma_expected = 0.000767 for subject 378 (d' = 0.013) while MATLAB's SDTexpectConf gives ~0.0058. This 7.5x difference inflates ratio denominators, causing extreme outliers and large variance (Python SD = 12.75 vs MATLAB SD = 1.79 for Gamma-Ratio).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7.4 meta-d' — Shekhar (Table 8)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Python t = 0.425 vs MATLAB t = 1.988. Same MLE stability issue as 7.2; Xue recoding interacts with MLE fitting differently across implementations.</w:t>
      </w:r>
    </w:p>
    <w:p>
      <w:pPr>
        <w:spacing w:after="180"/>
      </w:pPr>
    </w:p>
    <w:p>
      <w:pPr>
        <w:pBdr>
          <w:bottom w:val="single" w:color="2E75B6" w:sz="4"/>
        </w:pBdr>
        <w:spacing w:after="120" w:before="60"/>
      </w:pP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Notebook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1600"/>
        <w:gridCol w:w="3360"/>
      </w:tblGrid>
      <w:tr>
        <w:trPr>
          <w:tblHeader/>
        </w:trPr>
        <w:tc>
          <w:tcPr>
            <w:tcW w:type="dxa" w:w="1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NB</w:t>
            </w:r>
          </w:p>
        </w:tc>
        <w:tc>
          <w:tcPr>
            <w:tcW w:type="dxa" w:w="32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Title</w:t>
            </w:r>
          </w:p>
        </w:tc>
        <w:tc>
          <w:tcPr>
            <w:tcW w:type="dxa" w:w="160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dxa" w:w="3360"/>
            <w:tcBorders>
              <w:top w:val="single" w:color="1F4E79" w:sz="4"/>
              <w:left w:val="single" w:color="1F4E79" w:sz="4"/>
              <w:bottom w:val="single" w:color="1F4E79" w:sz="4"/>
              <w:right w:val="single" w:color="1F4E79" w:sz="4"/>
            </w:tcBorders>
            <w:shd w:fill="1F4E79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00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Environment Setup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imports verified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01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Preprocessing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 bugs fixed; all n match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02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Compute Measures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 measures; precomputed npz used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03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Statistical Tables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Bug fixed: T4–T5 3SD outlier order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04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Figures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supp_fig2–4 saved; precision in NB08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05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Difficulty Dependence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All reported measures match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06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Metacognitive Bias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Xue recoding matches MATLAB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07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Response Bias RM-ANOVA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F-statistics match exactly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08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Split-Half &amp; Precision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Split-half computed for all 3 datasets</w:t>
            </w:r>
          </w:p>
        </w:tc>
      </w:tr>
      <w:tr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09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Test-Retest &amp; Correlations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C6EFC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✓ Pass</w:t>
            </w:r>
          </w:p>
        </w:tc>
        <w:tc>
          <w:tcPr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ICC and r computed; cross-measure corrs done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/>
      </w:pBdr>
      <w:spacing w:before="60"/>
      <w:jc w:val="right"/>
    </w:pPr>
    <w:r>
      <w:rPr>
        <w:rFonts w:ascii="Arial" w:cs="Arial" w:eastAsia="Arial" w:hAnsi="Arial"/>
        <w:color w:val="808080"/>
        <w:sz w:val="18"/>
        <w:szCs w:val="18"/>
      </w:rPr>
      <w:t xml:space="preserve">Page </w:t>
    </w:r>
    <w:r>
      <w:rPr>
        <w:rFonts w:ascii="Arial" w:cs="Arial" w:eastAsia="Arial" w:hAnsi="Arial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/>
      </w:pBdr>
      <w:spacing w:after="60"/>
    </w:pPr>
    <w:r>
      <w:rPr>
        <w:rFonts w:ascii="Arial" w:cs="Arial" w:eastAsia="Arial" w:hAnsi="Arial"/>
        <w:color w:val="595959"/>
        <w:sz w:val="18"/>
        <w:szCs w:val="18"/>
      </w:rPr>
      <w:t xml:space="preserve">Metasignal Replication — MATLAB vs Python Verification Report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F549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2026-06-06T06:35:50.182Z</dcterms:created>
  <dcterms:modified xsi:type="dcterms:W3CDTF">2026-06-06T06:35:50.182Z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