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EF371" w14:textId="4C62EBF1" w:rsidR="00083E35" w:rsidRDefault="00083E35" w:rsidP="00083E35">
      <w:pPr>
        <w:pStyle w:val="Heading1"/>
        <w:jc w:val="center"/>
      </w:pPr>
      <w:r w:rsidRPr="00083E35">
        <w:t>Health Equity Dashboard</w:t>
      </w:r>
    </w:p>
    <w:p w14:paraId="7E61AA79" w14:textId="45699A3D" w:rsidR="00083E35" w:rsidRPr="00083E35" w:rsidRDefault="00083E35" w:rsidP="00083E35">
      <w:r w:rsidRPr="00083E35">
        <w:rPr>
          <w:b/>
          <w:bCs/>
          <w:u w:val="single"/>
        </w:rPr>
        <w:t>Purpose</w:t>
      </w:r>
    </w:p>
    <w:p w14:paraId="03D5D913" w14:textId="77777777" w:rsidR="00083E35" w:rsidRPr="00083E35" w:rsidRDefault="00083E35" w:rsidP="00083E35">
      <w:r w:rsidRPr="00083E35">
        <w:t xml:space="preserve">The purpose of this dashboard is to derive insights into factors that may negatively impact members’ health due to external </w:t>
      </w:r>
      <w:proofErr w:type="gramStart"/>
      <w:r w:rsidRPr="00083E35">
        <w:t>stresses</w:t>
      </w:r>
      <w:proofErr w:type="gramEnd"/>
      <w:r w:rsidRPr="00083E35">
        <w:t xml:space="preserve"> within the community, to the </w:t>
      </w:r>
      <w:proofErr w:type="gramStart"/>
      <w:r w:rsidRPr="00083E35">
        <w:t>member</w:t>
      </w:r>
      <w:proofErr w:type="gramEnd"/>
      <w:r w:rsidRPr="00083E35">
        <w:t xml:space="preserve"> individually and to improve equity in health and health outcomes</w:t>
      </w:r>
    </w:p>
    <w:p w14:paraId="3DF55DC8" w14:textId="77777777" w:rsidR="00083E35" w:rsidRPr="00083E35" w:rsidRDefault="00083E35" w:rsidP="00083E35">
      <w:r w:rsidRPr="00083E35">
        <w:rPr>
          <w:b/>
          <w:bCs/>
          <w:u w:val="single"/>
        </w:rPr>
        <w:t>Current Scope</w:t>
      </w:r>
    </w:p>
    <w:p w14:paraId="2EA3FAF7" w14:textId="09F1C7E7" w:rsidR="00E208F3" w:rsidRDefault="00083E35">
      <w:r w:rsidRPr="00083E35">
        <w:t>The initial phase of the project supports segmentation analysis for 16 priority HEDIS measures.</w:t>
      </w:r>
    </w:p>
    <w:p w14:paraId="4BBBE1B6" w14:textId="77777777" w:rsidR="00083E35" w:rsidRDefault="00083E35"/>
    <w:p w14:paraId="6702F09C" w14:textId="77777777" w:rsidR="00083E35" w:rsidRPr="00083E35" w:rsidRDefault="00083E35" w:rsidP="00083E35">
      <w:r w:rsidRPr="00083E35">
        <w:rPr>
          <w:b/>
          <w:bCs/>
          <w:u w:val="single"/>
        </w:rPr>
        <w:t>Measure Descriptions</w:t>
      </w:r>
    </w:p>
    <w:p w14:paraId="76D577FF" w14:textId="77777777" w:rsidR="00083E35" w:rsidRPr="00083E35" w:rsidRDefault="00083E35" w:rsidP="00083E35">
      <w:r w:rsidRPr="00083E35">
        <w:t xml:space="preserve">Note - Administrative measure end-of-year completion rates are calculated based on data sources accessible to PHP (administrative data only), Hybrid measure end-of-year completion rates are based on a sample population from the denominator with additional data mining (e.g. at a provider's office) for completion status. </w:t>
      </w:r>
      <w:r w:rsidRPr="00083E35">
        <w:rPr>
          <w:b/>
          <w:bCs/>
        </w:rPr>
        <w:t xml:space="preserve">For Hybrid measures, data in this dashboard is based on administrative data only and may not align with reported end-of-year rates. </w:t>
      </w:r>
    </w:p>
    <w:p w14:paraId="43475933" w14:textId="77777777" w:rsidR="00083E35" w:rsidRPr="00083E35" w:rsidRDefault="00083E35" w:rsidP="00083E35">
      <w:r w:rsidRPr="00083E35">
        <w:rPr>
          <w:b/>
          <w:bCs/>
        </w:rPr>
        <w:t xml:space="preserve">1. Breast Cancer Screening (BCS): Administrative Measure - </w:t>
      </w:r>
      <w:r w:rsidRPr="00083E35">
        <w:t>Assesses women 50–74 years of age who had at least one mammogram to screen for breast cancer in the past two years.</w:t>
      </w:r>
    </w:p>
    <w:p w14:paraId="2335CC7A"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61F21AB7" w14:textId="77777777" w:rsidR="00083E35" w:rsidRPr="00083E35" w:rsidRDefault="00083E35" w:rsidP="00083E35"/>
    <w:p w14:paraId="1FF7D9BD" w14:textId="77777777" w:rsidR="00083E35" w:rsidRPr="00083E35" w:rsidRDefault="00083E35" w:rsidP="00083E35">
      <w:r w:rsidRPr="00083E35">
        <w:rPr>
          <w:b/>
          <w:bCs/>
        </w:rPr>
        <w:t xml:space="preserve">2. Childhood Immunization Status (CIS) – Combination 7: Hybrid Measure - </w:t>
      </w:r>
      <w:r w:rsidRPr="00083E35">
        <w:t xml:space="preserve">Assesses children 2 years of age who had Combination 7 vaccines by their second birthday. Combination 7 includes DTaP, IPV, MMR, </w:t>
      </w:r>
      <w:proofErr w:type="spellStart"/>
      <w:r w:rsidRPr="00083E35">
        <w:t>HiB</w:t>
      </w:r>
      <w:proofErr w:type="spellEnd"/>
      <w:r w:rsidRPr="00083E35">
        <w:t xml:space="preserve">, </w:t>
      </w:r>
      <w:proofErr w:type="spellStart"/>
      <w:r w:rsidRPr="00083E35">
        <w:t>HepB</w:t>
      </w:r>
      <w:proofErr w:type="spellEnd"/>
      <w:r w:rsidRPr="00083E35">
        <w:t xml:space="preserve">, VZV, PCV, </w:t>
      </w:r>
      <w:proofErr w:type="spellStart"/>
      <w:r w:rsidRPr="00083E35">
        <w:t>HepA</w:t>
      </w:r>
      <w:proofErr w:type="spellEnd"/>
      <w:r w:rsidRPr="00083E35">
        <w:t xml:space="preserve"> and RV vaccinations. </w:t>
      </w:r>
    </w:p>
    <w:p w14:paraId="0268F9C9"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 xml:space="preserve">PHP </w:t>
      </w:r>
    </w:p>
    <w:p w14:paraId="10434A7F" w14:textId="77777777" w:rsidR="00083E35" w:rsidRPr="00083E35" w:rsidRDefault="00083E35" w:rsidP="00083E35"/>
    <w:p w14:paraId="008D9FA4" w14:textId="77777777" w:rsidR="00083E35" w:rsidRPr="00083E35" w:rsidRDefault="00083E35" w:rsidP="00083E35">
      <w:r w:rsidRPr="00083E35">
        <w:rPr>
          <w:b/>
          <w:bCs/>
        </w:rPr>
        <w:t xml:space="preserve">3. Colorectal Cancer Screening (COL): Hybrid Measure - </w:t>
      </w:r>
      <w:r w:rsidRPr="00083E35">
        <w:t xml:space="preserve">Assesses adults 50–75 who had appropriate screening for colorectal cancer with any of the following tests: annual fecal occult blood test, flexible sigmoidoscopy every 5 years, colonoscopy every 10 years, computed tomography colonography every 5 years, stool DNA test every 3 years. </w:t>
      </w:r>
    </w:p>
    <w:p w14:paraId="54321538"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2064D97E" w14:textId="77777777" w:rsidR="00083E35" w:rsidRPr="00083E35" w:rsidRDefault="00083E35" w:rsidP="00083E35"/>
    <w:p w14:paraId="57F8750A" w14:textId="77777777" w:rsidR="00083E35" w:rsidRPr="00083E35" w:rsidRDefault="00083E35" w:rsidP="00083E35">
      <w:r w:rsidRPr="00083E35">
        <w:rPr>
          <w:b/>
          <w:bCs/>
        </w:rPr>
        <w:lastRenderedPageBreak/>
        <w:t xml:space="preserve">4. Prenatal And Postpartum Care (PPC): Hybrid Measure - </w:t>
      </w:r>
      <w:r w:rsidRPr="00083E35">
        <w:t xml:space="preserve">Assesses access to prenatal and postpartum care. 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 xml:space="preserve">PHP </w:t>
      </w:r>
    </w:p>
    <w:p w14:paraId="71AED84C" w14:textId="77777777" w:rsidR="00083E35" w:rsidRPr="00083E35" w:rsidRDefault="00083E35" w:rsidP="00083E35">
      <w:r w:rsidRPr="00083E35">
        <w:rPr>
          <w:b/>
          <w:bCs/>
        </w:rPr>
        <w:t>a. Postpartum Care:</w:t>
      </w:r>
      <w:r w:rsidRPr="00083E35">
        <w:t> The percentage of deliveries in which women had a postpartum visit on or between 7 and 84 days after delivery.</w:t>
      </w:r>
    </w:p>
    <w:p w14:paraId="5BACC961" w14:textId="77777777" w:rsidR="00083E35" w:rsidRPr="00083E35" w:rsidRDefault="00083E35" w:rsidP="00083E35">
      <w:r w:rsidRPr="00083E35">
        <w:rPr>
          <w:b/>
          <w:bCs/>
        </w:rPr>
        <w:t>b. Timeliness of Prenatal Care:</w:t>
      </w:r>
      <w:r w:rsidRPr="00083E35">
        <w:t xml:space="preserve"> The percentage of deliveries in which women had a prenatal care visit in the first trimester, on or before the enrollment start date or within 42 days of enrollment in the organization.</w:t>
      </w:r>
    </w:p>
    <w:p w14:paraId="0EB66C20" w14:textId="77777777" w:rsidR="00083E35" w:rsidRPr="00083E35" w:rsidRDefault="00083E35" w:rsidP="00083E35">
      <w:r w:rsidRPr="00083E35">
        <w:rPr>
          <w:b/>
          <w:bCs/>
        </w:rPr>
        <w:t xml:space="preserve">5. Controlling High Blood </w:t>
      </w:r>
      <w:proofErr w:type="gramStart"/>
      <w:r w:rsidRPr="00083E35">
        <w:rPr>
          <w:b/>
          <w:bCs/>
        </w:rPr>
        <w:t>Pressure(</w:t>
      </w:r>
      <w:proofErr w:type="gramEnd"/>
      <w:r w:rsidRPr="00083E35">
        <w:rPr>
          <w:b/>
          <w:bCs/>
        </w:rPr>
        <w:t>CBP):</w:t>
      </w:r>
      <w:r w:rsidRPr="00083E35">
        <w:t xml:space="preserve"> </w:t>
      </w:r>
      <w:r w:rsidRPr="00083E35">
        <w:rPr>
          <w:b/>
          <w:bCs/>
        </w:rPr>
        <w:t xml:space="preserve">Hybrid Measure - </w:t>
      </w:r>
      <w:r w:rsidRPr="00083E35">
        <w:t>The percentage of members 18–85 years of age who had a diagnosis of hypertension (HTN) and whose BP was adequately controlled (&lt;140/90 mm Hg) during the measurement year.</w:t>
      </w:r>
    </w:p>
    <w:p w14:paraId="075ED1F5"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5BA95EAC" w14:textId="77777777" w:rsidR="00083E35" w:rsidRPr="00083E35" w:rsidRDefault="00083E35" w:rsidP="00083E35"/>
    <w:p w14:paraId="0BA1CEF2" w14:textId="77777777" w:rsidR="00083E35" w:rsidRPr="00083E35" w:rsidRDefault="00083E35" w:rsidP="00083E35">
      <w:r w:rsidRPr="00083E35">
        <w:rPr>
          <w:b/>
          <w:bCs/>
        </w:rPr>
        <w:t xml:space="preserve">6. Hemoglobin A1c Control </w:t>
      </w:r>
      <w:proofErr w:type="gramStart"/>
      <w:r w:rsidRPr="00083E35">
        <w:rPr>
          <w:b/>
          <w:bCs/>
        </w:rPr>
        <w:t>For</w:t>
      </w:r>
      <w:proofErr w:type="gramEnd"/>
      <w:r w:rsidRPr="00083E35">
        <w:rPr>
          <w:b/>
          <w:bCs/>
        </w:rPr>
        <w:t xml:space="preserve"> Patients </w:t>
      </w:r>
      <w:proofErr w:type="gramStart"/>
      <w:r w:rsidRPr="00083E35">
        <w:rPr>
          <w:b/>
          <w:bCs/>
        </w:rPr>
        <w:t>Diabetes(</w:t>
      </w:r>
      <w:proofErr w:type="gramEnd"/>
      <w:r w:rsidRPr="00083E35">
        <w:rPr>
          <w:b/>
          <w:bCs/>
        </w:rPr>
        <w:t>HBD):</w:t>
      </w:r>
      <w:r w:rsidRPr="00083E35">
        <w:t xml:space="preserve"> </w:t>
      </w:r>
      <w:r w:rsidRPr="00083E35">
        <w:rPr>
          <w:b/>
          <w:bCs/>
        </w:rPr>
        <w:t xml:space="preserve">Hybrid Measure - </w:t>
      </w:r>
      <w:r w:rsidRPr="00083E35">
        <w:t>The Percentage of members 18–75 years of age with diabetes (types 1 and 2) whose hemoglobin A1c (HbA1c) was at the following levels during the measurement year:</w:t>
      </w:r>
    </w:p>
    <w:p w14:paraId="598CC0F3" w14:textId="77777777" w:rsidR="00083E35" w:rsidRPr="00083E35" w:rsidRDefault="00083E35" w:rsidP="00083E35">
      <w:r w:rsidRPr="00083E35">
        <w:t>·    HbA1c control (&lt;8.0%)</w:t>
      </w:r>
    </w:p>
    <w:p w14:paraId="07D31C79" w14:textId="77777777" w:rsidR="00083E35" w:rsidRPr="00083E35" w:rsidRDefault="00083E35" w:rsidP="00083E35">
      <w:r w:rsidRPr="00083E35">
        <w:t>·    HbA1c poor control (&gt;9.0%)</w:t>
      </w:r>
    </w:p>
    <w:p w14:paraId="48F7FA8A"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6C535CE4" w14:textId="77777777" w:rsidR="00083E35" w:rsidRPr="00083E35" w:rsidRDefault="00083E35" w:rsidP="00083E35"/>
    <w:p w14:paraId="551F9216" w14:textId="77777777" w:rsidR="00083E35" w:rsidRPr="00083E35" w:rsidRDefault="00083E35" w:rsidP="00083E35">
      <w:r w:rsidRPr="00083E35">
        <w:rPr>
          <w:b/>
          <w:bCs/>
        </w:rPr>
        <w:t>7. Child And Adolescent Well Care Visits:</w:t>
      </w:r>
      <w:r w:rsidRPr="00083E35">
        <w:t xml:space="preserve"> </w:t>
      </w:r>
      <w:r w:rsidRPr="00083E35">
        <w:rPr>
          <w:b/>
          <w:bCs/>
        </w:rPr>
        <w:t xml:space="preserve">Administrative Measure - </w:t>
      </w:r>
      <w:r w:rsidRPr="00083E35">
        <w:t>The percentage of members 3–21 years of age who had at least one comprehensive well-care visit with a PCP or an OB/GYN practitioner during the measurement year.</w:t>
      </w:r>
    </w:p>
    <w:p w14:paraId="37342830"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66F69D3D" w14:textId="77777777" w:rsidR="00083E35" w:rsidRPr="00083E35" w:rsidRDefault="00083E35" w:rsidP="00083E35"/>
    <w:p w14:paraId="1DFB2B44" w14:textId="77777777" w:rsidR="00083E35" w:rsidRPr="00083E35" w:rsidRDefault="00083E35" w:rsidP="00083E35">
      <w:r w:rsidRPr="00083E35">
        <w:rPr>
          <w:b/>
          <w:bCs/>
        </w:rPr>
        <w:t>8</w:t>
      </w:r>
      <w:proofErr w:type="gramStart"/>
      <w:r w:rsidRPr="00083E35">
        <w:rPr>
          <w:b/>
          <w:bCs/>
        </w:rPr>
        <w:t>.  Well</w:t>
      </w:r>
      <w:proofErr w:type="gramEnd"/>
      <w:r w:rsidRPr="00083E35">
        <w:rPr>
          <w:b/>
          <w:bCs/>
        </w:rPr>
        <w:t xml:space="preserve"> Child Visits in the First fifteen (15) Months of Life (W15):</w:t>
      </w:r>
      <w:r w:rsidRPr="00083E35">
        <w:t xml:space="preserve"> </w:t>
      </w:r>
      <w:r w:rsidRPr="00083E35">
        <w:rPr>
          <w:b/>
          <w:bCs/>
        </w:rPr>
        <w:t xml:space="preserve">Administrative Measure - </w:t>
      </w:r>
      <w:r w:rsidRPr="00083E35">
        <w:t xml:space="preserve">The percentage of Members who turned fifteen (15) months old during the measurement year and had six (6) or more well-child visits. </w:t>
      </w:r>
    </w:p>
    <w:p w14:paraId="47B79E14"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6A383EF4" w14:textId="77777777" w:rsidR="00083E35" w:rsidRPr="00083E35" w:rsidRDefault="00083E35" w:rsidP="00083E35"/>
    <w:p w14:paraId="0AD400BE" w14:textId="77777777" w:rsidR="00083E35" w:rsidRPr="00083E35" w:rsidRDefault="00083E35" w:rsidP="00083E35">
      <w:r w:rsidRPr="00083E35">
        <w:rPr>
          <w:b/>
          <w:bCs/>
        </w:rPr>
        <w:t>9. Weight Assessment and Counseling for Nutrition and Physical Activity for Children/Adolescents (WCC):</w:t>
      </w:r>
      <w:r w:rsidRPr="00083E35">
        <w:t xml:space="preserve"> </w:t>
      </w:r>
      <w:r w:rsidRPr="00083E35">
        <w:rPr>
          <w:b/>
          <w:bCs/>
        </w:rPr>
        <w:t xml:space="preserve">Hybrid Measure - </w:t>
      </w:r>
      <w:r w:rsidRPr="00083E35">
        <w:t xml:space="preserve">The percentage of Members ages three (3) through seventeen (17) years of age who had an outpatient visit with a PCP or OB/GYN and who had evidence of counseling for physical activity during the measurement year. </w:t>
      </w:r>
    </w:p>
    <w:p w14:paraId="022D344C"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1B3BEEB9" w14:textId="77777777" w:rsidR="00083E35" w:rsidRPr="00083E35" w:rsidRDefault="00083E35" w:rsidP="00083E35"/>
    <w:p w14:paraId="65420201" w14:textId="77777777" w:rsidR="00083E35" w:rsidRPr="00083E35" w:rsidRDefault="00083E35" w:rsidP="00083E35">
      <w:r w:rsidRPr="00083E35">
        <w:rPr>
          <w:b/>
          <w:bCs/>
        </w:rPr>
        <w:t>10. Antidepressant Medication Management (AMM):</w:t>
      </w:r>
      <w:r w:rsidRPr="00083E35">
        <w:t xml:space="preserve"> </w:t>
      </w:r>
      <w:r w:rsidRPr="00083E35">
        <w:rPr>
          <w:b/>
          <w:bCs/>
        </w:rPr>
        <w:t xml:space="preserve">Administrative Measure - </w:t>
      </w:r>
      <w:r w:rsidRPr="00083E35">
        <w:t xml:space="preserve">The number of Members age eighteen (18) years and older as of April 30 of the measurement year who were diagnosed with a new episode of major depression during the intake period and received at least one-hundred eighty (180) Calendar Days (6 months) of continuous treatment with an antidepressant medication. </w:t>
      </w:r>
    </w:p>
    <w:p w14:paraId="3053C631"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18E719DF" w14:textId="77777777" w:rsidR="00083E35" w:rsidRPr="00083E35" w:rsidRDefault="00083E35" w:rsidP="00083E35"/>
    <w:p w14:paraId="74D85235" w14:textId="77777777" w:rsidR="00083E35" w:rsidRPr="00083E35" w:rsidRDefault="00083E35" w:rsidP="00083E35">
      <w:r w:rsidRPr="00083E35">
        <w:rPr>
          <w:b/>
          <w:bCs/>
        </w:rPr>
        <w:t>11. Initiation and Engagement of Alcohol and Other Drug Dependence Treatment (IET): Administrative Measure -</w:t>
      </w:r>
      <w:r w:rsidRPr="00083E35">
        <w:t xml:space="preserve"> The total percentage of adolescent and adult Members with a new episode of alcohol or other drug (AOD) dependence who received the </w:t>
      </w:r>
      <w:proofErr w:type="gramStart"/>
      <w:r w:rsidRPr="00083E35">
        <w:t>following;</w:t>
      </w:r>
      <w:proofErr w:type="gramEnd"/>
      <w:r w:rsidRPr="00083E35">
        <w:t xml:space="preserve"> Initiation of AOD Treatment. </w:t>
      </w:r>
    </w:p>
    <w:p w14:paraId="29D69F0F"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29A0DA31" w14:textId="77777777" w:rsidR="00083E35" w:rsidRPr="00083E35" w:rsidRDefault="00083E35" w:rsidP="00083E35"/>
    <w:p w14:paraId="1ADF582E" w14:textId="77777777" w:rsidR="00083E35" w:rsidRPr="00083E35" w:rsidRDefault="00083E35" w:rsidP="00083E35">
      <w:r w:rsidRPr="00083E35">
        <w:rPr>
          <w:b/>
          <w:bCs/>
        </w:rPr>
        <w:t>12. Follow-Up After Hospitalization for Mental Illness (FUH):</w:t>
      </w:r>
      <w:r w:rsidRPr="00083E35">
        <w:t xml:space="preserve"> </w:t>
      </w:r>
      <w:r w:rsidRPr="00083E35">
        <w:rPr>
          <w:b/>
          <w:bCs/>
        </w:rPr>
        <w:t xml:space="preserve">Administrative Measure - </w:t>
      </w:r>
      <w:r w:rsidRPr="00083E35">
        <w:t xml:space="preserve">The percentage of discharges for members 6 years of age and older who were hospitalized for treatment of selected mental illness diagnoses and who had a follow-up visit with a mental health practitioner within 30 days after discharge. </w:t>
      </w:r>
    </w:p>
    <w:p w14:paraId="0546900A"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p>
    <w:p w14:paraId="7F10935D" w14:textId="77777777" w:rsidR="00083E35" w:rsidRPr="00083E35" w:rsidRDefault="00083E35" w:rsidP="00083E35"/>
    <w:p w14:paraId="39F25EC8" w14:textId="77777777" w:rsidR="00083E35" w:rsidRPr="00083E35" w:rsidRDefault="00083E35" w:rsidP="00083E35">
      <w:r w:rsidRPr="00083E35">
        <w:rPr>
          <w:b/>
          <w:bCs/>
        </w:rPr>
        <w:t>13. Follow-Up After Emergency Department Visit for Mental Illness (FUM):</w:t>
      </w:r>
      <w:r w:rsidRPr="00083E35">
        <w:t xml:space="preserve"> </w:t>
      </w:r>
      <w:r w:rsidRPr="00083E35">
        <w:rPr>
          <w:b/>
          <w:bCs/>
        </w:rPr>
        <w:t xml:space="preserve">Administrative Measure - </w:t>
      </w:r>
      <w:r w:rsidRPr="00083E35">
        <w:t>The percentage of emergency department (ED) visits for members 6 years of age and older with a principal diagnosis of mental illness, who had a follow-up visit for mental illness within 30 days of the ED visit.</w:t>
      </w:r>
    </w:p>
    <w:p w14:paraId="222AEC36" w14:textId="77777777" w:rsidR="00083E35" w:rsidRP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r w:rsidRPr="00083E35">
        <w:t xml:space="preserve"> </w:t>
      </w:r>
    </w:p>
    <w:p w14:paraId="63B48704" w14:textId="77777777" w:rsidR="00083E35" w:rsidRPr="00083E35" w:rsidRDefault="00083E35" w:rsidP="00083E35"/>
    <w:p w14:paraId="1FAC9586" w14:textId="77777777" w:rsidR="00083E35" w:rsidRPr="00083E35" w:rsidRDefault="00083E35" w:rsidP="00083E35">
      <w:r w:rsidRPr="00083E35">
        <w:rPr>
          <w:b/>
          <w:bCs/>
        </w:rPr>
        <w:t xml:space="preserve">14. Diabetes Screening for People </w:t>
      </w:r>
      <w:proofErr w:type="gramStart"/>
      <w:r w:rsidRPr="00083E35">
        <w:rPr>
          <w:b/>
          <w:bCs/>
        </w:rPr>
        <w:t>With</w:t>
      </w:r>
      <w:proofErr w:type="gramEnd"/>
      <w:r w:rsidRPr="00083E35">
        <w:rPr>
          <w:b/>
          <w:bCs/>
        </w:rPr>
        <w:t xml:space="preserve"> Schizophrenia or Bipolar Disorder Who Are Using Antipsychotic Medications (SSD):</w:t>
      </w:r>
      <w:r w:rsidRPr="00083E35">
        <w:t xml:space="preserve"> </w:t>
      </w:r>
      <w:r w:rsidRPr="00083E35">
        <w:rPr>
          <w:b/>
          <w:bCs/>
        </w:rPr>
        <w:t xml:space="preserve">Administrative Measure - </w:t>
      </w:r>
      <w:r w:rsidRPr="00083E35">
        <w:t>The percentage of Members 18-64 years of age with schizophrenia, schizoaffective disorder or bipolar disorder, who were dispensed an antipsychotic medication and had a diabetes screening test during the measurement year.</w:t>
      </w:r>
    </w:p>
    <w:p w14:paraId="7B0A71A0" w14:textId="3AF0ECD4" w:rsidR="00083E35" w:rsidRDefault="00083E35" w:rsidP="00083E35">
      <w:r w:rsidRPr="00083E35">
        <w:t xml:space="preserve">Measure source: </w:t>
      </w:r>
      <w:proofErr w:type="spellStart"/>
      <w:r w:rsidRPr="00083E35">
        <w:rPr>
          <w:b/>
          <w:bCs/>
        </w:rPr>
        <w:t>Inovalon</w:t>
      </w:r>
      <w:proofErr w:type="spellEnd"/>
      <w:r w:rsidRPr="00083E35">
        <w:rPr>
          <w:b/>
          <w:bCs/>
        </w:rPr>
        <w:t xml:space="preserve"> Data Mart</w:t>
      </w:r>
      <w:r w:rsidRPr="00083E35">
        <w:t xml:space="preserve">. Population: </w:t>
      </w:r>
      <w:r w:rsidRPr="00083E35">
        <w:rPr>
          <w:b/>
          <w:bCs/>
        </w:rPr>
        <w:t>PHP</w:t>
      </w:r>
      <w:r w:rsidRPr="00083E35">
        <w:t xml:space="preserve">  </w:t>
      </w:r>
    </w:p>
    <w:p w14:paraId="1421B12B" w14:textId="77777777" w:rsidR="00083E35" w:rsidRDefault="00083E35" w:rsidP="00083E35"/>
    <w:p w14:paraId="2BF82CC3" w14:textId="77777777" w:rsidR="00083E35" w:rsidRPr="00083E35" w:rsidRDefault="00083E35" w:rsidP="00083E35">
      <w:r w:rsidRPr="00083E35">
        <w:rPr>
          <w:b/>
          <w:bCs/>
          <w:u w:val="single"/>
        </w:rPr>
        <w:t>SDOH Data Interpretation Limitations</w:t>
      </w:r>
    </w:p>
    <w:p w14:paraId="492A49A0" w14:textId="77777777" w:rsidR="00083E35" w:rsidRPr="00083E35" w:rsidRDefault="00083E35" w:rsidP="00083E35">
      <w:r w:rsidRPr="00083E35">
        <w:rPr>
          <w:b/>
          <w:bCs/>
        </w:rPr>
        <w:t xml:space="preserve">JIVA SDOH Data Limitations: </w:t>
      </w:r>
    </w:p>
    <w:p w14:paraId="765761F4" w14:textId="77777777" w:rsidR="00083E35" w:rsidRPr="00083E35" w:rsidRDefault="00083E35" w:rsidP="00083E35">
      <w:r w:rsidRPr="00083E35">
        <w:lastRenderedPageBreak/>
        <w:t>The JIVA SDOH data comes from two assessments:</w:t>
      </w:r>
    </w:p>
    <w:p w14:paraId="1155BDE3" w14:textId="77777777" w:rsidR="00083E35" w:rsidRPr="00083E35" w:rsidRDefault="00083E35" w:rsidP="00083E35">
      <w:r w:rsidRPr="00083E35">
        <w:t xml:space="preserve">1. By Medicaid Care Coordinators </w:t>
      </w:r>
      <w:proofErr w:type="gramStart"/>
      <w:r w:rsidRPr="00083E35">
        <w:t>i.e.</w:t>
      </w:r>
      <w:proofErr w:type="gramEnd"/>
      <w:r w:rsidRPr="00083E35">
        <w:t xml:space="preserve"> Comprehensive Needs Assessment (CNA) </w:t>
      </w:r>
    </w:p>
    <w:p w14:paraId="216264D7" w14:textId="77777777" w:rsidR="00083E35" w:rsidRPr="00083E35" w:rsidRDefault="00083E35" w:rsidP="00083E35">
      <w:r w:rsidRPr="00083E35">
        <w:t xml:space="preserve">- Only completed for Medicaid members (includes Red/Red DSNP) </w:t>
      </w:r>
    </w:p>
    <w:p w14:paraId="56C3487F" w14:textId="77777777" w:rsidR="00083E35" w:rsidRPr="00083E35" w:rsidRDefault="00083E35" w:rsidP="00083E35">
      <w:r w:rsidRPr="00083E35">
        <w:t xml:space="preserve">- Only completed for those who trigger for Level 2 or Level 3 care coordination </w:t>
      </w:r>
    </w:p>
    <w:p w14:paraId="1CC1196A" w14:textId="77777777" w:rsidR="00083E35" w:rsidRPr="00083E35" w:rsidRDefault="00083E35" w:rsidP="00083E35">
      <w:r w:rsidRPr="00083E35">
        <w:t xml:space="preserve">- Many of the questions are skip questions – so the complete CNA is not completed each time </w:t>
      </w:r>
    </w:p>
    <w:p w14:paraId="36F8B2DA" w14:textId="77777777" w:rsidR="00083E35" w:rsidRPr="00083E35" w:rsidRDefault="00083E35" w:rsidP="00083E35"/>
    <w:p w14:paraId="7DF229A3" w14:textId="77777777" w:rsidR="00083E35" w:rsidRPr="00083E35" w:rsidRDefault="00083E35" w:rsidP="00083E35">
      <w:r w:rsidRPr="00083E35">
        <w:t>2. By Community Health Workers (CHWs) i.e. CHW assessment</w:t>
      </w:r>
    </w:p>
    <w:p w14:paraId="4E344741" w14:textId="77777777" w:rsidR="00083E35" w:rsidRPr="00083E35" w:rsidRDefault="00083E35" w:rsidP="00083E35">
      <w:r w:rsidRPr="00083E35">
        <w:t xml:space="preserve">- Completed on anyone who has a CHW interaction (mainly Medicaid members) </w:t>
      </w:r>
    </w:p>
    <w:p w14:paraId="469E57F6" w14:textId="77777777" w:rsidR="00083E35" w:rsidRPr="00083E35" w:rsidRDefault="00083E35" w:rsidP="00083E35">
      <w:r w:rsidRPr="00083E35">
        <w:t xml:space="preserve">- Must engage with CHW to complete assessment – Refusals, UNRs, DTEs will not have completed </w:t>
      </w:r>
    </w:p>
    <w:p w14:paraId="43A15FEB" w14:textId="77777777" w:rsidR="00083E35" w:rsidRPr="00083E35" w:rsidRDefault="00083E35" w:rsidP="00083E35"/>
    <w:p w14:paraId="20E99543" w14:textId="77777777" w:rsidR="00083E35" w:rsidRPr="00083E35" w:rsidRDefault="00083E35" w:rsidP="00083E35">
      <w:r w:rsidRPr="00083E35">
        <w:rPr>
          <w:b/>
          <w:bCs/>
        </w:rPr>
        <w:t>EPIC SDOH Data Limitations:</w:t>
      </w:r>
    </w:p>
    <w:p w14:paraId="3C0FEB7B" w14:textId="77777777" w:rsidR="00083E35" w:rsidRPr="00083E35" w:rsidRDefault="00083E35" w:rsidP="00083E35">
      <w:r w:rsidRPr="00083E35">
        <w:t xml:space="preserve">The EPIC SDOH data could be limited in the following ways: </w:t>
      </w:r>
    </w:p>
    <w:p w14:paraId="49C993BE" w14:textId="77777777" w:rsidR="00083E35" w:rsidRPr="00083E35" w:rsidRDefault="00083E35" w:rsidP="00083E35">
      <w:r w:rsidRPr="00083E35">
        <w:t xml:space="preserve">1. Some sites might not be completing screenings (by providing no answer) </w:t>
      </w:r>
    </w:p>
    <w:p w14:paraId="5535B37E" w14:textId="77777777" w:rsidR="00083E35" w:rsidRPr="00083E35" w:rsidRDefault="00083E35" w:rsidP="00083E35">
      <w:r w:rsidRPr="00083E35">
        <w:t xml:space="preserve">2. Or completing screenings improperly (by providing 'declined to ask' as an answer) </w:t>
      </w:r>
    </w:p>
    <w:p w14:paraId="0833CFF4" w14:textId="77777777" w:rsidR="00083E35" w:rsidRPr="00083E35" w:rsidRDefault="00083E35" w:rsidP="00083E35">
      <w:r w:rsidRPr="00083E35">
        <w:t>3. BPAs - which prompt SDOH questions to be asked</w:t>
      </w:r>
    </w:p>
    <w:p w14:paraId="46BD7BB0" w14:textId="77777777" w:rsidR="00083E35" w:rsidRPr="00083E35" w:rsidRDefault="00083E35" w:rsidP="00083E35">
      <w:r w:rsidRPr="00083E35">
        <w:t xml:space="preserve">- might not be firing correctly </w:t>
      </w:r>
    </w:p>
    <w:p w14:paraId="6E3EE3AE" w14:textId="77777777" w:rsidR="00083E35" w:rsidRPr="00083E35" w:rsidRDefault="00083E35" w:rsidP="00083E35">
      <w:r w:rsidRPr="00083E35">
        <w:t xml:space="preserve">- not fired when they should fire </w:t>
      </w:r>
    </w:p>
    <w:p w14:paraId="7DB174C1" w14:textId="77777777" w:rsidR="00083E35" w:rsidRPr="00083E35" w:rsidRDefault="00083E35" w:rsidP="00083E35">
      <w:r w:rsidRPr="00083E35">
        <w:t xml:space="preserve">- fire multiple times when they should fire once </w:t>
      </w:r>
    </w:p>
    <w:p w14:paraId="1BD91BB5" w14:textId="77777777" w:rsidR="00083E35" w:rsidRPr="00083E35" w:rsidRDefault="00083E35" w:rsidP="00083E35">
      <w:r w:rsidRPr="00083E35">
        <w:t xml:space="preserve">4. SDOH data has been collected for only a short period of time </w:t>
      </w:r>
    </w:p>
    <w:p w14:paraId="7308B183" w14:textId="77777777" w:rsidR="00083E35" w:rsidRPr="00083E35" w:rsidRDefault="00083E35" w:rsidP="00083E35">
      <w:r w:rsidRPr="00083E35">
        <w:t xml:space="preserve">- ED/inpatient sites - since late August </w:t>
      </w:r>
    </w:p>
    <w:p w14:paraId="2F8EE8B9" w14:textId="77777777" w:rsidR="00083E35" w:rsidRPr="00083E35" w:rsidRDefault="00083E35" w:rsidP="00083E35">
      <w:r w:rsidRPr="00083E35">
        <w:t xml:space="preserve">- Ambulatory sites - </w:t>
      </w:r>
      <w:proofErr w:type="gramStart"/>
      <w:r w:rsidRPr="00083E35">
        <w:t>since</w:t>
      </w:r>
      <w:proofErr w:type="gramEnd"/>
      <w:r w:rsidRPr="00083E35">
        <w:t xml:space="preserve"> mid-September </w:t>
      </w:r>
    </w:p>
    <w:p w14:paraId="1882DE0C" w14:textId="77777777" w:rsidR="00083E35" w:rsidRPr="00083E35" w:rsidRDefault="00083E35" w:rsidP="00083E35"/>
    <w:p w14:paraId="6F8D27DB" w14:textId="77777777" w:rsidR="00083E35" w:rsidRPr="00083E35" w:rsidRDefault="00083E35" w:rsidP="00083E35">
      <w:r w:rsidRPr="00083E35">
        <w:rPr>
          <w:b/>
          <w:bCs/>
        </w:rPr>
        <w:t>ACXIOM SDOH Data Limitations:</w:t>
      </w:r>
    </w:p>
    <w:p w14:paraId="153EF0ED" w14:textId="77777777" w:rsidR="00083E35" w:rsidRPr="00083E35" w:rsidRDefault="00083E35" w:rsidP="00083E35">
      <w:r w:rsidRPr="00083E35">
        <w:t xml:space="preserve">1. ACXIOM data mapped at geographic level (member address) instead of person </w:t>
      </w:r>
    </w:p>
    <w:p w14:paraId="07B7C2D5" w14:textId="2AAD6B06" w:rsidR="00083E35" w:rsidRDefault="00083E35" w:rsidP="00083E35">
      <w:r w:rsidRPr="00083E35">
        <w:t xml:space="preserve">2. ACXIOM data is available for </w:t>
      </w:r>
      <w:proofErr w:type="gramStart"/>
      <w:r w:rsidRPr="00083E35">
        <w:t>member</w:t>
      </w:r>
      <w:proofErr w:type="gramEnd"/>
      <w:r w:rsidRPr="00083E35">
        <w:t xml:space="preserve"> with complete/accurate address</w:t>
      </w:r>
    </w:p>
    <w:p w14:paraId="0DE78D85" w14:textId="77777777" w:rsidR="00083E35" w:rsidRDefault="00083E35" w:rsidP="00083E35"/>
    <w:p w14:paraId="38D3893D" w14:textId="53C6D509" w:rsidR="00083E35" w:rsidRDefault="00083E35" w:rsidP="00083E35">
      <w:r>
        <w:t>Dashboard outputs:</w:t>
      </w:r>
    </w:p>
    <w:p w14:paraId="3439685C" w14:textId="11317517" w:rsidR="00083E35" w:rsidRPr="00083E35" w:rsidRDefault="00083E35" w:rsidP="00083E35">
      <w:pPr>
        <w:pStyle w:val="ListParagraph"/>
        <w:numPr>
          <w:ilvl w:val="0"/>
          <w:numId w:val="1"/>
        </w:numPr>
      </w:pPr>
      <w:r w:rsidRPr="00083E35">
        <w:rPr>
          <w:b/>
          <w:bCs/>
        </w:rPr>
        <w:lastRenderedPageBreak/>
        <w:t>Do Statistically Significant Differences in Health Outcome Rates Exist Among Demographic and SDOH Groups? (All PHP)</w:t>
      </w:r>
    </w:p>
    <w:p w14:paraId="6D30F0F3" w14:textId="4D1A8DAA" w:rsidR="00083E35" w:rsidRPr="00083E35" w:rsidRDefault="00083E35" w:rsidP="00083E35">
      <w:pPr>
        <w:pStyle w:val="ListParagraph"/>
        <w:numPr>
          <w:ilvl w:val="0"/>
          <w:numId w:val="1"/>
        </w:numPr>
      </w:pPr>
      <w:r w:rsidRPr="00083E35">
        <w:rPr>
          <w:b/>
          <w:bCs/>
        </w:rPr>
        <w:t>Do Statistically Significant Differences in Health Outcome Rates Exist Among Demographic and SDOH Groups? (Medicaid)</w:t>
      </w:r>
    </w:p>
    <w:p w14:paraId="1746CC79" w14:textId="307F9C58" w:rsidR="00083E35" w:rsidRPr="00083E35" w:rsidRDefault="00083E35" w:rsidP="00083E35">
      <w:pPr>
        <w:pStyle w:val="ListParagraph"/>
        <w:numPr>
          <w:ilvl w:val="0"/>
          <w:numId w:val="1"/>
        </w:numPr>
      </w:pPr>
      <w:r w:rsidRPr="00083E35">
        <w:rPr>
          <w:b/>
          <w:bCs/>
        </w:rPr>
        <w:t xml:space="preserve">Do Statistically Significant Differences in Health Outcomes Rates Exist Among Demographic and SDOH </w:t>
      </w:r>
      <w:proofErr w:type="gramStart"/>
      <w:r w:rsidRPr="00083E35">
        <w:rPr>
          <w:b/>
          <w:bCs/>
        </w:rPr>
        <w:t>Groups?(</w:t>
      </w:r>
      <w:proofErr w:type="gramEnd"/>
      <w:r w:rsidRPr="00083E35">
        <w:rPr>
          <w:b/>
          <w:bCs/>
        </w:rPr>
        <w:t>Medicare)</w:t>
      </w:r>
    </w:p>
    <w:p w14:paraId="52C1A3B6" w14:textId="1CE3D4C9" w:rsidR="00083E35" w:rsidRPr="00083E35" w:rsidRDefault="00083E35" w:rsidP="00083E35">
      <w:pPr>
        <w:pStyle w:val="ListParagraph"/>
        <w:numPr>
          <w:ilvl w:val="0"/>
          <w:numId w:val="1"/>
        </w:numPr>
      </w:pPr>
      <w:r w:rsidRPr="00083E35">
        <w:rPr>
          <w:b/>
          <w:bCs/>
        </w:rPr>
        <w:t xml:space="preserve">Do Statistically Significant Differences in Health Outcomes Rates Exist Among Demographic and SDOH </w:t>
      </w:r>
      <w:proofErr w:type="gramStart"/>
      <w:r w:rsidRPr="00083E35">
        <w:rPr>
          <w:b/>
          <w:bCs/>
        </w:rPr>
        <w:t>Groups?(</w:t>
      </w:r>
      <w:proofErr w:type="gramEnd"/>
      <w:r w:rsidRPr="00083E35">
        <w:rPr>
          <w:b/>
          <w:bCs/>
        </w:rPr>
        <w:t>Commercial)</w:t>
      </w:r>
    </w:p>
    <w:p w14:paraId="0B2A567F" w14:textId="3262CF2E" w:rsidR="00083E35" w:rsidRPr="00083E35" w:rsidRDefault="00083E35" w:rsidP="00083E35">
      <w:pPr>
        <w:pStyle w:val="ListParagraph"/>
        <w:numPr>
          <w:ilvl w:val="0"/>
          <w:numId w:val="1"/>
        </w:numPr>
      </w:pPr>
      <w:r w:rsidRPr="00083E35">
        <w:rPr>
          <w:b/>
          <w:bCs/>
        </w:rPr>
        <w:t xml:space="preserve">How Does Food Insecurity Affect Health Outcomes </w:t>
      </w:r>
      <w:proofErr w:type="gramStart"/>
      <w:r w:rsidRPr="00083E35">
        <w:rPr>
          <w:b/>
          <w:bCs/>
        </w:rPr>
        <w:t>For</w:t>
      </w:r>
      <w:proofErr w:type="gramEnd"/>
      <w:r w:rsidRPr="00083E35">
        <w:rPr>
          <w:b/>
          <w:bCs/>
        </w:rPr>
        <w:t xml:space="preserve"> the Medicaid Population?</w:t>
      </w:r>
    </w:p>
    <w:p w14:paraId="323E07BD" w14:textId="47769714" w:rsidR="00083E35" w:rsidRPr="00083E35" w:rsidRDefault="00083E35" w:rsidP="00083E35">
      <w:pPr>
        <w:pStyle w:val="ListParagraph"/>
        <w:numPr>
          <w:ilvl w:val="0"/>
          <w:numId w:val="1"/>
        </w:numPr>
      </w:pPr>
      <w:r w:rsidRPr="00083E35">
        <w:rPr>
          <w:b/>
          <w:bCs/>
        </w:rPr>
        <w:t xml:space="preserve">How Does Housing Insecurity Affect Health Outcomes </w:t>
      </w:r>
      <w:proofErr w:type="gramStart"/>
      <w:r w:rsidRPr="00083E35">
        <w:rPr>
          <w:b/>
          <w:bCs/>
        </w:rPr>
        <w:t>For</w:t>
      </w:r>
      <w:proofErr w:type="gramEnd"/>
      <w:r w:rsidRPr="00083E35">
        <w:rPr>
          <w:b/>
          <w:bCs/>
        </w:rPr>
        <w:t xml:space="preserve"> the Medicaid Population?</w:t>
      </w:r>
    </w:p>
    <w:p w14:paraId="205662BF" w14:textId="2507FC8D" w:rsidR="00083E35" w:rsidRPr="00083E35" w:rsidRDefault="00083E35" w:rsidP="00083E35">
      <w:pPr>
        <w:pStyle w:val="ListParagraph"/>
        <w:numPr>
          <w:ilvl w:val="0"/>
          <w:numId w:val="1"/>
        </w:numPr>
      </w:pPr>
      <w:r w:rsidRPr="00083E35">
        <w:rPr>
          <w:b/>
          <w:bCs/>
        </w:rPr>
        <w:t xml:space="preserve">How Does Transportation Insecurity Affect Health Outcomes </w:t>
      </w:r>
      <w:proofErr w:type="gramStart"/>
      <w:r w:rsidRPr="00083E35">
        <w:rPr>
          <w:b/>
          <w:bCs/>
        </w:rPr>
        <w:t>For</w:t>
      </w:r>
      <w:proofErr w:type="gramEnd"/>
      <w:r w:rsidRPr="00083E35">
        <w:rPr>
          <w:b/>
          <w:bCs/>
        </w:rPr>
        <w:t xml:space="preserve"> the Medicaid Population?</w:t>
      </w:r>
    </w:p>
    <w:p w14:paraId="0CDC54B2" w14:textId="77777777" w:rsidR="00083E35" w:rsidRPr="007A384E" w:rsidRDefault="00083E35" w:rsidP="007A384E">
      <w:pPr>
        <w:pStyle w:val="ListParagraph"/>
        <w:rPr>
          <w:b/>
          <w:bCs/>
        </w:rPr>
      </w:pPr>
    </w:p>
    <w:p w14:paraId="01197CCE" w14:textId="7553765D" w:rsidR="00083E35" w:rsidRDefault="00083E35" w:rsidP="00083E35">
      <w:pPr>
        <w:pStyle w:val="NormalWeb"/>
        <w:spacing w:before="0" w:beforeAutospacing="0" w:after="0" w:afterAutospacing="0"/>
        <w:ind w:left="360"/>
      </w:pPr>
      <w:r>
        <w:rPr>
          <w:rFonts w:ascii="Arial" w:hAnsi="Arial" w:cs="Arial"/>
          <w:b/>
          <w:bCs/>
          <w:color w:val="4E79A7"/>
        </w:rPr>
        <w:t xml:space="preserve">How to Read </w:t>
      </w:r>
      <w:r w:rsidR="007A384E">
        <w:rPr>
          <w:rFonts w:ascii="Arial" w:hAnsi="Arial" w:cs="Arial"/>
          <w:b/>
          <w:bCs/>
          <w:color w:val="4E79A7"/>
        </w:rPr>
        <w:t>above</w:t>
      </w:r>
      <w:r>
        <w:rPr>
          <w:rFonts w:ascii="Arial" w:hAnsi="Arial" w:cs="Arial"/>
          <w:b/>
          <w:bCs/>
          <w:color w:val="4E79A7"/>
        </w:rPr>
        <w:t xml:space="preserve"> Page</w:t>
      </w:r>
      <w:r w:rsidR="007A384E">
        <w:rPr>
          <w:rFonts w:ascii="Arial" w:hAnsi="Arial" w:cs="Arial"/>
          <w:b/>
          <w:bCs/>
          <w:color w:val="4E79A7"/>
        </w:rPr>
        <w:t>s of the dashboard from 1 to 7</w:t>
      </w:r>
      <w:r>
        <w:rPr>
          <w:rFonts w:ascii="Arial" w:hAnsi="Arial" w:cs="Arial"/>
          <w:b/>
          <w:bCs/>
          <w:color w:val="4E79A7"/>
        </w:rPr>
        <w:t>:</w:t>
      </w:r>
    </w:p>
    <w:p w14:paraId="49D58955" w14:textId="77777777" w:rsidR="00083E35" w:rsidRDefault="00083E35" w:rsidP="00083E35">
      <w:pPr>
        <w:pStyle w:val="NormalWeb"/>
        <w:spacing w:before="0" w:beforeAutospacing="0" w:after="0" w:afterAutospacing="0"/>
        <w:ind w:left="360"/>
        <w:rPr>
          <w:rFonts w:ascii="Arial" w:hAnsi="Arial" w:cs="Arial"/>
          <w:color w:val="000000"/>
          <w:sz w:val="20"/>
          <w:szCs w:val="20"/>
        </w:rPr>
      </w:pPr>
    </w:p>
    <w:p w14:paraId="200258F3" w14:textId="77777777" w:rsidR="00083E35" w:rsidRDefault="00083E35" w:rsidP="00083E35">
      <w:pPr>
        <w:pStyle w:val="NormalWeb"/>
        <w:spacing w:before="0" w:beforeAutospacing="0" w:after="0" w:afterAutospacing="0"/>
        <w:ind w:left="360"/>
      </w:pPr>
      <w:r>
        <w:rPr>
          <w:rFonts w:ascii="Arial" w:hAnsi="Arial" w:cs="Arial"/>
          <w:b/>
          <w:bCs/>
          <w:color w:val="4E79A7"/>
          <w:sz w:val="20"/>
          <w:szCs w:val="20"/>
          <w:u w:val="single"/>
        </w:rPr>
        <w:t>Introduction</w:t>
      </w:r>
      <w:r>
        <w:rPr>
          <w:rFonts w:ascii="Arial" w:hAnsi="Arial" w:cs="Arial"/>
          <w:color w:val="000000"/>
          <w:sz w:val="20"/>
          <w:szCs w:val="20"/>
        </w:rPr>
        <w:t xml:space="preserve"> </w:t>
      </w:r>
    </w:p>
    <w:p w14:paraId="151B23C5"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This page shows which demographic and SDOH groups show statistically significant differences in health outcomes rates. </w:t>
      </w:r>
    </w:p>
    <w:p w14:paraId="4D37E69A" w14:textId="77777777" w:rsidR="00083E35" w:rsidRDefault="00083E35" w:rsidP="00083E35">
      <w:pPr>
        <w:pStyle w:val="NormalWeb"/>
        <w:spacing w:before="0" w:beforeAutospacing="0" w:after="0" w:afterAutospacing="0"/>
        <w:ind w:left="360"/>
      </w:pPr>
      <w:r>
        <w:rPr>
          <w:rFonts w:ascii="Arial" w:hAnsi="Arial" w:cs="Arial"/>
          <w:b/>
          <w:bCs/>
          <w:color w:val="4E79A7"/>
          <w:sz w:val="20"/>
          <w:szCs w:val="20"/>
          <w:u w:val="single"/>
        </w:rPr>
        <w:t xml:space="preserve">Methodology </w:t>
      </w:r>
    </w:p>
    <w:p w14:paraId="749677F6"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The largest demographic or SDOH category, in terms of patient count, are designated reference categories.</w:t>
      </w:r>
    </w:p>
    <w:p w14:paraId="4B850649"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Measures with a binary outcome (e.g. Breast Cancer Screening) were evaluated using a logistic regression model. Measures with a continuous outcome were evaluated using a linear regression model. Resultant p-values for demographic or SDOH categories that are &lt; 0.05 are considered statistically significant. All others, excluding reference and not calculated categories, were considered nonsignificant. </w:t>
      </w:r>
    </w:p>
    <w:p w14:paraId="494F0A57"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&gt; Significant p-value &lt; 0.05 </w:t>
      </w:r>
    </w:p>
    <w:p w14:paraId="784C940D"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&gt; Nonsignificant p-value: &gt;= 0.05 </w:t>
      </w:r>
    </w:p>
    <w:p w14:paraId="2CD8BEDE" w14:textId="77777777" w:rsidR="00083E35" w:rsidRDefault="00083E35" w:rsidP="00083E35">
      <w:pPr>
        <w:pStyle w:val="NormalWeb"/>
        <w:spacing w:before="0" w:beforeAutospacing="0" w:after="0" w:afterAutospacing="0"/>
        <w:ind w:left="360"/>
        <w:rPr>
          <w:rFonts w:ascii="Arial" w:hAnsi="Arial" w:cs="Arial"/>
          <w:color w:val="000000"/>
          <w:sz w:val="20"/>
          <w:szCs w:val="20"/>
        </w:rPr>
      </w:pPr>
    </w:p>
    <w:p w14:paraId="121F2624" w14:textId="77777777" w:rsidR="00083E35" w:rsidRDefault="00083E35" w:rsidP="00083E35">
      <w:pPr>
        <w:pStyle w:val="NormalWeb"/>
        <w:spacing w:before="0" w:beforeAutospacing="0" w:after="0" w:afterAutospacing="0"/>
        <w:ind w:left="360"/>
      </w:pPr>
      <w:r>
        <w:rPr>
          <w:rFonts w:ascii="Arial" w:hAnsi="Arial" w:cs="Arial"/>
          <w:b/>
          <w:bCs/>
          <w:color w:val="4E79A7"/>
          <w:sz w:val="20"/>
          <w:szCs w:val="20"/>
          <w:u w:val="single"/>
        </w:rPr>
        <w:t>Inclusions &amp; Exclusions</w:t>
      </w:r>
      <w:r>
        <w:rPr>
          <w:rFonts w:ascii="Arial" w:hAnsi="Arial" w:cs="Arial"/>
          <w:color w:val="000000"/>
          <w:sz w:val="20"/>
          <w:szCs w:val="20"/>
        </w:rPr>
        <w:t xml:space="preserve"> </w:t>
      </w:r>
    </w:p>
    <w:p w14:paraId="5006DE3C"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Health outcomes data are available over a rolling three-year period in the Overview tab. In this page, significance difference among demographic and SDOH groups was determined over a shorter period. Only patients/members that meet each measure's denominator inclusion criteria were evaluated. </w:t>
      </w:r>
    </w:p>
    <w:p w14:paraId="3288959D"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&gt; HEDIS measures: evaluated at year-end 2022 </w:t>
      </w:r>
    </w:p>
    <w:p w14:paraId="3CE07E81" w14:textId="77777777" w:rsidR="00083E35" w:rsidRDefault="00083E35" w:rsidP="00083E35">
      <w:pPr>
        <w:pStyle w:val="NormalWeb"/>
        <w:spacing w:before="0" w:beforeAutospacing="0" w:after="0" w:afterAutospacing="0"/>
        <w:ind w:left="360"/>
        <w:rPr>
          <w:rFonts w:ascii="Arial" w:hAnsi="Arial" w:cs="Arial"/>
          <w:color w:val="000000"/>
          <w:sz w:val="20"/>
          <w:szCs w:val="20"/>
        </w:rPr>
      </w:pPr>
    </w:p>
    <w:p w14:paraId="0B61E5DF" w14:textId="77777777" w:rsidR="00083E35" w:rsidRDefault="00083E35" w:rsidP="00083E35">
      <w:pPr>
        <w:pStyle w:val="NormalWeb"/>
        <w:spacing w:before="0" w:beforeAutospacing="0" w:after="0" w:afterAutospacing="0"/>
        <w:ind w:left="360"/>
      </w:pPr>
      <w:r>
        <w:rPr>
          <w:rFonts w:ascii="Arial" w:hAnsi="Arial" w:cs="Arial"/>
          <w:b/>
          <w:bCs/>
          <w:color w:val="4E79A7"/>
          <w:sz w:val="20"/>
          <w:szCs w:val="20"/>
          <w:u w:val="single"/>
        </w:rPr>
        <w:t>Interpretation</w:t>
      </w:r>
      <w:r>
        <w:rPr>
          <w:rFonts w:ascii="Arial" w:hAnsi="Arial" w:cs="Arial"/>
          <w:color w:val="4E79A7"/>
          <w:sz w:val="20"/>
          <w:szCs w:val="20"/>
        </w:rPr>
        <w:t xml:space="preserve"> </w:t>
      </w:r>
    </w:p>
    <w:p w14:paraId="45BC48AB" w14:textId="77777777" w:rsidR="00083E35" w:rsidRDefault="00083E35" w:rsidP="00083E35">
      <w:pPr>
        <w:pStyle w:val="NormalWeb"/>
        <w:spacing w:before="0" w:beforeAutospacing="0" w:after="0" w:afterAutospacing="0"/>
        <w:ind w:left="360"/>
      </w:pPr>
      <w:r>
        <w:rPr>
          <w:rFonts w:ascii="Arial" w:hAnsi="Arial" w:cs="Arial"/>
          <w:i/>
          <w:iCs/>
          <w:color w:val="000000"/>
          <w:sz w:val="20"/>
          <w:szCs w:val="20"/>
        </w:rPr>
        <w:t>Significant</w:t>
      </w:r>
      <w:r>
        <w:rPr>
          <w:rFonts w:ascii="Arial" w:hAnsi="Arial" w:cs="Arial"/>
          <w:color w:val="000000"/>
          <w:sz w:val="20"/>
          <w:szCs w:val="20"/>
        </w:rPr>
        <w:t xml:space="preserve">: The outcome event was significantly more or less likely to occur for this group compared to the reference group (blue bars) when </w:t>
      </w:r>
      <w:proofErr w:type="gramStart"/>
      <w:r>
        <w:rPr>
          <w:rFonts w:ascii="Arial" w:hAnsi="Arial" w:cs="Arial"/>
          <w:color w:val="000000"/>
          <w:sz w:val="20"/>
          <w:szCs w:val="20"/>
        </w:rPr>
        <w:t>controlling for</w:t>
      </w:r>
      <w:proofErr w:type="gramEnd"/>
      <w:r>
        <w:rPr>
          <w:rFonts w:ascii="Arial" w:hAnsi="Arial" w:cs="Arial"/>
          <w:color w:val="000000"/>
          <w:sz w:val="20"/>
          <w:szCs w:val="20"/>
        </w:rPr>
        <w:t xml:space="preserve"> other demographic and SDOH factors. ‘Significantly more likely’ and ‘significantly less likely’ can be good/better (green bar) or bad/worse (orange bar) depending on the health outcome measure. </w:t>
      </w:r>
    </w:p>
    <w:p w14:paraId="633CABD9" w14:textId="77777777" w:rsidR="00083E35" w:rsidRDefault="00083E35" w:rsidP="00083E35">
      <w:pPr>
        <w:pStyle w:val="NormalWeb"/>
        <w:spacing w:before="0" w:beforeAutospacing="0" w:after="0" w:afterAutospacing="0"/>
        <w:ind w:left="360"/>
      </w:pPr>
      <w:r>
        <w:rPr>
          <w:rFonts w:ascii="Arial" w:hAnsi="Arial" w:cs="Arial"/>
          <w:i/>
          <w:iCs/>
          <w:color w:val="000000"/>
          <w:sz w:val="20"/>
          <w:szCs w:val="20"/>
        </w:rPr>
        <w:t>Nonsignificant</w:t>
      </w:r>
      <w:r>
        <w:rPr>
          <w:rFonts w:ascii="Arial" w:hAnsi="Arial" w:cs="Arial"/>
          <w:color w:val="000000"/>
          <w:sz w:val="20"/>
          <w:szCs w:val="20"/>
        </w:rPr>
        <w:t xml:space="preserve">: The outcome event was not more or less likely (grey bars) to occur for this group compared to the reference group (blue bars). </w:t>
      </w:r>
    </w:p>
    <w:p w14:paraId="29999AF8"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&gt; Significantly Better categories:</w:t>
      </w:r>
      <w:r>
        <w:rPr>
          <w:rFonts w:ascii="Arial" w:hAnsi="Arial" w:cs="Arial"/>
          <w:color w:val="59A14F"/>
          <w:sz w:val="20"/>
          <w:szCs w:val="20"/>
        </w:rPr>
        <w:t xml:space="preserve"> </w:t>
      </w:r>
      <w:r>
        <w:rPr>
          <w:rFonts w:ascii="Arial" w:hAnsi="Arial" w:cs="Arial"/>
          <w:b/>
          <w:bCs/>
          <w:color w:val="59A14F"/>
          <w:sz w:val="20"/>
          <w:szCs w:val="20"/>
        </w:rPr>
        <w:t>green</w:t>
      </w:r>
      <w:r>
        <w:rPr>
          <w:rFonts w:ascii="Arial" w:hAnsi="Arial" w:cs="Arial"/>
          <w:color w:val="59A14F"/>
          <w:sz w:val="20"/>
          <w:szCs w:val="20"/>
        </w:rPr>
        <w:t xml:space="preserve"> </w:t>
      </w:r>
    </w:p>
    <w:p w14:paraId="04DAEE98"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&gt; Significantly Worse categories:</w:t>
      </w:r>
      <w:r>
        <w:rPr>
          <w:rFonts w:ascii="Arial" w:hAnsi="Arial" w:cs="Arial"/>
          <w:color w:val="59A14F"/>
          <w:sz w:val="20"/>
          <w:szCs w:val="20"/>
        </w:rPr>
        <w:t xml:space="preserve"> </w:t>
      </w:r>
      <w:r>
        <w:rPr>
          <w:rFonts w:ascii="Arial" w:hAnsi="Arial" w:cs="Arial"/>
          <w:b/>
          <w:bCs/>
          <w:color w:val="FF5500"/>
          <w:sz w:val="20"/>
          <w:szCs w:val="20"/>
        </w:rPr>
        <w:t>orange</w:t>
      </w:r>
      <w:r>
        <w:rPr>
          <w:rFonts w:ascii="Arial" w:hAnsi="Arial" w:cs="Arial"/>
          <w:color w:val="000000"/>
          <w:sz w:val="20"/>
          <w:szCs w:val="20"/>
        </w:rPr>
        <w:t xml:space="preserve"> </w:t>
      </w:r>
    </w:p>
    <w:p w14:paraId="5DFFF02B"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&gt; Nonsignificant categories: </w:t>
      </w:r>
      <w:r>
        <w:rPr>
          <w:rFonts w:ascii="Arial" w:hAnsi="Arial" w:cs="Arial"/>
          <w:b/>
          <w:bCs/>
          <w:color w:val="C0C0C0"/>
          <w:sz w:val="20"/>
          <w:szCs w:val="20"/>
        </w:rPr>
        <w:t>grey</w:t>
      </w:r>
      <w:r>
        <w:rPr>
          <w:rFonts w:ascii="Arial" w:hAnsi="Arial" w:cs="Arial"/>
          <w:color w:val="000000"/>
          <w:sz w:val="20"/>
          <w:szCs w:val="20"/>
        </w:rPr>
        <w:t xml:space="preserve"> </w:t>
      </w:r>
    </w:p>
    <w:p w14:paraId="3EAD8F3E"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&gt; Reference categories: </w:t>
      </w:r>
      <w:r>
        <w:rPr>
          <w:rFonts w:ascii="Arial" w:hAnsi="Arial" w:cs="Arial"/>
          <w:b/>
          <w:bCs/>
          <w:color w:val="4E79A7"/>
          <w:sz w:val="20"/>
          <w:szCs w:val="20"/>
        </w:rPr>
        <w:t>blue</w:t>
      </w:r>
      <w:r>
        <w:rPr>
          <w:rFonts w:ascii="Arial" w:hAnsi="Arial" w:cs="Arial"/>
          <w:color w:val="000000"/>
          <w:sz w:val="20"/>
          <w:szCs w:val="20"/>
        </w:rPr>
        <w:t xml:space="preserve"> </w:t>
      </w:r>
    </w:p>
    <w:p w14:paraId="235D0D66" w14:textId="77777777" w:rsidR="00083E35" w:rsidRDefault="00083E35" w:rsidP="00083E35">
      <w:pPr>
        <w:pStyle w:val="NormalWeb"/>
        <w:spacing w:before="0" w:beforeAutospacing="0" w:after="0" w:afterAutospacing="0"/>
        <w:ind w:left="360"/>
        <w:rPr>
          <w:rFonts w:ascii="Arial" w:hAnsi="Arial" w:cs="Arial"/>
          <w:color w:val="000000"/>
          <w:sz w:val="20"/>
          <w:szCs w:val="20"/>
        </w:rPr>
      </w:pPr>
    </w:p>
    <w:p w14:paraId="43D7CDA8" w14:textId="77777777" w:rsidR="00083E35" w:rsidRDefault="00083E35" w:rsidP="00083E35">
      <w:pPr>
        <w:pStyle w:val="NormalWeb"/>
        <w:spacing w:before="0" w:beforeAutospacing="0" w:after="0" w:afterAutospacing="0"/>
        <w:ind w:left="360"/>
      </w:pPr>
      <w:r>
        <w:rPr>
          <w:rFonts w:ascii="Arial" w:hAnsi="Arial" w:cs="Arial"/>
          <w:b/>
          <w:bCs/>
          <w:color w:val="4E79A7"/>
          <w:sz w:val="20"/>
          <w:szCs w:val="20"/>
          <w:u w:val="single"/>
        </w:rPr>
        <w:t>Example</w:t>
      </w:r>
      <w:r>
        <w:rPr>
          <w:rFonts w:ascii="Arial" w:hAnsi="Arial" w:cs="Arial"/>
          <w:color w:val="4E79A7"/>
          <w:sz w:val="20"/>
          <w:szCs w:val="20"/>
        </w:rPr>
        <w:t xml:space="preserve"> </w:t>
      </w:r>
    </w:p>
    <w:p w14:paraId="48F98A6F"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Among Housing Insecurity categories for the Breast Cancer Screening measure, PHP members who have housing insecurity “Yes” are significantly less likely to complete the screening measure than PHP members who have housing insecurity "No" i.e. reference population. Less likely to complete screening is a bad thing, so housing insecurity “Yes” is coded orange.</w:t>
      </w:r>
    </w:p>
    <w:p w14:paraId="2840AD73"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  </w:t>
      </w:r>
    </w:p>
    <w:p w14:paraId="544AE88C" w14:textId="77777777" w:rsidR="00083E35" w:rsidRDefault="00083E35" w:rsidP="00083E35">
      <w:pPr>
        <w:pStyle w:val="NormalWeb"/>
        <w:spacing w:before="0" w:beforeAutospacing="0" w:after="0" w:afterAutospacing="0"/>
        <w:ind w:left="360"/>
      </w:pPr>
      <w:r>
        <w:rPr>
          <w:rFonts w:ascii="Arial" w:hAnsi="Arial" w:cs="Arial"/>
          <w:color w:val="000000"/>
          <w:sz w:val="20"/>
          <w:szCs w:val="20"/>
        </w:rPr>
        <w:lastRenderedPageBreak/>
        <w:t xml:space="preserve">Another example is Household Education Level. Even though the % of PHP members who have completed their screening is higher (55.4%) than the reference education unknown population (52.7%), they are significantly less likely to complete screenings than the reference population. This is due to controlling for additional factors like age, race, ethnicity </w:t>
      </w:r>
      <w:proofErr w:type="gramStart"/>
      <w:r>
        <w:rPr>
          <w:rFonts w:ascii="Arial" w:hAnsi="Arial" w:cs="Arial"/>
          <w:color w:val="000000"/>
          <w:sz w:val="20"/>
          <w:szCs w:val="20"/>
        </w:rPr>
        <w:t>etc. ,</w:t>
      </w:r>
      <w:proofErr w:type="gramEnd"/>
      <w:r>
        <w:rPr>
          <w:rFonts w:ascii="Arial" w:hAnsi="Arial" w:cs="Arial"/>
          <w:color w:val="000000"/>
          <w:sz w:val="20"/>
          <w:szCs w:val="20"/>
        </w:rPr>
        <w:t xml:space="preserve"> when controlling for more than just a single factor (in this case household education level), PHP members with higher education level do significantly worse for screening completion, so “Education” is coded orange </w:t>
      </w:r>
    </w:p>
    <w:p w14:paraId="58C81F8B" w14:textId="77777777" w:rsidR="00083E35" w:rsidRDefault="00083E35" w:rsidP="00083E35">
      <w:pPr>
        <w:pStyle w:val="NormalWeb"/>
        <w:spacing w:before="0" w:beforeAutospacing="0" w:after="0" w:afterAutospacing="0"/>
        <w:ind w:left="360"/>
        <w:rPr>
          <w:rFonts w:ascii="Arial" w:hAnsi="Arial" w:cs="Arial"/>
          <w:color w:val="000000"/>
          <w:sz w:val="20"/>
          <w:szCs w:val="20"/>
        </w:rPr>
      </w:pPr>
    </w:p>
    <w:p w14:paraId="106F0BCA" w14:textId="77777777" w:rsidR="00083E35" w:rsidRDefault="00083E35" w:rsidP="00083E35">
      <w:pPr>
        <w:pStyle w:val="NormalWeb"/>
        <w:spacing w:before="0" w:beforeAutospacing="0" w:after="0" w:afterAutospacing="0"/>
        <w:ind w:left="360"/>
      </w:pPr>
      <w:r>
        <w:rPr>
          <w:rFonts w:ascii="Arial" w:hAnsi="Arial" w:cs="Arial"/>
          <w:b/>
          <w:bCs/>
          <w:color w:val="4E79A7"/>
          <w:u w:val="single"/>
        </w:rPr>
        <w:t>How To Use:</w:t>
      </w:r>
      <w:r>
        <w:rPr>
          <w:rFonts w:ascii="Arial" w:hAnsi="Arial" w:cs="Arial"/>
          <w:b/>
          <w:bCs/>
          <w:color w:val="000000"/>
          <w:u w:val="single"/>
        </w:rPr>
        <w:t xml:space="preserve"> </w:t>
      </w:r>
    </w:p>
    <w:p w14:paraId="0F23F444" w14:textId="77777777" w:rsidR="00083E35" w:rsidRDefault="00083E35" w:rsidP="00083E35">
      <w:pPr>
        <w:pStyle w:val="NormalWeb"/>
        <w:spacing w:before="0" w:beforeAutospacing="0" w:after="0" w:afterAutospacing="0"/>
        <w:ind w:left="360"/>
      </w:pPr>
      <w:r>
        <w:rPr>
          <w:rFonts w:ascii="Arial" w:hAnsi="Arial" w:cs="Arial"/>
          <w:color w:val="000000"/>
          <w:sz w:val="18"/>
          <w:szCs w:val="18"/>
        </w:rPr>
        <w:t xml:space="preserve">  </w:t>
      </w:r>
    </w:p>
    <w:p w14:paraId="715E8ACC"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 Look for green and orange bars in the charts below, these indicate </w:t>
      </w:r>
      <w:r>
        <w:rPr>
          <w:rFonts w:ascii="Arial" w:hAnsi="Arial" w:cs="Arial"/>
          <w:b/>
          <w:bCs/>
          <w:color w:val="000000"/>
          <w:sz w:val="20"/>
          <w:szCs w:val="20"/>
        </w:rPr>
        <w:t>opportunities for improvement</w:t>
      </w:r>
      <w:r>
        <w:rPr>
          <w:rFonts w:ascii="Arial" w:hAnsi="Arial" w:cs="Arial"/>
          <w:color w:val="000000"/>
          <w:sz w:val="20"/>
          <w:szCs w:val="20"/>
        </w:rPr>
        <w:t xml:space="preserve">. </w:t>
      </w:r>
    </w:p>
    <w:p w14:paraId="52FFB9DB"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 For populations with green or orange bars, when </w:t>
      </w:r>
      <w:r>
        <w:rPr>
          <w:rFonts w:ascii="Arial" w:hAnsi="Arial" w:cs="Arial"/>
          <w:b/>
          <w:bCs/>
          <w:color w:val="000000"/>
          <w:sz w:val="20"/>
          <w:szCs w:val="20"/>
        </w:rPr>
        <w:t>adjusting</w:t>
      </w:r>
      <w:r>
        <w:rPr>
          <w:rFonts w:ascii="Arial" w:hAnsi="Arial" w:cs="Arial"/>
          <w:color w:val="000000"/>
          <w:sz w:val="20"/>
          <w:szCs w:val="20"/>
        </w:rPr>
        <w:t xml:space="preserve"> for all other SDOH factors, </w:t>
      </w:r>
      <w:r>
        <w:rPr>
          <w:rFonts w:ascii="Arial" w:hAnsi="Arial" w:cs="Arial"/>
          <w:b/>
          <w:bCs/>
          <w:color w:val="000000"/>
          <w:sz w:val="20"/>
          <w:szCs w:val="20"/>
        </w:rPr>
        <w:t>that</w:t>
      </w:r>
      <w:r>
        <w:rPr>
          <w:rFonts w:ascii="Arial" w:hAnsi="Arial" w:cs="Arial"/>
          <w:color w:val="000000"/>
          <w:sz w:val="20"/>
          <w:szCs w:val="20"/>
        </w:rPr>
        <w:t xml:space="preserve"> specific SDOH factor for the bar chart is causing a difference in the completion of the selected measure. </w:t>
      </w:r>
    </w:p>
    <w:p w14:paraId="3789E93D" w14:textId="77777777" w:rsidR="00083E35" w:rsidRDefault="00083E35" w:rsidP="00083E35">
      <w:pPr>
        <w:pStyle w:val="NormalWeb"/>
        <w:spacing w:before="0" w:beforeAutospacing="0" w:after="0" w:afterAutospacing="0"/>
        <w:ind w:left="360"/>
      </w:pPr>
      <w:r>
        <w:rPr>
          <w:rFonts w:ascii="Arial" w:hAnsi="Arial" w:cs="Arial"/>
          <w:color w:val="000000"/>
          <w:sz w:val="20"/>
          <w:szCs w:val="20"/>
        </w:rPr>
        <w:t xml:space="preserve">- The selected measure completion % above each bar is the </w:t>
      </w:r>
      <w:r>
        <w:rPr>
          <w:rFonts w:ascii="Arial" w:hAnsi="Arial" w:cs="Arial"/>
          <w:b/>
          <w:bCs/>
          <w:color w:val="000000"/>
          <w:sz w:val="20"/>
          <w:szCs w:val="20"/>
        </w:rPr>
        <w:t xml:space="preserve">raw rate </w:t>
      </w:r>
      <w:r>
        <w:rPr>
          <w:rFonts w:ascii="Arial" w:hAnsi="Arial" w:cs="Arial"/>
          <w:color w:val="000000"/>
          <w:sz w:val="20"/>
          <w:szCs w:val="20"/>
        </w:rPr>
        <w:t xml:space="preserve">without adjusting for other factors </w:t>
      </w:r>
    </w:p>
    <w:p w14:paraId="40C5AB77" w14:textId="77777777" w:rsidR="00083E35" w:rsidRPr="00083E35" w:rsidRDefault="00083E35" w:rsidP="00083E35">
      <w:pPr>
        <w:ind w:left="360"/>
      </w:pPr>
      <w:r w:rsidRPr="00083E35">
        <w:rPr>
          <w:rFonts w:ascii="Arial" w:hAnsi="Arial" w:cs="Arial"/>
          <w:color w:val="000000"/>
          <w:sz w:val="20"/>
          <w:szCs w:val="20"/>
        </w:rPr>
        <w:t xml:space="preserve">- There will be instances where the </w:t>
      </w:r>
      <w:r w:rsidRPr="00083E35">
        <w:rPr>
          <w:rFonts w:ascii="Arial" w:hAnsi="Arial" w:cs="Arial"/>
          <w:b/>
          <w:bCs/>
          <w:color w:val="000000"/>
          <w:sz w:val="20"/>
          <w:szCs w:val="20"/>
        </w:rPr>
        <w:t>raw rate</w:t>
      </w:r>
      <w:r w:rsidRPr="00083E35">
        <w:rPr>
          <w:rFonts w:ascii="Arial" w:hAnsi="Arial" w:cs="Arial"/>
          <w:color w:val="000000"/>
          <w:sz w:val="20"/>
          <w:szCs w:val="20"/>
        </w:rPr>
        <w:t xml:space="preserve"> does not appear to agree with the </w:t>
      </w:r>
      <w:r w:rsidRPr="00083E35">
        <w:rPr>
          <w:rFonts w:ascii="Arial" w:hAnsi="Arial" w:cs="Arial"/>
          <w:b/>
          <w:bCs/>
          <w:color w:val="000000"/>
          <w:sz w:val="20"/>
          <w:szCs w:val="20"/>
        </w:rPr>
        <w:t>adjusted</w:t>
      </w:r>
      <w:r w:rsidRPr="00083E35">
        <w:rPr>
          <w:rFonts w:ascii="Arial" w:hAnsi="Arial" w:cs="Arial"/>
          <w:color w:val="000000"/>
          <w:sz w:val="20"/>
          <w:szCs w:val="20"/>
        </w:rPr>
        <w:t xml:space="preserve"> model (green or orange coloring), but this is to be </w:t>
      </w:r>
      <w:r w:rsidRPr="00083E35">
        <w:rPr>
          <w:rFonts w:ascii="Arial" w:hAnsi="Arial" w:cs="Arial"/>
          <w:b/>
          <w:bCs/>
          <w:color w:val="000000"/>
          <w:sz w:val="20"/>
          <w:szCs w:val="20"/>
        </w:rPr>
        <w:t>expected</w:t>
      </w:r>
      <w:r w:rsidRPr="00083E35">
        <w:rPr>
          <w:rFonts w:ascii="Arial" w:hAnsi="Arial" w:cs="Arial"/>
          <w:color w:val="000000"/>
          <w:sz w:val="20"/>
          <w:szCs w:val="20"/>
        </w:rPr>
        <w:t xml:space="preserve"> due to model adjustment.</w:t>
      </w:r>
    </w:p>
    <w:p w14:paraId="16E2128A" w14:textId="77777777" w:rsidR="00083E35" w:rsidRDefault="00083E35" w:rsidP="00083E35">
      <w:pPr>
        <w:ind w:left="360"/>
      </w:pPr>
    </w:p>
    <w:p w14:paraId="3FC011EB" w14:textId="77777777" w:rsidR="007A384E" w:rsidRDefault="007A384E" w:rsidP="007A384E">
      <w:pPr>
        <w:pStyle w:val="NormalWeb"/>
        <w:numPr>
          <w:ilvl w:val="0"/>
          <w:numId w:val="1"/>
        </w:numPr>
        <w:spacing w:before="0" w:beforeAutospacing="0" w:after="0" w:afterAutospacing="0"/>
        <w:rPr>
          <w:rFonts w:asciiTheme="minorHAnsi" w:eastAsiaTheme="minorHAnsi" w:hAnsiTheme="minorHAnsi" w:cstheme="minorBidi"/>
          <w:b/>
          <w:bCs/>
          <w:kern w:val="2"/>
          <w14:ligatures w14:val="standardContextual"/>
        </w:rPr>
      </w:pPr>
      <w:r w:rsidRPr="007A384E">
        <w:rPr>
          <w:rFonts w:asciiTheme="minorHAnsi" w:eastAsiaTheme="minorHAnsi" w:hAnsiTheme="minorHAnsi" w:cstheme="minorBidi"/>
          <w:b/>
          <w:bCs/>
          <w:kern w:val="2"/>
          <w14:ligatures w14:val="standardContextual"/>
        </w:rPr>
        <w:t>What Are the Health Outcome Rates Among Demographic and SDOH Groups?</w:t>
      </w:r>
    </w:p>
    <w:p w14:paraId="5807707D" w14:textId="28FAFD72" w:rsidR="007A384E" w:rsidRDefault="007A384E" w:rsidP="007A384E">
      <w:pPr>
        <w:pStyle w:val="NormalWeb"/>
        <w:spacing w:before="0" w:beforeAutospacing="0" w:after="0" w:afterAutospacing="0"/>
        <w:ind w:left="720"/>
        <w:rPr>
          <w:rFonts w:ascii="Arial" w:eastAsiaTheme="minorHAnsi" w:hAnsi="Arial" w:cs="Arial"/>
          <w:color w:val="000000"/>
          <w:kern w:val="2"/>
          <w:sz w:val="20"/>
          <w:szCs w:val="20"/>
          <w14:ligatures w14:val="standardContextual"/>
        </w:rPr>
      </w:pPr>
      <w:r w:rsidRPr="007A384E">
        <w:rPr>
          <w:rFonts w:ascii="Arial" w:eastAsiaTheme="minorHAnsi" w:hAnsi="Arial" w:cs="Arial"/>
          <w:color w:val="000000"/>
          <w:kern w:val="2"/>
          <w:sz w:val="20"/>
          <w:szCs w:val="20"/>
          <w14:ligatures w14:val="standardContextual"/>
        </w:rPr>
        <w:t xml:space="preserve">The graphs below illustrate health outcome rates for member demographics and SDOH factors for a rolling 3-year </w:t>
      </w:r>
      <w:proofErr w:type="gramStart"/>
      <w:r w:rsidRPr="007A384E">
        <w:rPr>
          <w:rFonts w:ascii="Arial" w:eastAsiaTheme="minorHAnsi" w:hAnsi="Arial" w:cs="Arial"/>
          <w:color w:val="000000"/>
          <w:kern w:val="2"/>
          <w:sz w:val="20"/>
          <w:szCs w:val="20"/>
          <w14:ligatures w14:val="standardContextual"/>
        </w:rPr>
        <w:t>time period</w:t>
      </w:r>
      <w:proofErr w:type="gramEnd"/>
      <w:r w:rsidRPr="007A384E">
        <w:rPr>
          <w:rFonts w:ascii="Arial" w:eastAsiaTheme="minorHAnsi" w:hAnsi="Arial" w:cs="Arial"/>
          <w:color w:val="000000"/>
          <w:kern w:val="2"/>
          <w:sz w:val="20"/>
          <w:szCs w:val="20"/>
          <w14:ligatures w14:val="standardContextual"/>
        </w:rPr>
        <w:t xml:space="preserve"> (20</w:t>
      </w:r>
      <w:r>
        <w:rPr>
          <w:rFonts w:ascii="Arial" w:eastAsiaTheme="minorHAnsi" w:hAnsi="Arial" w:cs="Arial"/>
          <w:color w:val="000000"/>
          <w:kern w:val="2"/>
          <w:sz w:val="20"/>
          <w:szCs w:val="20"/>
          <w14:ligatures w14:val="standardContextual"/>
        </w:rPr>
        <w:t>23</w:t>
      </w:r>
      <w:r w:rsidRPr="007A384E">
        <w:rPr>
          <w:rFonts w:ascii="Arial" w:eastAsiaTheme="minorHAnsi" w:hAnsi="Arial" w:cs="Arial"/>
          <w:color w:val="000000"/>
          <w:kern w:val="2"/>
          <w:sz w:val="20"/>
          <w:szCs w:val="20"/>
          <w14:ligatures w14:val="standardContextual"/>
        </w:rPr>
        <w:t>-202</w:t>
      </w:r>
      <w:r>
        <w:rPr>
          <w:rFonts w:ascii="Arial" w:eastAsiaTheme="minorHAnsi" w:hAnsi="Arial" w:cs="Arial"/>
          <w:color w:val="000000"/>
          <w:kern w:val="2"/>
          <w:sz w:val="20"/>
          <w:szCs w:val="20"/>
          <w14:ligatures w14:val="standardContextual"/>
        </w:rPr>
        <w:t>5</w:t>
      </w:r>
      <w:r w:rsidRPr="007A384E">
        <w:rPr>
          <w:rFonts w:ascii="Arial" w:eastAsiaTheme="minorHAnsi" w:hAnsi="Arial" w:cs="Arial"/>
          <w:color w:val="000000"/>
          <w:kern w:val="2"/>
          <w:sz w:val="20"/>
          <w:szCs w:val="20"/>
          <w14:ligatures w14:val="standardContextual"/>
        </w:rPr>
        <w:t xml:space="preserve">). Users can select HEDIS measure, line of business, </w:t>
      </w:r>
      <w:proofErr w:type="gramStart"/>
      <w:r w:rsidRPr="007A384E">
        <w:rPr>
          <w:rFonts w:ascii="Arial" w:eastAsiaTheme="minorHAnsi" w:hAnsi="Arial" w:cs="Arial"/>
          <w:color w:val="000000"/>
          <w:kern w:val="2"/>
          <w:sz w:val="20"/>
          <w:szCs w:val="20"/>
          <w14:ligatures w14:val="standardContextual"/>
        </w:rPr>
        <w:t>time period</w:t>
      </w:r>
      <w:proofErr w:type="gramEnd"/>
      <w:r w:rsidRPr="007A384E">
        <w:rPr>
          <w:rFonts w:ascii="Arial" w:eastAsiaTheme="minorHAnsi" w:hAnsi="Arial" w:cs="Arial"/>
          <w:color w:val="000000"/>
          <w:kern w:val="2"/>
          <w:sz w:val="20"/>
          <w:szCs w:val="20"/>
          <w14:ligatures w14:val="standardContextual"/>
        </w:rPr>
        <w:t xml:space="preserve">, and Medicaid rate cohort. Each HEDIS measure can be expressed as either an index or percentage rate. Users can refine the population further by using the filters on the </w:t>
      </w:r>
      <w:proofErr w:type="gramStart"/>
      <w:r w:rsidRPr="007A384E">
        <w:rPr>
          <w:rFonts w:ascii="Arial" w:eastAsiaTheme="minorHAnsi" w:hAnsi="Arial" w:cs="Arial"/>
          <w:color w:val="000000"/>
          <w:kern w:val="2"/>
          <w:sz w:val="20"/>
          <w:szCs w:val="20"/>
          <w14:ligatures w14:val="standardContextual"/>
        </w:rPr>
        <w:t>right hand</w:t>
      </w:r>
      <w:proofErr w:type="gramEnd"/>
      <w:r w:rsidRPr="007A384E">
        <w:rPr>
          <w:rFonts w:ascii="Arial" w:eastAsiaTheme="minorHAnsi" w:hAnsi="Arial" w:cs="Arial"/>
          <w:color w:val="000000"/>
          <w:kern w:val="2"/>
          <w:sz w:val="20"/>
          <w:szCs w:val="20"/>
          <w14:ligatures w14:val="standardContextual"/>
        </w:rPr>
        <w:t xml:space="preserve"> side of the dashboard.</w:t>
      </w:r>
    </w:p>
    <w:p w14:paraId="1E7BBEA4" w14:textId="3EE5DF39" w:rsidR="007A384E" w:rsidRDefault="007A384E" w:rsidP="007A384E">
      <w:pPr>
        <w:pStyle w:val="NormalWeb"/>
        <w:numPr>
          <w:ilvl w:val="1"/>
          <w:numId w:val="2"/>
        </w:numPr>
        <w:spacing w:before="0" w:beforeAutospacing="0" w:after="0" w:afterAutospacing="0"/>
        <w:ind w:left="1440"/>
        <w:rPr>
          <w:rFonts w:ascii="Arial" w:eastAsiaTheme="minorHAnsi" w:hAnsi="Arial" w:cs="Arial"/>
          <w:b/>
          <w:bCs/>
          <w:color w:val="000000"/>
          <w:kern w:val="2"/>
          <w:sz w:val="20"/>
          <w:szCs w:val="20"/>
          <w14:ligatures w14:val="standardContextual"/>
        </w:rPr>
      </w:pPr>
      <w:r w:rsidRPr="007A384E">
        <w:rPr>
          <w:rFonts w:ascii="Arial" w:eastAsiaTheme="minorHAnsi" w:hAnsi="Arial" w:cs="Arial"/>
          <w:b/>
          <w:bCs/>
          <w:color w:val="000000"/>
          <w:kern w:val="2"/>
          <w:sz w:val="20"/>
          <w:szCs w:val="20"/>
          <w14:ligatures w14:val="standardContextual"/>
        </w:rPr>
        <w:t>Breast Cancer Screening</w:t>
      </w:r>
    </w:p>
    <w:p w14:paraId="7C0AEA41" w14:textId="77777777" w:rsidR="007A384E" w:rsidRDefault="007A384E" w:rsidP="007A384E">
      <w:pPr>
        <w:pStyle w:val="NormalWeb"/>
        <w:spacing w:before="0" w:beforeAutospacing="0" w:after="0" w:afterAutospacing="0"/>
        <w:ind w:left="1440"/>
        <w:rPr>
          <w:rFonts w:ascii="Arial" w:eastAsiaTheme="minorHAnsi" w:hAnsi="Arial" w:cs="Arial"/>
          <w:b/>
          <w:bCs/>
          <w:color w:val="000000"/>
          <w:kern w:val="2"/>
          <w:sz w:val="20"/>
          <w:szCs w:val="20"/>
          <w14:ligatures w14:val="standardContextual"/>
        </w:rPr>
      </w:pPr>
      <w:r w:rsidRPr="007A384E">
        <w:rPr>
          <w:rFonts w:ascii="Arial" w:eastAsiaTheme="minorHAnsi" w:hAnsi="Arial" w:cs="Arial"/>
          <w:b/>
          <w:bCs/>
          <w:color w:val="000000"/>
          <w:kern w:val="2"/>
          <w:sz w:val="20"/>
          <w:szCs w:val="20"/>
          <w14:ligatures w14:val="standardContextual"/>
        </w:rPr>
        <w:t>Measure Description</w:t>
      </w:r>
      <w:r w:rsidRPr="007A384E">
        <w:rPr>
          <w:rFonts w:ascii="Arial" w:eastAsiaTheme="minorHAnsi" w:hAnsi="Arial" w:cs="Arial"/>
          <w:color w:val="000000"/>
          <w:kern w:val="2"/>
          <w:sz w:val="20"/>
          <w:szCs w:val="20"/>
          <w14:ligatures w14:val="standardContextual"/>
        </w:rPr>
        <w:t>: Assesses women 50–74 years of age who had at least one mammogram to screen for breast cancer in the past two years.</w:t>
      </w:r>
      <w:r w:rsidRPr="007A384E">
        <w:rPr>
          <w:rFonts w:ascii="Arial" w:eastAsiaTheme="minorHAnsi" w:hAnsi="Arial" w:cs="Arial"/>
          <w:b/>
          <w:bCs/>
          <w:color w:val="000000"/>
          <w:kern w:val="2"/>
          <w:sz w:val="20"/>
          <w:szCs w:val="20"/>
          <w14:ligatures w14:val="standardContextual"/>
        </w:rPr>
        <w:t xml:space="preserve"> </w:t>
      </w:r>
    </w:p>
    <w:p w14:paraId="738BB232" w14:textId="77777777" w:rsidR="007A384E" w:rsidRPr="007A384E" w:rsidRDefault="007A384E" w:rsidP="007A384E">
      <w:pPr>
        <w:pStyle w:val="NormalWeb"/>
        <w:spacing w:before="0" w:beforeAutospacing="0" w:after="0" w:afterAutospacing="0"/>
        <w:ind w:left="1440"/>
        <w:rPr>
          <w:rFonts w:ascii="Arial" w:eastAsiaTheme="minorHAnsi" w:hAnsi="Arial" w:cs="Arial"/>
          <w:color w:val="000000"/>
          <w:kern w:val="2"/>
          <w:sz w:val="20"/>
          <w:szCs w:val="20"/>
          <w14:ligatures w14:val="standardContextual"/>
        </w:rPr>
      </w:pPr>
      <w:r w:rsidRPr="007A384E">
        <w:rPr>
          <w:rFonts w:ascii="Arial" w:hAnsi="Arial" w:cs="Arial"/>
          <w:b/>
          <w:bCs/>
          <w:color w:val="000000"/>
          <w:sz w:val="20"/>
          <w:szCs w:val="20"/>
        </w:rPr>
        <w:t xml:space="preserve">Measure Source: </w:t>
      </w:r>
      <w:proofErr w:type="spellStart"/>
      <w:r w:rsidRPr="007A384E">
        <w:rPr>
          <w:rFonts w:ascii="Arial" w:hAnsi="Arial" w:cs="Arial"/>
          <w:color w:val="000000"/>
          <w:sz w:val="20"/>
          <w:szCs w:val="20"/>
        </w:rPr>
        <w:t>Inovalon</w:t>
      </w:r>
      <w:proofErr w:type="spellEnd"/>
      <w:r w:rsidRPr="007A384E">
        <w:rPr>
          <w:rFonts w:ascii="Arial" w:hAnsi="Arial" w:cs="Arial"/>
          <w:color w:val="000000"/>
          <w:sz w:val="20"/>
          <w:szCs w:val="20"/>
        </w:rPr>
        <w:t xml:space="preserve"> Data Mart.</w:t>
      </w:r>
      <w:r w:rsidRPr="007A384E">
        <w:rPr>
          <w:rFonts w:ascii="Arial" w:hAnsi="Arial" w:cs="Arial"/>
          <w:b/>
          <w:bCs/>
          <w:color w:val="000000"/>
          <w:sz w:val="20"/>
          <w:szCs w:val="20"/>
        </w:rPr>
        <w:t xml:space="preserve"> </w:t>
      </w:r>
    </w:p>
    <w:p w14:paraId="69F6B8AF" w14:textId="14755006" w:rsidR="007A384E" w:rsidRDefault="007A384E" w:rsidP="007A384E">
      <w:pPr>
        <w:pStyle w:val="NormalWeb"/>
        <w:spacing w:before="0" w:beforeAutospacing="0" w:after="0" w:afterAutospacing="0"/>
        <w:ind w:left="1440"/>
        <w:rPr>
          <w:rFonts w:ascii="Arial" w:eastAsiaTheme="minorHAnsi" w:hAnsi="Arial" w:cs="Arial"/>
          <w:b/>
          <w:bCs/>
          <w:color w:val="000000"/>
          <w:kern w:val="2"/>
          <w:sz w:val="20"/>
          <w:szCs w:val="20"/>
          <w14:ligatures w14:val="standardContextual"/>
        </w:rPr>
      </w:pPr>
      <w:r w:rsidRPr="007A384E">
        <w:rPr>
          <w:rFonts w:ascii="Arial" w:eastAsiaTheme="minorHAnsi" w:hAnsi="Arial" w:cs="Arial"/>
          <w:b/>
          <w:bCs/>
          <w:color w:val="000000"/>
          <w:kern w:val="2"/>
          <w:sz w:val="20"/>
          <w:szCs w:val="20"/>
          <w14:ligatures w14:val="standardContextual"/>
        </w:rPr>
        <w:t>Population: PHP</w:t>
      </w:r>
    </w:p>
    <w:p w14:paraId="104B13A2" w14:textId="77777777" w:rsidR="007A384E" w:rsidRDefault="007A384E" w:rsidP="007A384E">
      <w:pPr>
        <w:pStyle w:val="NormalWeb"/>
        <w:spacing w:before="0" w:beforeAutospacing="0" w:after="0" w:afterAutospacing="0"/>
        <w:ind w:left="1440"/>
        <w:rPr>
          <w:rFonts w:ascii="Arial" w:eastAsiaTheme="minorHAnsi" w:hAnsi="Arial" w:cs="Arial"/>
          <w:b/>
          <w:bCs/>
          <w:color w:val="000000"/>
          <w:kern w:val="2"/>
          <w:sz w:val="20"/>
          <w:szCs w:val="20"/>
          <w14:ligatures w14:val="standardContextual"/>
        </w:rPr>
      </w:pPr>
    </w:p>
    <w:p w14:paraId="10639C1A" w14:textId="4AA571D5" w:rsidR="007A384E" w:rsidRDefault="007A384E" w:rsidP="007A384E">
      <w:pPr>
        <w:pStyle w:val="NormalWeb"/>
        <w:numPr>
          <w:ilvl w:val="1"/>
          <w:numId w:val="2"/>
        </w:numPr>
        <w:ind w:left="1350"/>
        <w:rPr>
          <w:rFonts w:ascii="Arial" w:eastAsiaTheme="minorHAnsi" w:hAnsi="Arial" w:cs="Arial"/>
          <w:b/>
          <w:bCs/>
          <w:color w:val="000000"/>
          <w:kern w:val="2"/>
          <w:sz w:val="20"/>
          <w:szCs w:val="20"/>
          <w14:ligatures w14:val="standardContextual"/>
        </w:rPr>
      </w:pPr>
      <w:r w:rsidRPr="007A384E">
        <w:rPr>
          <w:rFonts w:ascii="Arial" w:eastAsiaTheme="minorHAnsi" w:hAnsi="Arial" w:cs="Arial"/>
          <w:b/>
          <w:bCs/>
          <w:color w:val="000000"/>
          <w:kern w:val="2"/>
          <w:sz w:val="20"/>
          <w:szCs w:val="20"/>
          <w14:ligatures w14:val="standardContextual"/>
        </w:rPr>
        <w:t>HbA1c &lt; 8 Control</w:t>
      </w:r>
      <w:r w:rsidRPr="007A384E">
        <w:rPr>
          <w:rFonts w:ascii="Arial" w:eastAsiaTheme="minorHAnsi" w:hAnsi="Arial" w:cs="Arial"/>
          <w:b/>
          <w:bCs/>
          <w:color w:val="000000"/>
          <w:kern w:val="2"/>
          <w:sz w:val="20"/>
          <w:szCs w:val="20"/>
          <w14:ligatures w14:val="standardContextual"/>
        </w:rPr>
        <w:t xml:space="preserve"> </w:t>
      </w:r>
    </w:p>
    <w:p w14:paraId="747CD9BE" w14:textId="34753AF5" w:rsidR="007A384E" w:rsidRPr="007A384E" w:rsidRDefault="007A384E" w:rsidP="007A384E">
      <w:pPr>
        <w:pStyle w:val="NoSpacing"/>
        <w:ind w:left="1350"/>
      </w:pPr>
      <w:r w:rsidRPr="007A384E">
        <w:rPr>
          <w:b/>
          <w:bCs/>
        </w:rPr>
        <w:t xml:space="preserve">Measure Description: </w:t>
      </w:r>
      <w:r w:rsidRPr="007A384E">
        <w:t xml:space="preserve">Assesses women 50–74 years of age who had at least one mammogram to screen for breast cancer in the past two years. </w:t>
      </w:r>
    </w:p>
    <w:p w14:paraId="74BA563D" w14:textId="77777777" w:rsidR="007A384E" w:rsidRPr="007A384E" w:rsidRDefault="007A384E" w:rsidP="007A384E">
      <w:pPr>
        <w:pStyle w:val="NoSpacing"/>
        <w:ind w:left="1350"/>
      </w:pPr>
      <w:r w:rsidRPr="007A384E">
        <w:rPr>
          <w:b/>
          <w:bCs/>
        </w:rPr>
        <w:t>Measure Source</w:t>
      </w:r>
      <w:r w:rsidRPr="007A384E">
        <w:t xml:space="preserve">: </w:t>
      </w:r>
      <w:proofErr w:type="spellStart"/>
      <w:r w:rsidRPr="007A384E">
        <w:t>Inovalon</w:t>
      </w:r>
      <w:proofErr w:type="spellEnd"/>
      <w:r w:rsidRPr="007A384E">
        <w:t xml:space="preserve"> Data Mart. </w:t>
      </w:r>
    </w:p>
    <w:p w14:paraId="5C352750" w14:textId="2B8B6B0E" w:rsidR="007A384E" w:rsidRDefault="007A384E" w:rsidP="007A384E">
      <w:pPr>
        <w:pStyle w:val="NoSpacing"/>
        <w:ind w:left="1350"/>
      </w:pPr>
      <w:r w:rsidRPr="007A384E">
        <w:rPr>
          <w:b/>
          <w:bCs/>
        </w:rPr>
        <w:t>Population:</w:t>
      </w:r>
      <w:r w:rsidRPr="007A384E">
        <w:t xml:space="preserve"> PHP</w:t>
      </w:r>
    </w:p>
    <w:p w14:paraId="50185465" w14:textId="77777777" w:rsidR="007A384E" w:rsidRDefault="007A384E" w:rsidP="007A384E">
      <w:pPr>
        <w:pStyle w:val="NoSpacing"/>
        <w:ind w:left="1350"/>
      </w:pPr>
    </w:p>
    <w:p w14:paraId="5E500AED" w14:textId="7E3F3F1B" w:rsidR="007A384E" w:rsidRPr="007A384E" w:rsidRDefault="007A384E" w:rsidP="007A384E">
      <w:pPr>
        <w:pStyle w:val="ListParagraph"/>
        <w:numPr>
          <w:ilvl w:val="1"/>
          <w:numId w:val="2"/>
        </w:numPr>
        <w:ind w:left="1350"/>
      </w:pPr>
      <w:r w:rsidRPr="007A384E">
        <w:rPr>
          <w:b/>
          <w:bCs/>
        </w:rPr>
        <w:t>Childhood Immunization Status - Combo 7</w:t>
      </w:r>
    </w:p>
    <w:p w14:paraId="4AF3E55B" w14:textId="6EDA319B" w:rsidR="007A384E" w:rsidRPr="007A384E" w:rsidRDefault="007A384E" w:rsidP="007A384E">
      <w:pPr>
        <w:pStyle w:val="ListParagraph"/>
        <w:numPr>
          <w:ilvl w:val="1"/>
          <w:numId w:val="2"/>
        </w:numPr>
        <w:ind w:left="1350"/>
      </w:pPr>
      <w:r w:rsidRPr="007A384E">
        <w:rPr>
          <w:b/>
          <w:bCs/>
        </w:rPr>
        <w:t>Colorectal Cancer Screening</w:t>
      </w:r>
    </w:p>
    <w:p w14:paraId="11C4B139" w14:textId="2D63BDDC" w:rsidR="007A384E" w:rsidRPr="007A384E" w:rsidRDefault="007A384E" w:rsidP="007A384E">
      <w:pPr>
        <w:pStyle w:val="ListParagraph"/>
        <w:numPr>
          <w:ilvl w:val="1"/>
          <w:numId w:val="2"/>
        </w:numPr>
        <w:ind w:left="1350"/>
      </w:pPr>
      <w:r w:rsidRPr="007A384E">
        <w:rPr>
          <w:b/>
          <w:bCs/>
        </w:rPr>
        <w:t>Postpartum Care</w:t>
      </w:r>
    </w:p>
    <w:p w14:paraId="3AD07661" w14:textId="3682E233" w:rsidR="007A384E" w:rsidRPr="007A384E" w:rsidRDefault="004E4029" w:rsidP="007A384E">
      <w:pPr>
        <w:pStyle w:val="ListParagraph"/>
        <w:numPr>
          <w:ilvl w:val="1"/>
          <w:numId w:val="2"/>
        </w:numPr>
        <w:ind w:left="1350"/>
      </w:pPr>
      <w:r w:rsidRPr="004E4029">
        <w:rPr>
          <w:b/>
          <w:bCs/>
        </w:rPr>
        <w:t>Timeliness Of Prenatal Care</w:t>
      </w:r>
    </w:p>
    <w:p w14:paraId="6BEDD5D6" w14:textId="4153CFB6" w:rsidR="007A384E" w:rsidRPr="004E4029" w:rsidRDefault="007A384E" w:rsidP="007A384E">
      <w:pPr>
        <w:pStyle w:val="ListParagraph"/>
        <w:numPr>
          <w:ilvl w:val="1"/>
          <w:numId w:val="2"/>
        </w:numPr>
        <w:ind w:left="1350"/>
      </w:pPr>
      <w:r w:rsidRPr="007A384E">
        <w:rPr>
          <w:b/>
          <w:bCs/>
        </w:rPr>
        <w:t xml:space="preserve">Controlling High Blood </w:t>
      </w:r>
      <w:proofErr w:type="gramStart"/>
      <w:r w:rsidRPr="007A384E">
        <w:rPr>
          <w:b/>
          <w:bCs/>
        </w:rPr>
        <w:t>Pressure(</w:t>
      </w:r>
      <w:proofErr w:type="gramEnd"/>
      <w:r w:rsidRPr="007A384E">
        <w:rPr>
          <w:b/>
          <w:bCs/>
        </w:rPr>
        <w:t>CBP)</w:t>
      </w:r>
    </w:p>
    <w:p w14:paraId="6EDA9B76" w14:textId="016138C0" w:rsidR="004E4029" w:rsidRPr="004E4029" w:rsidRDefault="004E4029" w:rsidP="007A384E">
      <w:pPr>
        <w:pStyle w:val="ListParagraph"/>
        <w:numPr>
          <w:ilvl w:val="1"/>
          <w:numId w:val="2"/>
        </w:numPr>
        <w:ind w:left="1350"/>
      </w:pPr>
      <w:r w:rsidRPr="004E4029">
        <w:rPr>
          <w:b/>
          <w:bCs/>
        </w:rPr>
        <w:t xml:space="preserve">Hemoglobin A1c Control </w:t>
      </w:r>
      <w:proofErr w:type="gramStart"/>
      <w:r w:rsidRPr="004E4029">
        <w:rPr>
          <w:b/>
          <w:bCs/>
        </w:rPr>
        <w:t>For</w:t>
      </w:r>
      <w:proofErr w:type="gramEnd"/>
      <w:r w:rsidRPr="004E4029">
        <w:rPr>
          <w:b/>
          <w:bCs/>
        </w:rPr>
        <w:t xml:space="preserve"> Patients </w:t>
      </w:r>
      <w:proofErr w:type="gramStart"/>
      <w:r w:rsidRPr="004E4029">
        <w:rPr>
          <w:b/>
          <w:bCs/>
        </w:rPr>
        <w:t>Diabetes(</w:t>
      </w:r>
      <w:proofErr w:type="gramEnd"/>
      <w:r w:rsidRPr="004E4029">
        <w:rPr>
          <w:b/>
          <w:bCs/>
        </w:rPr>
        <w:t>HBD)</w:t>
      </w:r>
    </w:p>
    <w:p w14:paraId="6AB7BACA" w14:textId="51C50988" w:rsidR="004E4029" w:rsidRPr="004E4029" w:rsidRDefault="004E4029" w:rsidP="007A384E">
      <w:pPr>
        <w:pStyle w:val="ListParagraph"/>
        <w:numPr>
          <w:ilvl w:val="1"/>
          <w:numId w:val="2"/>
        </w:numPr>
        <w:ind w:left="1350"/>
      </w:pPr>
      <w:r w:rsidRPr="004E4029">
        <w:rPr>
          <w:b/>
          <w:bCs/>
        </w:rPr>
        <w:t>Child And Adolescent Well Care Visits</w:t>
      </w:r>
    </w:p>
    <w:p w14:paraId="08760645" w14:textId="1C085358" w:rsidR="004E4029" w:rsidRPr="004E4029" w:rsidRDefault="004E4029" w:rsidP="007A384E">
      <w:pPr>
        <w:pStyle w:val="ListParagraph"/>
        <w:numPr>
          <w:ilvl w:val="1"/>
          <w:numId w:val="2"/>
        </w:numPr>
        <w:ind w:left="1350"/>
      </w:pPr>
      <w:r w:rsidRPr="004E4029">
        <w:rPr>
          <w:b/>
          <w:bCs/>
        </w:rPr>
        <w:t>Well Child Visits in the First fifteen (15) Months of Life (W15)</w:t>
      </w:r>
    </w:p>
    <w:p w14:paraId="2062C8D3" w14:textId="2C1FF78D" w:rsidR="004E4029" w:rsidRPr="004E4029" w:rsidRDefault="004E4029" w:rsidP="007A384E">
      <w:pPr>
        <w:pStyle w:val="ListParagraph"/>
        <w:numPr>
          <w:ilvl w:val="1"/>
          <w:numId w:val="2"/>
        </w:numPr>
        <w:ind w:left="1350"/>
      </w:pPr>
      <w:r w:rsidRPr="004E4029">
        <w:rPr>
          <w:b/>
          <w:bCs/>
        </w:rPr>
        <w:t>Weight Assessment and Counseling for Nutrition and Physical Activity for Children/Adolescents (WCC)</w:t>
      </w:r>
    </w:p>
    <w:p w14:paraId="4C8C941E" w14:textId="60C47B7C" w:rsidR="004E4029" w:rsidRPr="004E4029" w:rsidRDefault="004E4029" w:rsidP="007A384E">
      <w:pPr>
        <w:pStyle w:val="ListParagraph"/>
        <w:numPr>
          <w:ilvl w:val="1"/>
          <w:numId w:val="2"/>
        </w:numPr>
        <w:ind w:left="1350"/>
      </w:pPr>
      <w:r w:rsidRPr="004E4029">
        <w:rPr>
          <w:b/>
          <w:bCs/>
        </w:rPr>
        <w:t>Antidepressant Medication Management (AMM)</w:t>
      </w:r>
    </w:p>
    <w:p w14:paraId="005AE205" w14:textId="667AEEE9" w:rsidR="004E4029" w:rsidRPr="004E4029" w:rsidRDefault="004E4029" w:rsidP="007A384E">
      <w:pPr>
        <w:pStyle w:val="ListParagraph"/>
        <w:numPr>
          <w:ilvl w:val="1"/>
          <w:numId w:val="2"/>
        </w:numPr>
        <w:ind w:left="1350"/>
      </w:pPr>
      <w:r w:rsidRPr="004E4029">
        <w:rPr>
          <w:b/>
          <w:bCs/>
        </w:rPr>
        <w:t>Initiation and Engagement of Alcohol and Other Drug Dependence Treatment</w:t>
      </w:r>
    </w:p>
    <w:p w14:paraId="4B1A9550" w14:textId="33B11D28" w:rsidR="004E4029" w:rsidRPr="004E4029" w:rsidRDefault="004E4029" w:rsidP="007A384E">
      <w:pPr>
        <w:pStyle w:val="ListParagraph"/>
        <w:numPr>
          <w:ilvl w:val="1"/>
          <w:numId w:val="2"/>
        </w:numPr>
        <w:ind w:left="1350"/>
      </w:pPr>
      <w:r w:rsidRPr="004E4029">
        <w:rPr>
          <w:b/>
          <w:bCs/>
        </w:rPr>
        <w:t xml:space="preserve">Follow-Up After Hospitalization for Mental </w:t>
      </w:r>
      <w:proofErr w:type="gramStart"/>
      <w:r w:rsidRPr="004E4029">
        <w:rPr>
          <w:b/>
          <w:bCs/>
        </w:rPr>
        <w:t>Illness(</w:t>
      </w:r>
      <w:proofErr w:type="gramEnd"/>
      <w:r w:rsidRPr="004E4029">
        <w:rPr>
          <w:b/>
          <w:bCs/>
        </w:rPr>
        <w:t>FUH)</w:t>
      </w:r>
    </w:p>
    <w:p w14:paraId="2C2C3711" w14:textId="0D1C963D" w:rsidR="004E4029" w:rsidRPr="004E4029" w:rsidRDefault="004E4029" w:rsidP="007A384E">
      <w:pPr>
        <w:pStyle w:val="ListParagraph"/>
        <w:numPr>
          <w:ilvl w:val="1"/>
          <w:numId w:val="2"/>
        </w:numPr>
        <w:ind w:left="1350"/>
      </w:pPr>
      <w:r w:rsidRPr="004E4029">
        <w:rPr>
          <w:b/>
          <w:bCs/>
        </w:rPr>
        <w:lastRenderedPageBreak/>
        <w:t>Follow-Up After Emergency Department Visit for Mental Illness</w:t>
      </w:r>
    </w:p>
    <w:p w14:paraId="6DF7D47F" w14:textId="1FA87053" w:rsidR="004E4029" w:rsidRPr="004E4029" w:rsidRDefault="004E4029" w:rsidP="007A384E">
      <w:pPr>
        <w:pStyle w:val="ListParagraph"/>
        <w:numPr>
          <w:ilvl w:val="1"/>
          <w:numId w:val="2"/>
        </w:numPr>
        <w:ind w:left="1350"/>
      </w:pPr>
      <w:r w:rsidRPr="004E4029">
        <w:rPr>
          <w:b/>
          <w:bCs/>
        </w:rPr>
        <w:t xml:space="preserve">Diabetes Screening for People </w:t>
      </w:r>
      <w:proofErr w:type="gramStart"/>
      <w:r w:rsidRPr="004E4029">
        <w:rPr>
          <w:b/>
          <w:bCs/>
        </w:rPr>
        <w:t>With</w:t>
      </w:r>
      <w:proofErr w:type="gramEnd"/>
      <w:r w:rsidRPr="004E4029">
        <w:rPr>
          <w:b/>
          <w:bCs/>
        </w:rPr>
        <w:t xml:space="preserve"> Schizophrenia or Bipolar Disorder Who Are Using Antipsychotic Medications (SSD)</w:t>
      </w:r>
    </w:p>
    <w:p w14:paraId="46EE0CD8" w14:textId="77777777" w:rsidR="004E4029" w:rsidRDefault="004E4029" w:rsidP="004E4029">
      <w:pPr>
        <w:pStyle w:val="ListParagraph"/>
        <w:ind w:left="1350"/>
      </w:pPr>
    </w:p>
    <w:sectPr w:rsidR="004E4029" w:rsidSect="004E4029">
      <w:pgSz w:w="12240" w:h="15840"/>
      <w:pgMar w:top="72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5230C"/>
    <w:multiLevelType w:val="hybridMultilevel"/>
    <w:tmpl w:val="733A1B8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1652330"/>
    <w:multiLevelType w:val="hybridMultilevel"/>
    <w:tmpl w:val="CA00054C"/>
    <w:lvl w:ilvl="0" w:tplc="DFF8DE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797230">
    <w:abstractNumId w:val="1"/>
  </w:num>
  <w:num w:numId="2" w16cid:durableId="153029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35"/>
    <w:rsid w:val="00083E35"/>
    <w:rsid w:val="001C28B8"/>
    <w:rsid w:val="004E4029"/>
    <w:rsid w:val="005137B1"/>
    <w:rsid w:val="007A1DDC"/>
    <w:rsid w:val="007A384E"/>
    <w:rsid w:val="007C365B"/>
    <w:rsid w:val="00875BE2"/>
    <w:rsid w:val="008A28D2"/>
    <w:rsid w:val="00C63A8F"/>
    <w:rsid w:val="00D54E17"/>
    <w:rsid w:val="00E208F3"/>
    <w:rsid w:val="00EF3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B5C46"/>
  <w15:chartTrackingRefBased/>
  <w15:docId w15:val="{18C24E9B-D66C-4802-A912-82310E6F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E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E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E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E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E35"/>
    <w:rPr>
      <w:rFonts w:eastAsiaTheme="majorEastAsia" w:cstheme="majorBidi"/>
      <w:color w:val="272727" w:themeColor="text1" w:themeTint="D8"/>
    </w:rPr>
  </w:style>
  <w:style w:type="paragraph" w:styleId="Title">
    <w:name w:val="Title"/>
    <w:basedOn w:val="Normal"/>
    <w:next w:val="Normal"/>
    <w:link w:val="TitleChar"/>
    <w:uiPriority w:val="10"/>
    <w:qFormat/>
    <w:rsid w:val="00083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E35"/>
    <w:pPr>
      <w:spacing w:before="160"/>
      <w:jc w:val="center"/>
    </w:pPr>
    <w:rPr>
      <w:i/>
      <w:iCs/>
      <w:color w:val="404040" w:themeColor="text1" w:themeTint="BF"/>
    </w:rPr>
  </w:style>
  <w:style w:type="character" w:customStyle="1" w:styleId="QuoteChar">
    <w:name w:val="Quote Char"/>
    <w:basedOn w:val="DefaultParagraphFont"/>
    <w:link w:val="Quote"/>
    <w:uiPriority w:val="29"/>
    <w:rsid w:val="00083E35"/>
    <w:rPr>
      <w:i/>
      <w:iCs/>
      <w:color w:val="404040" w:themeColor="text1" w:themeTint="BF"/>
    </w:rPr>
  </w:style>
  <w:style w:type="paragraph" w:styleId="ListParagraph">
    <w:name w:val="List Paragraph"/>
    <w:basedOn w:val="Normal"/>
    <w:uiPriority w:val="34"/>
    <w:qFormat/>
    <w:rsid w:val="00083E35"/>
    <w:pPr>
      <w:ind w:left="720"/>
      <w:contextualSpacing/>
    </w:pPr>
  </w:style>
  <w:style w:type="character" w:styleId="IntenseEmphasis">
    <w:name w:val="Intense Emphasis"/>
    <w:basedOn w:val="DefaultParagraphFont"/>
    <w:uiPriority w:val="21"/>
    <w:qFormat/>
    <w:rsid w:val="00083E35"/>
    <w:rPr>
      <w:i/>
      <w:iCs/>
      <w:color w:val="0F4761" w:themeColor="accent1" w:themeShade="BF"/>
    </w:rPr>
  </w:style>
  <w:style w:type="paragraph" w:styleId="IntenseQuote">
    <w:name w:val="Intense Quote"/>
    <w:basedOn w:val="Normal"/>
    <w:next w:val="Normal"/>
    <w:link w:val="IntenseQuoteChar"/>
    <w:uiPriority w:val="30"/>
    <w:qFormat/>
    <w:rsid w:val="00083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E35"/>
    <w:rPr>
      <w:i/>
      <w:iCs/>
      <w:color w:val="0F4761" w:themeColor="accent1" w:themeShade="BF"/>
    </w:rPr>
  </w:style>
  <w:style w:type="character" w:styleId="IntenseReference">
    <w:name w:val="Intense Reference"/>
    <w:basedOn w:val="DefaultParagraphFont"/>
    <w:uiPriority w:val="32"/>
    <w:qFormat/>
    <w:rsid w:val="00083E35"/>
    <w:rPr>
      <w:b/>
      <w:bCs/>
      <w:smallCaps/>
      <w:color w:val="0F4761" w:themeColor="accent1" w:themeShade="BF"/>
      <w:spacing w:val="5"/>
    </w:rPr>
  </w:style>
  <w:style w:type="paragraph" w:styleId="NormalWeb">
    <w:name w:val="Normal (Web)"/>
    <w:basedOn w:val="Normal"/>
    <w:uiPriority w:val="99"/>
    <w:semiHidden/>
    <w:unhideWhenUsed/>
    <w:rsid w:val="00083E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A3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1928</Words>
  <Characters>10994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Presbyterian Healthcare Services</Company>
  <LinksUpToDate>false</LinksUpToDate>
  <CharactersWithSpaces>12897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Saurabh</dc:creator>
  <cp:keywords/>
  <dc:description/>
  <cp:lastModifiedBy>Singh, Saurabh</cp:lastModifiedBy>
  <cp:revision>1</cp:revision>
  <dcterms:created xsi:type="dcterms:W3CDTF">2026-03-09T09:11:00Z</dcterms:created>
  <dcterms:modified xsi:type="dcterms:W3CDTF">2026-03-09T09:35:00Z</dcterms:modified>
</cp:coreProperties>
</file>