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20"/>
      </w:pPr>
      <w:r>
        <w:t xml:space="preserve"/>
      </w:r>
    </w:p>
    <w:p>
      <w:pPr>
        <w:spacing w:before="0" w:after="60" w:line="340"/>
        <w:jc w:val="center"/>
      </w:pPr>
      <w:r>
        <w:rPr>
          <w:rFonts w:ascii="Arial" w:cs="Arial" w:eastAsia="Arial" w:hAnsi="Arial"/>
          <w:b/>
          <w:bCs/>
          <w:color w:val="1D3461"/>
          <w:sz w:val="34"/>
          <w:szCs w:val="34"/>
        </w:rPr>
        <w:t xml:space="preserve">Comparative Analysis of Machine Learning Models for Early Detection of Diabetes Using the Pima Indians Dataset</w:t>
      </w:r>
    </w:p>
    <w:p>
      <w:pPr>
        <w:pBdr>
          <w:bottom w:val="single" w:color="2563EB" w:sz="8" w:space="1"/>
        </w:pBdr>
        <w:spacing w:before="0" w:after="0"/>
      </w:pPr>
      <w:r>
        <w:t xml:space="preserve"/>
      </w:r>
    </w:p>
    <w:p>
      <w:pPr>
        <w:spacing w:before="40" w:after="20"/>
      </w:pPr>
      <w:r>
        <w:t xml:space="preserve"/>
      </w:r>
    </w:p>
    <w:p>
      <w:pPr>
        <w:spacing w:before="0" w:after="16"/>
        <w:jc w:val="center"/>
      </w:pPr>
      <w:r>
        <w:rPr>
          <w:rFonts w:ascii="Arial" w:cs="Arial" w:eastAsia="Arial" w:hAnsi="Arial"/>
          <w:b/>
          <w:bCs/>
          <w:color w:val="1D3461"/>
          <w:sz w:val="22"/>
          <w:szCs w:val="22"/>
        </w:rPr>
        <w:t xml:space="preserve">Saurabh Sharma</w:t>
      </w:r>
    </w:p>
    <w:p>
      <w:pPr>
        <w:spacing w:before="0" w:after="16"/>
        <w:jc w:val="center"/>
      </w:pPr>
      <w:r>
        <w:rPr>
          <w:rFonts w:ascii="Arial" w:cs="Arial" w:eastAsia="Arial" w:hAnsi="Arial"/>
          <w:color w:val="4B5563"/>
          <w:sz w:val="20"/>
          <w:szCs w:val="20"/>
        </w:rPr>
        <w:t xml:space="preserve">Department of Computer Science &amp; Engineering</w:t>
      </w:r>
    </w:p>
    <w:p>
      <w:pPr>
        <w:spacing w:before="0" w:after="16"/>
        <w:jc w:val="center"/>
      </w:pPr>
      <w:r>
        <w:rPr>
          <w:rFonts w:ascii="Arial" w:cs="Arial" w:eastAsia="Arial" w:hAnsi="Arial"/>
          <w:color w:val="4B5563"/>
          <w:sz w:val="20"/>
          <w:szCs w:val="20"/>
        </w:rPr>
        <w:t xml:space="preserve">[Institution Name]</w:t>
      </w:r>
    </w:p>
    <w:p>
      <w:pPr>
        <w:spacing w:before="0" w:after="60"/>
        <w:jc w:val="center"/>
      </w:pPr>
      <w:r>
        <w:rPr>
          <w:rFonts w:ascii="Arial" w:cs="Arial" w:eastAsia="Arial" w:hAnsi="Arial"/>
          <w:color w:val="2563EB"/>
          <w:sz w:val="20"/>
          <w:szCs w:val="20"/>
        </w:rPr>
        <w:t xml:space="preserve">[email@institution.edu]</w:t>
      </w:r>
    </w:p>
    <w:p>
      <w:pPr>
        <w:pBdr>
          <w:bottom w:val="single" w:color="BBCFE8" w:sz="4" w:space="1"/>
        </w:pBdr>
        <w:spacing w:before="0" w:after="0"/>
      </w:pPr>
      <w:r>
        <w:t xml:space="preserve"/>
      </w:r>
    </w:p>
    <w:p>
      <w:pPr>
        <w:spacing w:before="20" w:after="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BBCFE8" w:sz="1"/>
              <w:left w:val="single" w:color="BBCFE8" w:sz="1"/>
              <w:bottom w:val="single" w:color="BBCFE8" w:sz="1"/>
              <w:right w:val="single" w:color="BBCFE8" w:sz="1"/>
            </w:tcBorders>
            <w:shd w:fill="F1F5F9" w:val="clear"/>
            <w:tcMar>
              <w:top w:type="dxa" w:w="140"/>
              <w:left w:type="dxa" w:w="280"/>
              <w:bottom w:type="dxa" w:w="140"/>
              <w:right w:type="dxa" w:w="280"/>
            </w:tcMar>
          </w:tcPr>
          <w:p>
            <w:pPr>
              <w:spacing w:before="0" w:after="60"/>
            </w:pPr>
            <w:r>
              <w:rPr>
                <w:rFonts w:ascii="Arial" w:cs="Arial" w:eastAsia="Arial" w:hAnsi="Arial"/>
                <w:b/>
                <w:bCs/>
                <w:color w:val="1D3461"/>
                <w:sz w:val="20"/>
                <w:szCs w:val="20"/>
              </w:rPr>
              <w:t xml:space="preserve">Abstract—</w:t>
            </w:r>
          </w:p>
          <w:p>
            <w:pPr>
              <w:spacing w:before="0" w:after="60" w:line="260"/>
              <w:jc w:val="both"/>
            </w:pPr>
            <w:r>
              <w:rPr>
                <w:rFonts w:ascii="Arial" w:cs="Arial" w:eastAsia="Arial" w:hAnsi="Arial"/>
                <w:sz w:val="19"/>
                <w:szCs w:val="19"/>
              </w:rPr>
              <w:t xml:space="preserve">Early detection of diabetes is critical for preventing severe health complications and improving patient outcomes. This study presents a comprehensive comparative analysis of seven machine learning models for early diabetes detection using the Pima Indians Diabetes Dataset. The evaluated models include Logistic Regression, Random Forest, Gradient Boosting, XGBoost, LightGBM, CatBoost, and a Voting Ensemble. An advanced preprocessing pipeline incorporating group-wise median imputation, domain-specific feature engineering, SMOTETomek resampling, and Bayesian hyperparameter optimisation using Optuna is applied. Experimental results demonstrate that the Random Forest classifier achieves the highest accuracy of 88.31% with a ROC-AUC of 0.9474. Feature importance analysis reveals that Insulin level, Metabolic Risk Score, and Skin Thickness are the most influential predictors.</w:t>
            </w:r>
          </w:p>
          <w:p>
            <w:pPr>
              <w:spacing w:before="0" w:after="0"/>
            </w:pPr>
            <w:r>
              <w:rPr>
                <w:rFonts w:ascii="Arial" w:cs="Arial" w:eastAsia="Arial" w:hAnsi="Arial"/>
                <w:b/>
                <w:bCs/>
                <w:sz w:val="19"/>
                <w:szCs w:val="19"/>
              </w:rPr>
              <w:t xml:space="preserve">Keywords—</w:t>
            </w:r>
            <w:r>
              <w:rPr>
                <w:rFonts w:ascii="Arial" w:cs="Arial" w:eastAsia="Arial" w:hAnsi="Arial"/>
                <w:sz w:val="19"/>
                <w:szCs w:val="19"/>
              </w:rPr>
              <w:t xml:space="preserve"> Diabetes Prediction; Machine Learning; Ensemble Learning; Feature Engineering; Bayesian Optimisation; SMOTETomek; ROC-AUC.</w:t>
            </w:r>
          </w:p>
        </w:tc>
      </w:tr>
    </w:tbl>
    <w:p>
      <w:pPr>
        <w:spacing w:before="20" w:after="20"/>
      </w:pPr>
      <w:r>
        <w:t xml:space="preserve"/>
      </w:r>
    </w:p>
    <w:p>
      <w:pPr>
        <w:pBdr>
          <w:bottom w:val="single" w:color="BBCFE8" w:sz="4" w:space="1"/>
        </w:pBdr>
        <w:spacing w:before="0" w:after="0"/>
      </w:pPr>
      <w:r>
        <w:t xml:space="preserve"/>
      </w:r>
    </w:p>
    <w:p>
      <w:pPr>
        <w:sectPr>
          <w:headerReference w:type="default" r:id="rId6"/>
          <w:footerReference w:type="default" r:id="rId7"/>
          <w:pgSz w:w="12240" w:h="15840" w:orient="portrait"/>
          <w:pgMar w:top="864" w:right="864" w:bottom="864" w:left="864" w:header="708" w:footer="708" w:gutter="0"/>
          <w:pgNumType/>
          <w:docGrid w:linePitch="360"/>
        </w:sectPr>
      </w:pPr>
    </w:p>
    <w:p>
      <w:pPr>
        <w:pBdr>
          <w:bottom w:val="single" w:color="2563EB" w:sz="3" w:space="2"/>
        </w:pBdr>
        <w:spacing w:before="160" w:after="60"/>
      </w:pPr>
      <w:r>
        <w:rPr>
          <w:rFonts w:ascii="Arial" w:cs="Arial" w:eastAsia="Arial" w:hAnsi="Arial"/>
          <w:b/>
          <w:bCs/>
          <w:color w:val="1D3461"/>
          <w:sz w:val="22"/>
          <w:szCs w:val="22"/>
        </w:rPr>
        <w:t xml:space="preserve">I.  INTRODUCTION</w:t>
      </w:r>
    </w:p>
    <w:p>
      <w:pPr>
        <w:spacing w:before="52" w:after="52" w:line="256"/>
        <w:ind w:firstLine="280"/>
        <w:jc w:val="both"/>
      </w:pPr>
      <w:r>
        <w:rPr>
          <w:rFonts w:ascii="Arial" w:cs="Arial" w:eastAsia="Arial" w:hAnsi="Arial"/>
          <w:sz w:val="20"/>
          <w:szCs w:val="20"/>
        </w:rPr>
        <w:t xml:space="preserve">Diabetes mellitus is one of the most prevalent chronic diseases worldwide. Characterised by elevated blood glucose levels resulting from the body's inability to produce or effectively utilise insulin, it affects hundreds of millions globally. The International Diabetes Federation estimates 537 million adults were living with diabetes in 2021, projected to rise to 783 million by 2045 [1]. Severe complications including cardiovascular disease, kidney failure, and neuropathy make early and accurate detection a clinical priority.</w:t>
      </w:r>
    </w:p>
    <w:p>
      <w:pPr>
        <w:spacing w:before="52" w:after="52" w:line="256"/>
        <w:ind w:firstLine="280"/>
        <w:jc w:val="both"/>
      </w:pPr>
      <w:r>
        <w:rPr>
          <w:rFonts w:ascii="Arial" w:cs="Arial" w:eastAsia="Arial" w:hAnsi="Arial"/>
          <w:sz w:val="20"/>
          <w:szCs w:val="20"/>
        </w:rPr>
        <w:t xml:space="preserve">Traditional diagnostic pathways require physical clinical assessment. In many regions, limited access to diagnostic infrastructure creates a need for scalable, data-driven screening tools. Machine learning methods, which learn patterns directly from patient records, offer a compelling complement to conventional workflows by identifying high-risk individuals for early intervention.</w:t>
      </w:r>
    </w:p>
    <w:p>
      <w:pPr>
        <w:spacing w:before="52" w:after="52" w:line="256"/>
        <w:ind w:firstLine="280"/>
        <w:jc w:val="both"/>
      </w:pPr>
      <w:r>
        <w:rPr>
          <w:rFonts w:ascii="Arial" w:cs="Arial" w:eastAsia="Arial" w:hAnsi="Arial"/>
          <w:sz w:val="20"/>
          <w:szCs w:val="20"/>
        </w:rPr>
        <w:t xml:space="preserve">This study presents a rigorous comparative analysis of seven supervised machine learning algorithms for early diabetes detection. The pipeline encompasses preprocessing, feature engineering, class imbalance correction, Bayesian hyperparameter tuning, and multi-metric evaluation.</w:t>
      </w:r>
    </w:p>
    <w:p>
      <w:pPr>
        <w:spacing w:before="120" w:after="50"/>
      </w:pPr>
      <w:r>
        <w:rPr>
          <w:rFonts w:ascii="Arial" w:cs="Arial" w:eastAsia="Arial" w:hAnsi="Arial"/>
          <w:b/>
          <w:bCs/>
          <w:color w:val="2563EB"/>
          <w:sz w:val="21"/>
          <w:szCs w:val="21"/>
        </w:rPr>
        <w:t xml:space="preserve">A.  Research Objectives</w:t>
      </w:r>
    </w:p>
    <w:p>
      <w:pPr>
        <w:pStyle w:val="ListParagraph"/>
        <w:numPr>
          <w:ilvl w:val="0"/>
          <w:numId w:val="2"/>
        </w:numPr>
        <w:spacing w:before="24" w:after="24" w:line="244"/>
      </w:pPr>
      <w:r>
        <w:rPr>
          <w:rFonts w:ascii="Arial" w:cs="Arial" w:eastAsia="Arial" w:hAnsi="Arial"/>
          <w:sz w:val="20"/>
          <w:szCs w:val="20"/>
        </w:rPr>
        <w:t xml:space="preserve">Evaluate seven classifiers under identical experimental conditions.</w:t>
      </w:r>
    </w:p>
    <w:p>
      <w:pPr>
        <w:pStyle w:val="ListParagraph"/>
        <w:numPr>
          <w:ilvl w:val="0"/>
          <w:numId w:val="2"/>
        </w:numPr>
        <w:spacing w:before="24" w:after="24" w:line="244"/>
      </w:pPr>
      <w:r>
        <w:rPr>
          <w:rFonts w:ascii="Arial" w:cs="Arial" w:eastAsia="Arial" w:hAnsi="Arial"/>
          <w:sz w:val="20"/>
          <w:szCs w:val="20"/>
        </w:rPr>
        <w:t xml:space="preserve">Design clinically-informed feature engineering that enhances predictive signal.</w:t>
      </w:r>
    </w:p>
    <w:p>
      <w:pPr>
        <w:pStyle w:val="ListParagraph"/>
        <w:numPr>
          <w:ilvl w:val="0"/>
          <w:numId w:val="2"/>
        </w:numPr>
        <w:spacing w:before="24" w:after="24" w:line="244"/>
      </w:pPr>
      <w:r>
        <w:rPr>
          <w:rFonts w:ascii="Arial" w:cs="Arial" w:eastAsia="Arial" w:hAnsi="Arial"/>
          <w:sz w:val="20"/>
          <w:szCs w:val="20"/>
        </w:rPr>
        <w:t xml:space="preserve">Apply Bayesian optimisation via Optuna for systematic tuning.</w:t>
      </w:r>
    </w:p>
    <w:p>
      <w:pPr>
        <w:pStyle w:val="ListParagraph"/>
        <w:numPr>
          <w:ilvl w:val="0"/>
          <w:numId w:val="2"/>
        </w:numPr>
        <w:spacing w:before="24" w:after="24" w:line="244"/>
      </w:pPr>
      <w:r>
        <w:rPr>
          <w:rFonts w:ascii="Arial" w:cs="Arial" w:eastAsia="Arial" w:hAnsi="Arial"/>
          <w:sz w:val="20"/>
          <w:szCs w:val="20"/>
        </w:rPr>
        <w:t xml:space="preserve">Identify the most informative clinical features for diabetes risk.</w:t>
      </w:r>
    </w:p>
    <w:p>
      <w:pPr>
        <w:pBdr>
          <w:bottom w:val="single" w:color="2563EB" w:sz="3" w:space="2"/>
        </w:pBdr>
        <w:spacing w:before="160" w:after="60"/>
      </w:pPr>
      <w:r>
        <w:rPr>
          <w:rFonts w:ascii="Arial" w:cs="Arial" w:eastAsia="Arial" w:hAnsi="Arial"/>
          <w:b/>
          <w:bCs/>
          <w:color w:val="1D3461"/>
          <w:sz w:val="22"/>
          <w:szCs w:val="22"/>
        </w:rPr>
        <w:t xml:space="preserve">II.  LITERATURE REVIEW</w:t>
      </w:r>
    </w:p>
    <w:p>
      <w:pPr>
        <w:spacing w:before="52" w:after="52" w:line="256"/>
        <w:ind w:firstLine="280"/>
        <w:jc w:val="both"/>
      </w:pPr>
      <w:r>
        <w:rPr>
          <w:rFonts w:ascii="Arial" w:cs="Arial" w:eastAsia="Arial" w:hAnsi="Arial"/>
          <w:sz w:val="20"/>
          <w:szCs w:val="20"/>
        </w:rPr>
        <w:t xml:space="preserve">The Pima Indians Diabetes Dataset, introduced by Smith et al. [2], has served as a primary benchmark for two decades. Early studies achieved 75–80% accuracy using neural networks and logistic regression [3]. Support Vector Machines with RBF kernels demonstrated improved non-linear boundary separation [4].</w:t>
      </w:r>
    </w:p>
    <w:p>
      <w:pPr>
        <w:spacing w:before="52" w:after="52" w:line="256"/>
        <w:ind w:firstLine="280"/>
        <w:jc w:val="both"/>
      </w:pPr>
      <w:r>
        <w:rPr>
          <w:rFonts w:ascii="Arial" w:cs="Arial" w:eastAsia="Arial" w:hAnsi="Arial"/>
          <w:sz w:val="20"/>
          <w:szCs w:val="20"/>
        </w:rPr>
        <w:t xml:space="preserve">Random Forest [5] marked a significant step forward through bootstrap aggregation and random feature selection. XGBoost [6] further advanced performance via regularisation and second-order gradients. LightGBM [7] and CatBoost [8] introduced leaf-wise growth and ordered boosting respectively, well-suited to small clinical datasets.</w:t>
      </w:r>
    </w:p>
    <w:p>
      <w:pPr>
        <w:spacing w:before="52" w:after="52" w:line="256"/>
        <w:ind w:firstLine="280"/>
        <w:jc w:val="both"/>
      </w:pPr>
      <w:r>
        <w:rPr>
          <w:rFonts w:ascii="Arial" w:cs="Arial" w:eastAsia="Arial" w:hAnsi="Arial"/>
          <w:sz w:val="20"/>
          <w:szCs w:val="20"/>
        </w:rPr>
        <w:t xml:space="preserve">Preprocessing quality has been identified as a critical determinant. Group-wise median imputation [9], SMOTE resampling [10], and domain-specific feature engineering [11] substantially improve predictive accuracy. This study integrates all three in a unified reproducible framework.</w:t>
      </w:r>
    </w:p>
    <w:p>
      <w:pPr>
        <w:pBdr>
          <w:bottom w:val="single" w:color="2563EB" w:sz="3" w:space="2"/>
        </w:pBdr>
        <w:spacing w:before="160" w:after="60"/>
      </w:pPr>
      <w:r>
        <w:rPr>
          <w:rFonts w:ascii="Arial" w:cs="Arial" w:eastAsia="Arial" w:hAnsi="Arial"/>
          <w:b/>
          <w:bCs/>
          <w:color w:val="1D3461"/>
          <w:sz w:val="22"/>
          <w:szCs w:val="22"/>
        </w:rPr>
        <w:t xml:space="preserve">III.  DATASET DESCRIPTION</w:t>
      </w:r>
    </w:p>
    <w:p>
      <w:pPr>
        <w:spacing w:before="52" w:after="52" w:line="256"/>
        <w:ind w:firstLine="280"/>
        <w:jc w:val="both"/>
      </w:pPr>
      <w:r>
        <w:rPr>
          <w:rFonts w:ascii="Arial" w:cs="Arial" w:eastAsia="Arial" w:hAnsi="Arial"/>
          <w:sz w:val="20"/>
          <w:szCs w:val="20"/>
        </w:rPr>
        <w:t xml:space="preserve">This study uses the Pima Indians Diabetes Dataset from the NIDDK, containing 768 female patient records aged 21 and above. Table I describes all features.</w:t>
      </w:r>
    </w:p>
    <w:p>
      <w:pPr>
        <w:spacing w:before="24" w:after="24"/>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260"/>
        <w:gridCol w:w="2040"/>
        <w:gridCol w:w="1380"/>
      </w:tblGrid>
      <w:tr>
        <w:trPr>
          <w:tblHeader/>
        </w:trPr>
        <w:tc>
          <w:tcPr>
            <w:tcW w:type="dxa" w:w="126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Feature</w:t>
            </w:r>
          </w:p>
        </w:tc>
        <w:tc>
          <w:tcPr>
            <w:tcW w:type="dxa" w:w="204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Description</w:t>
            </w:r>
          </w:p>
        </w:tc>
        <w:tc>
          <w:tcPr>
            <w:tcW w:type="dxa" w:w="138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Range</w:t>
            </w:r>
          </w:p>
        </w:tc>
      </w:tr>
      <w:tr>
        <w:tc>
          <w:tcPr>
            <w:tcW w:type="dxa" w:w="12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Pregnancies</w:t>
            </w:r>
          </w:p>
        </w:tc>
        <w:tc>
          <w:tcPr>
            <w:tcW w:type="dxa" w:w="20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Times pregnant</w:t>
            </w:r>
          </w:p>
        </w:tc>
        <w:tc>
          <w:tcPr>
            <w:tcW w:type="dxa" w:w="13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0–17</w:t>
            </w:r>
          </w:p>
        </w:tc>
      </w:tr>
      <w:tr>
        <w:tc>
          <w:tcPr>
            <w:tcW w:type="dxa" w:w="12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Glucose</w:t>
            </w:r>
          </w:p>
        </w:tc>
        <w:tc>
          <w:tcPr>
            <w:tcW w:type="dxa" w:w="20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Plasma glucose</w:t>
            </w:r>
          </w:p>
        </w:tc>
        <w:tc>
          <w:tcPr>
            <w:tcW w:type="dxa" w:w="13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0–199</w:t>
            </w:r>
          </w:p>
        </w:tc>
      </w:tr>
      <w:tr>
        <w:tc>
          <w:tcPr>
            <w:tcW w:type="dxa" w:w="12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BloodPressure</w:t>
            </w:r>
          </w:p>
        </w:tc>
        <w:tc>
          <w:tcPr>
            <w:tcW w:type="dxa" w:w="20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Diastolic BP</w:t>
            </w:r>
          </w:p>
        </w:tc>
        <w:tc>
          <w:tcPr>
            <w:tcW w:type="dxa" w:w="13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0–122</w:t>
            </w:r>
          </w:p>
        </w:tc>
      </w:tr>
      <w:tr>
        <w:tc>
          <w:tcPr>
            <w:tcW w:type="dxa" w:w="12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SkinThickness</w:t>
            </w:r>
          </w:p>
        </w:tc>
        <w:tc>
          <w:tcPr>
            <w:tcW w:type="dxa" w:w="20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Triceps fold</w:t>
            </w:r>
          </w:p>
        </w:tc>
        <w:tc>
          <w:tcPr>
            <w:tcW w:type="dxa" w:w="13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0–99</w:t>
            </w:r>
          </w:p>
        </w:tc>
      </w:tr>
      <w:tr>
        <w:tc>
          <w:tcPr>
            <w:tcW w:type="dxa" w:w="12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Insulin</w:t>
            </w:r>
          </w:p>
        </w:tc>
        <w:tc>
          <w:tcPr>
            <w:tcW w:type="dxa" w:w="20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Serum insulin</w:t>
            </w:r>
          </w:p>
        </w:tc>
        <w:tc>
          <w:tcPr>
            <w:tcW w:type="dxa" w:w="13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0–846</w:t>
            </w:r>
          </w:p>
        </w:tc>
      </w:tr>
      <w:tr>
        <w:tc>
          <w:tcPr>
            <w:tcW w:type="dxa" w:w="12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BMI</w:t>
            </w:r>
          </w:p>
        </w:tc>
        <w:tc>
          <w:tcPr>
            <w:tcW w:type="dxa" w:w="20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Body mass index</w:t>
            </w:r>
          </w:p>
        </w:tc>
        <w:tc>
          <w:tcPr>
            <w:tcW w:type="dxa" w:w="13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0–67.1</w:t>
            </w:r>
          </w:p>
        </w:tc>
      </w:tr>
      <w:tr>
        <w:tc>
          <w:tcPr>
            <w:tcW w:type="dxa" w:w="12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DPF</w:t>
            </w:r>
          </w:p>
        </w:tc>
        <w:tc>
          <w:tcPr>
            <w:tcW w:type="dxa" w:w="20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Genetic score</w:t>
            </w:r>
          </w:p>
        </w:tc>
        <w:tc>
          <w:tcPr>
            <w:tcW w:type="dxa" w:w="13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0.078–2.42</w:t>
            </w:r>
          </w:p>
        </w:tc>
      </w:tr>
      <w:tr>
        <w:tc>
          <w:tcPr>
            <w:tcW w:type="dxa" w:w="12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Age</w:t>
            </w:r>
          </w:p>
        </w:tc>
        <w:tc>
          <w:tcPr>
            <w:tcW w:type="dxa" w:w="20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Patient age</w:t>
            </w:r>
          </w:p>
        </w:tc>
        <w:tc>
          <w:tcPr>
            <w:tcW w:type="dxa" w:w="13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21–81</w:t>
            </w:r>
          </w:p>
        </w:tc>
      </w:tr>
      <w:tr>
        <w:tc>
          <w:tcPr>
            <w:tcW w:type="dxa" w:w="12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Outcome</w:t>
            </w:r>
          </w:p>
        </w:tc>
        <w:tc>
          <w:tcPr>
            <w:tcW w:type="dxa" w:w="20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1=Diabetic, 0=No</w:t>
            </w:r>
          </w:p>
        </w:tc>
        <w:tc>
          <w:tcPr>
            <w:tcW w:type="dxa" w:w="13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 / 1</w:t>
            </w:r>
          </w:p>
        </w:tc>
      </w:tr>
    </w:tbl>
    <w:p>
      <w:pPr>
        <w:spacing w:before="24" w:after="80"/>
        <w:jc w:val="center"/>
      </w:pPr>
      <w:r>
        <w:rPr>
          <w:rFonts w:ascii="Arial" w:cs="Arial" w:eastAsia="Arial" w:hAnsi="Arial"/>
          <w:color w:val="4B5563"/>
          <w:sz w:val="18"/>
          <w:szCs w:val="18"/>
        </w:rPr>
        <w:t xml:space="preserve">Table I: Dataset Feature Descriptions</w:t>
      </w:r>
    </w:p>
    <w:p>
      <w:pPr>
        <w:spacing w:before="52" w:after="52" w:line="256"/>
        <w:jc w:val="both"/>
      </w:pPr>
      <w:r>
        <w:rPr>
          <w:rFonts w:ascii="Arial" w:cs="Arial" w:eastAsia="Arial" w:hAnsi="Arial"/>
          <w:sz w:val="20"/>
          <w:szCs w:val="20"/>
        </w:rPr>
        <w:t xml:space="preserve">The dataset exhibits class imbalance: 500 non-diabetic records (65.1%) and 268 diabetic records (34.9%), requiring resampling correction. Zero values in Glucose, BP, SkinThickness, Insulin, and BMI represent missing measurements and are addressed during preprocessing.</w:t>
      </w:r>
    </w:p>
    <w:p>
      <w:pPr>
        <w:spacing w:before="80" w:after="24"/>
        <w:jc w:val="center"/>
      </w:pPr>
      <w:r>
        <w:drawing>
          <wp:inline distT="0" distB="0" distL="0" distR="0">
            <wp:extent cx="2952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2000250"/>
                    </a:xfrm>
                    <a:prstGeom prst="rect">
                      <a:avLst/>
                    </a:prstGeom>
                  </pic:spPr>
                </pic:pic>
              </a:graphicData>
            </a:graphic>
          </wp:inline>
        </w:drawing>
      </w:r>
    </w:p>
    <w:p>
      <w:pPr>
        <w:spacing w:before="24" w:after="80"/>
        <w:jc w:val="center"/>
      </w:pPr>
      <w:r>
        <w:rPr>
          <w:rFonts w:ascii="Arial" w:cs="Arial" w:eastAsia="Arial" w:hAnsi="Arial"/>
          <w:color w:val="4B5563"/>
          <w:sz w:val="18"/>
          <w:szCs w:val="18"/>
        </w:rPr>
        <w:t xml:space="preserve">Fig. 1: Class Distribution</w:t>
      </w:r>
    </w:p>
    <w:p>
      <w:pPr>
        <w:pBdr>
          <w:bottom w:val="single" w:color="2563EB" w:sz="3" w:space="2"/>
        </w:pBdr>
        <w:spacing w:before="160" w:after="60"/>
      </w:pPr>
      <w:r>
        <w:rPr>
          <w:rFonts w:ascii="Arial" w:cs="Arial" w:eastAsia="Arial" w:hAnsi="Arial"/>
          <w:b/>
          <w:bCs/>
          <w:color w:val="1D3461"/>
          <w:sz w:val="22"/>
          <w:szCs w:val="22"/>
        </w:rPr>
        <w:t xml:space="preserve">IV.  METHODOLOGY</w:t>
      </w:r>
    </w:p>
    <w:p>
      <w:pPr>
        <w:spacing w:before="120" w:after="50"/>
      </w:pPr>
      <w:r>
        <w:rPr>
          <w:rFonts w:ascii="Arial" w:cs="Arial" w:eastAsia="Arial" w:hAnsi="Arial"/>
          <w:b/>
          <w:bCs/>
          <w:color w:val="2563EB"/>
          <w:sz w:val="21"/>
          <w:szCs w:val="21"/>
        </w:rPr>
        <w:t xml:space="preserve">A.  Preprocessing</w:t>
      </w:r>
    </w:p>
    <w:p>
      <w:pPr>
        <w:spacing w:before="52" w:after="52" w:line="256"/>
        <w:jc w:val="both"/>
      </w:pPr>
      <w:r>
        <w:rPr>
          <w:rFonts w:ascii="Arial" w:cs="Arial" w:eastAsia="Arial" w:hAnsi="Arial"/>
          <w:sz w:val="20"/>
          <w:szCs w:val="20"/>
        </w:rPr>
        <w:t xml:space="preserve">Implausible zero values are replaced with NaN then imputed using group-wise medians computed separately for each class. This is preferable to global imputation because diabetic and non-diabetic patients have systematically different physiological baselines. A global fallback handles residual NaNs.</w:t>
      </w:r>
    </w:p>
    <w:p>
      <w:pPr>
        <w:spacing w:before="120" w:after="50"/>
      </w:pPr>
      <w:r>
        <w:rPr>
          <w:rFonts w:ascii="Arial" w:cs="Arial" w:eastAsia="Arial" w:hAnsi="Arial"/>
          <w:b/>
          <w:bCs/>
          <w:color w:val="2563EB"/>
          <w:sz w:val="21"/>
          <w:szCs w:val="21"/>
        </w:rPr>
        <w:t xml:space="preserve">B.  Feature Engineering</w:t>
      </w:r>
    </w:p>
    <w:p>
      <w:pPr>
        <w:spacing w:before="52" w:after="52" w:line="256"/>
        <w:jc w:val="both"/>
      </w:pPr>
      <w:r>
        <w:rPr>
          <w:rFonts w:ascii="Arial" w:cs="Arial" w:eastAsia="Arial" w:hAnsi="Arial"/>
          <w:sz w:val="20"/>
          <w:szCs w:val="20"/>
        </w:rPr>
        <w:t xml:space="preserve">Eight derived features supplement the original variables (Table II):</w:t>
      </w:r>
    </w:p>
    <w:p>
      <w:pPr>
        <w:spacing w:before="24" w:after="24"/>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480"/>
        <w:gridCol w:w="1640"/>
        <w:gridCol w:w="1560"/>
      </w:tblGrid>
      <w:tr>
        <w:trPr>
          <w:tblHeader/>
        </w:trPr>
        <w:tc>
          <w:tcPr>
            <w:tcW w:type="dxa" w:w="148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Feature</w:t>
            </w:r>
          </w:p>
        </w:tc>
        <w:tc>
          <w:tcPr>
            <w:tcW w:type="dxa" w:w="164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Formula</w:t>
            </w:r>
          </w:p>
        </w:tc>
        <w:tc>
          <w:tcPr>
            <w:tcW w:type="dxa" w:w="156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Rationale</w:t>
            </w:r>
          </w:p>
        </w:tc>
      </w:tr>
      <w:tr>
        <w:tc>
          <w:tcPr>
            <w:tcW w:type="dxa" w:w="14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Glucose-Insulin Ratio</w:t>
            </w:r>
          </w:p>
        </w:tc>
        <w:tc>
          <w:tcPr>
            <w:tcW w:type="dxa" w:w="16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Gluc/(Ins+1)</w:t>
            </w:r>
          </w:p>
        </w:tc>
        <w:tc>
          <w:tcPr>
            <w:tcW w:type="dxa" w:w="15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Insulin resistance</w:t>
            </w:r>
          </w:p>
        </w:tc>
      </w:tr>
      <w:tr>
        <w:tc>
          <w:tcPr>
            <w:tcW w:type="dxa" w:w="14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BMI × Age</w:t>
            </w:r>
          </w:p>
        </w:tc>
        <w:tc>
          <w:tcPr>
            <w:tcW w:type="dxa" w:w="16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BMI × Age</w:t>
            </w:r>
          </w:p>
        </w:tc>
        <w:tc>
          <w:tcPr>
            <w:tcW w:type="dxa" w:w="15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Obesity-age risk</w:t>
            </w:r>
          </w:p>
        </w:tc>
      </w:tr>
      <w:tr>
        <w:tc>
          <w:tcPr>
            <w:tcW w:type="dxa" w:w="14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Metabolic Risk</w:t>
            </w:r>
          </w:p>
        </w:tc>
        <w:tc>
          <w:tcPr>
            <w:tcW w:type="dxa" w:w="16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Norm(G+B+I)</w:t>
            </w:r>
          </w:p>
        </w:tc>
        <w:tc>
          <w:tcPr>
            <w:tcW w:type="dxa" w:w="15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Composite score</w:t>
            </w:r>
          </w:p>
        </w:tc>
      </w:tr>
      <w:tr>
        <w:tc>
          <w:tcPr>
            <w:tcW w:type="dxa" w:w="14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Insulin Sensitivity</w:t>
            </w:r>
          </w:p>
        </w:tc>
        <w:tc>
          <w:tcPr>
            <w:tcW w:type="dxa" w:w="16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Gluc/(Ins+ε)</w:t>
            </w:r>
          </w:p>
        </w:tc>
        <w:tc>
          <w:tcPr>
            <w:tcW w:type="dxa" w:w="15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Cell response</w:t>
            </w:r>
          </w:p>
        </w:tc>
      </w:tr>
      <w:tr>
        <w:tc>
          <w:tcPr>
            <w:tcW w:type="dxa" w:w="14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Age × Glucose</w:t>
            </w:r>
          </w:p>
        </w:tc>
        <w:tc>
          <w:tcPr>
            <w:tcW w:type="dxa" w:w="16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Age × Gluc</w:t>
            </w:r>
          </w:p>
        </w:tc>
        <w:tc>
          <w:tcPr>
            <w:tcW w:type="dxa" w:w="15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Age-amp. risk</w:t>
            </w:r>
          </w:p>
        </w:tc>
      </w:tr>
      <w:tr>
        <w:tc>
          <w:tcPr>
            <w:tcW w:type="dxa" w:w="14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Glucose²</w:t>
            </w:r>
          </w:p>
        </w:tc>
        <w:tc>
          <w:tcPr>
            <w:tcW w:type="dxa" w:w="16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Gluc²</w:t>
            </w:r>
          </w:p>
        </w:tc>
        <w:tc>
          <w:tcPr>
            <w:tcW w:type="dxa" w:w="15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Non-linear risk</w:t>
            </w:r>
          </w:p>
        </w:tc>
      </w:tr>
      <w:tr>
        <w:tc>
          <w:tcPr>
            <w:tcW w:type="dxa" w:w="14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BMI Category</w:t>
            </w:r>
          </w:p>
        </w:tc>
        <w:tc>
          <w:tcPr>
            <w:tcW w:type="dxa" w:w="16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WHO bins 0–3</w:t>
            </w:r>
          </w:p>
        </w:tc>
        <w:tc>
          <w:tcPr>
            <w:tcW w:type="dxa" w:w="15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Clinical banding</w:t>
            </w:r>
          </w:p>
        </w:tc>
      </w:tr>
      <w:tr>
        <w:tc>
          <w:tcPr>
            <w:tcW w:type="dxa" w:w="14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High Risk Flag</w:t>
            </w:r>
          </w:p>
        </w:tc>
        <w:tc>
          <w:tcPr>
            <w:tcW w:type="dxa" w:w="16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G&gt;140 &amp; B&gt;30</w:t>
            </w:r>
          </w:p>
        </w:tc>
        <w:tc>
          <w:tcPr>
            <w:tcW w:type="dxa" w:w="15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Red-flag binary</w:t>
            </w:r>
          </w:p>
        </w:tc>
      </w:tr>
    </w:tbl>
    <w:p>
      <w:pPr>
        <w:spacing w:before="24" w:after="80"/>
        <w:jc w:val="center"/>
      </w:pPr>
      <w:r>
        <w:rPr>
          <w:rFonts w:ascii="Arial" w:cs="Arial" w:eastAsia="Arial" w:hAnsi="Arial"/>
          <w:color w:val="4B5563"/>
          <w:sz w:val="18"/>
          <w:szCs w:val="18"/>
        </w:rPr>
        <w:t xml:space="preserve">Table II: Engineered Features</w:t>
      </w:r>
    </w:p>
    <w:p>
      <w:pPr>
        <w:spacing w:before="52" w:after="52" w:line="256"/>
        <w:jc w:val="both"/>
      </w:pPr>
      <w:r>
        <w:rPr>
          <w:rFonts w:ascii="Arial" w:cs="Arial" w:eastAsia="Arial" w:hAnsi="Arial"/>
          <w:sz w:val="20"/>
          <w:szCs w:val="20"/>
        </w:rPr>
        <w:t xml:space="preserve">BloodPressure, Pregnancies, and DiabetesPedigreeFunction were removed after initial importance analysis, as they contributed near-zero predictive signal.</w:t>
      </w:r>
    </w:p>
    <w:p>
      <w:pPr>
        <w:spacing w:before="120" w:after="50"/>
      </w:pPr>
      <w:r>
        <w:rPr>
          <w:rFonts w:ascii="Arial" w:cs="Arial" w:eastAsia="Arial" w:hAnsi="Arial"/>
          <w:b/>
          <w:bCs/>
          <w:color w:val="2563EB"/>
          <w:sz w:val="21"/>
          <w:szCs w:val="21"/>
        </w:rPr>
        <w:t xml:space="preserve">C.  SMOTETomek Resampling</w:t>
      </w:r>
    </w:p>
    <w:p>
      <w:pPr>
        <w:spacing w:before="52" w:after="52" w:line="256"/>
        <w:jc w:val="both"/>
      </w:pPr>
      <w:r>
        <w:rPr>
          <w:rFonts w:ascii="Arial" w:cs="Arial" w:eastAsia="Arial" w:hAnsi="Arial"/>
          <w:sz w:val="20"/>
          <w:szCs w:val="20"/>
        </w:rPr>
        <w:t xml:space="preserve">SMOTETomek combines SMOTE oversampling with Tomek Links boundary cleaning. Applied to the training set only to prevent data leakage. Produces balanced classes with cleaner decision boundaries.</w:t>
      </w:r>
    </w:p>
    <w:p>
      <w:pPr>
        <w:spacing w:before="120" w:after="50"/>
      </w:pPr>
      <w:r>
        <w:rPr>
          <w:rFonts w:ascii="Arial" w:cs="Arial" w:eastAsia="Arial" w:hAnsi="Arial"/>
          <w:b/>
          <w:bCs/>
          <w:color w:val="2563EB"/>
          <w:sz w:val="21"/>
          <w:szCs w:val="21"/>
        </w:rPr>
        <w:t xml:space="preserve">D.  Data Splitting</w:t>
      </w:r>
    </w:p>
    <w:p>
      <w:pPr>
        <w:spacing w:before="52" w:after="52" w:line="256"/>
        <w:jc w:val="both"/>
      </w:pPr>
      <w:r>
        <w:rPr>
          <w:rFonts w:ascii="Arial" w:cs="Arial" w:eastAsia="Arial" w:hAnsi="Arial"/>
          <w:sz w:val="20"/>
          <w:szCs w:val="20"/>
        </w:rPr>
        <w:t xml:space="preserve">Stratified 80:20 train-test split. An additional 15% held-out validation split is used for threshold optimisation. The test set remains completely unseen until final evaluation.</w:t>
      </w:r>
    </w:p>
    <w:p>
      <w:pPr>
        <w:spacing w:before="120" w:after="50"/>
      </w:pPr>
      <w:r>
        <w:rPr>
          <w:rFonts w:ascii="Arial" w:cs="Arial" w:eastAsia="Arial" w:hAnsi="Arial"/>
          <w:b/>
          <w:bCs/>
          <w:color w:val="2563EB"/>
          <w:sz w:val="21"/>
          <w:szCs w:val="21"/>
        </w:rPr>
        <w:t xml:space="preserve">E.  Hyperparameter Optimisation</w:t>
      </w:r>
    </w:p>
    <w:p>
      <w:pPr>
        <w:spacing w:before="52" w:after="52" w:line="256"/>
        <w:jc w:val="both"/>
      </w:pPr>
      <w:r>
        <w:rPr>
          <w:rFonts w:ascii="Arial" w:cs="Arial" w:eastAsia="Arial" w:hAnsi="Arial"/>
          <w:sz w:val="20"/>
          <w:szCs w:val="20"/>
        </w:rPr>
        <w:t xml:space="preserve">Random Forest, XGBoost, LightGBM, and CatBoost are tuned with Optuna's Tree-structured Parzen Estimator (TPE). Each model receives 50 trials scored by mean ROC-AUC from 5-fold × 3-repeat stratified CV (15 folds per trial).</w:t>
      </w:r>
    </w:p>
    <w:p>
      <w:pPr>
        <w:spacing w:before="120" w:after="50"/>
      </w:pPr>
      <w:r>
        <w:rPr>
          <w:rFonts w:ascii="Arial" w:cs="Arial" w:eastAsia="Arial" w:hAnsi="Arial"/>
          <w:b/>
          <w:bCs/>
          <w:color w:val="2563EB"/>
          <w:sz w:val="21"/>
          <w:szCs w:val="21"/>
        </w:rPr>
        <w:t xml:space="preserve">F.  Models Evaluated</w:t>
      </w:r>
    </w:p>
    <w:p>
      <w:pPr>
        <w:pStyle w:val="ListParagraph"/>
        <w:numPr>
          <w:ilvl w:val="0"/>
          <w:numId w:val="2"/>
        </w:numPr>
        <w:spacing w:before="24" w:after="24" w:line="244"/>
      </w:pPr>
      <w:r>
        <w:rPr>
          <w:rFonts w:ascii="Arial" w:cs="Arial" w:eastAsia="Arial" w:hAnsi="Arial"/>
          <w:sz w:val="20"/>
          <w:szCs w:val="20"/>
        </w:rPr>
        <w:t xml:space="preserve">Logistic Regression — linear probabilistic baseline.</w:t>
      </w:r>
    </w:p>
    <w:p>
      <w:pPr>
        <w:pStyle w:val="ListParagraph"/>
        <w:numPr>
          <w:ilvl w:val="0"/>
          <w:numId w:val="2"/>
        </w:numPr>
        <w:spacing w:before="24" w:after="24" w:line="244"/>
      </w:pPr>
      <w:r>
        <w:rPr>
          <w:rFonts w:ascii="Arial" w:cs="Arial" w:eastAsia="Arial" w:hAnsi="Arial"/>
          <w:sz w:val="20"/>
          <w:szCs w:val="20"/>
        </w:rPr>
        <w:t xml:space="preserve">Random Forest — bagged decision tree ensemble.</w:t>
      </w:r>
    </w:p>
    <w:p>
      <w:pPr>
        <w:pStyle w:val="ListParagraph"/>
        <w:numPr>
          <w:ilvl w:val="0"/>
          <w:numId w:val="2"/>
        </w:numPr>
        <w:spacing w:before="24" w:after="24" w:line="244"/>
      </w:pPr>
      <w:r>
        <w:rPr>
          <w:rFonts w:ascii="Arial" w:cs="Arial" w:eastAsia="Arial" w:hAnsi="Arial"/>
          <w:sz w:val="20"/>
          <w:szCs w:val="20"/>
        </w:rPr>
        <w:t xml:space="preserve">Gradient Boosting — sequential additive ensemble.</w:t>
      </w:r>
    </w:p>
    <w:p>
      <w:pPr>
        <w:pStyle w:val="ListParagraph"/>
        <w:numPr>
          <w:ilvl w:val="0"/>
          <w:numId w:val="2"/>
        </w:numPr>
        <w:spacing w:before="24" w:after="24" w:line="244"/>
      </w:pPr>
      <w:r>
        <w:rPr>
          <w:rFonts w:ascii="Arial" w:cs="Arial" w:eastAsia="Arial" w:hAnsi="Arial"/>
          <w:sz w:val="20"/>
          <w:szCs w:val="20"/>
        </w:rPr>
        <w:t xml:space="preserve">XGBoost — regularised gradient boosting.</w:t>
      </w:r>
    </w:p>
    <w:p>
      <w:pPr>
        <w:pStyle w:val="ListParagraph"/>
        <w:numPr>
          <w:ilvl w:val="0"/>
          <w:numId w:val="2"/>
        </w:numPr>
        <w:spacing w:before="24" w:after="24" w:line="244"/>
      </w:pPr>
      <w:r>
        <w:rPr>
          <w:rFonts w:ascii="Arial" w:cs="Arial" w:eastAsia="Arial" w:hAnsi="Arial"/>
          <w:sz w:val="20"/>
          <w:szCs w:val="20"/>
        </w:rPr>
        <w:t xml:space="preserve">LightGBM — leaf-wise gradient booster.</w:t>
      </w:r>
    </w:p>
    <w:p>
      <w:pPr>
        <w:pStyle w:val="ListParagraph"/>
        <w:numPr>
          <w:ilvl w:val="0"/>
          <w:numId w:val="2"/>
        </w:numPr>
        <w:spacing w:before="24" w:after="24" w:line="244"/>
      </w:pPr>
      <w:r>
        <w:rPr>
          <w:rFonts w:ascii="Arial" w:cs="Arial" w:eastAsia="Arial" w:hAnsi="Arial"/>
          <w:sz w:val="20"/>
          <w:szCs w:val="20"/>
        </w:rPr>
        <w:t xml:space="preserve">CatBoost — ordered boosting on small data.</w:t>
      </w:r>
    </w:p>
    <w:p>
      <w:pPr>
        <w:pStyle w:val="ListParagraph"/>
        <w:numPr>
          <w:ilvl w:val="0"/>
          <w:numId w:val="2"/>
        </w:numPr>
        <w:spacing w:before="24" w:after="24" w:line="244"/>
      </w:pPr>
      <w:r>
        <w:rPr>
          <w:rFonts w:ascii="Arial" w:cs="Arial" w:eastAsia="Arial" w:hAnsi="Arial"/>
          <w:sz w:val="20"/>
          <w:szCs w:val="20"/>
        </w:rPr>
        <w:t xml:space="preserve">Voting Ensemble — soft-vote of top 4 models.</w:t>
      </w:r>
    </w:p>
    <w:p>
      <w:pPr>
        <w:spacing w:before="120" w:after="50"/>
      </w:pPr>
      <w:r>
        <w:rPr>
          <w:rFonts w:ascii="Arial" w:cs="Arial" w:eastAsia="Arial" w:hAnsi="Arial"/>
          <w:b/>
          <w:bCs/>
          <w:color w:val="2563EB"/>
          <w:sz w:val="21"/>
          <w:szCs w:val="21"/>
        </w:rPr>
        <w:t xml:space="preserve">G.  Threshold &amp; Metrics</w:t>
      </w:r>
    </w:p>
    <w:p>
      <w:pPr>
        <w:spacing w:before="52" w:after="52" w:line="256"/>
        <w:jc w:val="both"/>
      </w:pPr>
      <w:r>
        <w:rPr>
          <w:rFonts w:ascii="Arial" w:cs="Arial" w:eastAsia="Arial" w:hAnsi="Arial"/>
          <w:sz w:val="20"/>
          <w:szCs w:val="20"/>
        </w:rPr>
        <w:t xml:space="preserve">Decision thresholds are optimised on the validation set to maximise F1-score. Evaluation metrics: Accuracy, Precision, Recall, F1-Score, ROC-AUC.</w:t>
      </w:r>
    </w:p>
    <w:p>
      <w:pPr>
        <w:pBdr>
          <w:bottom w:val="single" w:color="2563EB" w:sz="3" w:space="2"/>
        </w:pBdr>
        <w:spacing w:before="160" w:after="60"/>
      </w:pPr>
      <w:r>
        <w:rPr>
          <w:rFonts w:ascii="Arial" w:cs="Arial" w:eastAsia="Arial" w:hAnsi="Arial"/>
          <w:b/>
          <w:bCs/>
          <w:color w:val="1D3461"/>
          <w:sz w:val="22"/>
          <w:szCs w:val="22"/>
        </w:rPr>
        <w:t xml:space="preserve">V.  RESULTS AND DISCUSSION</w:t>
      </w:r>
    </w:p>
    <w:p>
      <w:pPr>
        <w:spacing w:before="120" w:after="50"/>
      </w:pPr>
      <w:r>
        <w:rPr>
          <w:rFonts w:ascii="Arial" w:cs="Arial" w:eastAsia="Arial" w:hAnsi="Arial"/>
          <w:b/>
          <w:bCs/>
          <w:color w:val="2563EB"/>
          <w:sz w:val="21"/>
          <w:szCs w:val="21"/>
        </w:rPr>
        <w:t xml:space="preserve">A.  Overall Performance</w:t>
      </w:r>
    </w:p>
    <w:p>
      <w:pPr>
        <w:spacing w:before="24" w:after="24"/>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700"/>
        <w:gridCol w:w="700"/>
        <w:gridCol w:w="280"/>
      </w:tblGrid>
      <w:tr>
        <w:trPr>
          <w:tblHeader/>
        </w:trPr>
        <w:tc>
          <w:tcPr>
            <w:tcW w:type="dxa" w:w="160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Model</w:t>
            </w:r>
          </w:p>
        </w:tc>
        <w:tc>
          <w:tcPr>
            <w:tcW w:type="dxa" w:w="70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Acc</w:t>
            </w:r>
          </w:p>
        </w:tc>
        <w:tc>
          <w:tcPr>
            <w:tcW w:type="dxa" w:w="70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Pre</w:t>
            </w:r>
          </w:p>
        </w:tc>
        <w:tc>
          <w:tcPr>
            <w:tcW w:type="dxa" w:w="70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Rec</w:t>
            </w:r>
          </w:p>
        </w:tc>
        <w:tc>
          <w:tcPr>
            <w:tcW w:type="dxa" w:w="70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F1</w:t>
            </w:r>
          </w:p>
        </w:tc>
        <w:tc>
          <w:tcPr>
            <w:tcW w:type="dxa" w:w="28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AUC</w:t>
            </w:r>
          </w:p>
        </w:tc>
      </w:tr>
      <w:tr>
        <w:tc>
          <w:tcPr>
            <w:tcW w:type="dxa" w:w="16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Log. Reg.</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72.7%</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0.75</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0.72</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0.72</w:t>
            </w:r>
          </w:p>
        </w:tc>
        <w:tc>
          <w:tcPr>
            <w:tcW w:type="dxa" w:w="2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0.83</w:t>
            </w:r>
          </w:p>
        </w:tc>
      </w:tr>
      <w:tr>
        <w:tc>
          <w:tcPr>
            <w:tcW w:type="dxa" w:w="16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CatBoost</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85.7%</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0.87</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0.82</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0.83</w:t>
            </w:r>
          </w:p>
        </w:tc>
        <w:tc>
          <w:tcPr>
            <w:tcW w:type="dxa" w:w="2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0.94</w:t>
            </w:r>
          </w:p>
        </w:tc>
      </w:tr>
      <w:tr>
        <w:tc>
          <w:tcPr>
            <w:tcW w:type="dxa" w:w="16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LightGBM</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86.4%</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0.88</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0.83</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0.84</w:t>
            </w:r>
          </w:p>
        </w:tc>
        <w:tc>
          <w:tcPr>
            <w:tcW w:type="dxa" w:w="2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0.94</w:t>
            </w:r>
          </w:p>
        </w:tc>
      </w:tr>
      <w:tr>
        <w:tc>
          <w:tcPr>
            <w:tcW w:type="dxa" w:w="16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Grad. Boost</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87.0%</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0.86</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0.85</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0.86</w:t>
            </w:r>
          </w:p>
        </w:tc>
        <w:tc>
          <w:tcPr>
            <w:tcW w:type="dxa" w:w="2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0.95</w:t>
            </w:r>
          </w:p>
        </w:tc>
      </w:tr>
      <w:tr>
        <w:tc>
          <w:tcPr>
            <w:tcW w:type="dxa" w:w="16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XGBoost</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87.7%</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0.87</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0.87</w:t>
            </w:r>
          </w:p>
        </w:tc>
        <w:tc>
          <w:tcPr>
            <w:tcW w:type="dxa" w:w="7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0.87</w:t>
            </w:r>
          </w:p>
        </w:tc>
        <w:tc>
          <w:tcPr>
            <w:tcW w:type="dxa" w:w="2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0.95</w:t>
            </w:r>
          </w:p>
        </w:tc>
      </w:tr>
      <w:tr>
        <w:tc>
          <w:tcPr>
            <w:tcW w:type="dxa" w:w="16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Voting</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87.7%</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0.87</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0.87</w:t>
            </w:r>
          </w:p>
        </w:tc>
        <w:tc>
          <w:tcPr>
            <w:tcW w:type="dxa" w:w="7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0.87</w:t>
            </w:r>
          </w:p>
        </w:tc>
        <w:tc>
          <w:tcPr>
            <w:tcW w:type="dxa" w:w="2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0.94</w:t>
            </w:r>
          </w:p>
        </w:tc>
      </w:tr>
      <w:tr>
        <w:tc>
          <w:tcPr>
            <w:tcW w:type="dxa" w:w="160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left"/>
            </w:pPr>
            <w:r>
              <w:rPr>
                <w:rFonts w:ascii="Arial" w:cs="Arial" w:eastAsia="Arial" w:hAnsi="Arial"/>
                <w:b/>
                <w:bCs/>
                <w:color w:val="111827"/>
                <w:sz w:val="18"/>
                <w:szCs w:val="18"/>
              </w:rPr>
              <w:t xml:space="preserve">Rnd Forest ★</w:t>
            </w:r>
          </w:p>
        </w:tc>
        <w:tc>
          <w:tcPr>
            <w:tcW w:type="dxa" w:w="70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center"/>
            </w:pPr>
            <w:r>
              <w:rPr>
                <w:rFonts w:ascii="Arial" w:cs="Arial" w:eastAsia="Arial" w:hAnsi="Arial"/>
                <w:b/>
                <w:bCs/>
                <w:color w:val="111827"/>
                <w:sz w:val="18"/>
                <w:szCs w:val="18"/>
              </w:rPr>
              <w:t xml:space="preserve">88.3%</w:t>
            </w:r>
          </w:p>
        </w:tc>
        <w:tc>
          <w:tcPr>
            <w:tcW w:type="dxa" w:w="70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center"/>
            </w:pPr>
            <w:r>
              <w:rPr>
                <w:rFonts w:ascii="Arial" w:cs="Arial" w:eastAsia="Arial" w:hAnsi="Arial"/>
                <w:b/>
                <w:bCs/>
                <w:color w:val="111827"/>
                <w:sz w:val="18"/>
                <w:szCs w:val="18"/>
              </w:rPr>
              <w:t xml:space="preserve">0.88</w:t>
            </w:r>
          </w:p>
        </w:tc>
        <w:tc>
          <w:tcPr>
            <w:tcW w:type="dxa" w:w="70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center"/>
            </w:pPr>
            <w:r>
              <w:rPr>
                <w:rFonts w:ascii="Arial" w:cs="Arial" w:eastAsia="Arial" w:hAnsi="Arial"/>
                <w:b/>
                <w:bCs/>
                <w:color w:val="111827"/>
                <w:sz w:val="18"/>
                <w:szCs w:val="18"/>
              </w:rPr>
              <w:t xml:space="preserve">0.87</w:t>
            </w:r>
          </w:p>
        </w:tc>
        <w:tc>
          <w:tcPr>
            <w:tcW w:type="dxa" w:w="70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center"/>
            </w:pPr>
            <w:r>
              <w:rPr>
                <w:rFonts w:ascii="Arial" w:cs="Arial" w:eastAsia="Arial" w:hAnsi="Arial"/>
                <w:b/>
                <w:bCs/>
                <w:color w:val="111827"/>
                <w:sz w:val="18"/>
                <w:szCs w:val="18"/>
              </w:rPr>
              <w:t xml:space="preserve">0.88</w:t>
            </w:r>
          </w:p>
        </w:tc>
        <w:tc>
          <w:tcPr>
            <w:tcW w:type="dxa" w:w="28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center"/>
            </w:pPr>
            <w:r>
              <w:rPr>
                <w:rFonts w:ascii="Arial" w:cs="Arial" w:eastAsia="Arial" w:hAnsi="Arial"/>
                <w:b/>
                <w:bCs/>
                <w:color w:val="111827"/>
                <w:sz w:val="18"/>
                <w:szCs w:val="18"/>
              </w:rPr>
              <w:t xml:space="preserve">0.95</w:t>
            </w:r>
          </w:p>
        </w:tc>
      </w:tr>
    </w:tbl>
    <w:p>
      <w:pPr>
        <w:spacing w:before="24" w:after="80"/>
        <w:jc w:val="center"/>
      </w:pPr>
      <w:r>
        <w:rPr>
          <w:rFonts w:ascii="Arial" w:cs="Arial" w:eastAsia="Arial" w:hAnsi="Arial"/>
          <w:color w:val="4B5563"/>
          <w:sz w:val="18"/>
          <w:szCs w:val="18"/>
        </w:rPr>
        <w:t xml:space="preserve">Table III: Model Comparison (★ = Best)</w:t>
      </w:r>
    </w:p>
    <w:p>
      <w:pPr>
        <w:spacing w:before="80" w:after="24"/>
        <w:jc w:val="center"/>
      </w:pPr>
      <w:r>
        <w:drawing>
          <wp:inline distT="0" distB="0" distL="0" distR="0">
            <wp:extent cx="4419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196000" cy="1905000"/>
                    </a:xfrm>
                    <a:prstGeom prst="rect">
                      <a:avLst/>
                    </a:prstGeom>
                  </pic:spPr>
                </pic:pic>
              </a:graphicData>
            </a:graphic>
          </wp:inline>
        </w:drawing>
      </w:r>
    </w:p>
    <w:p>
      <w:pPr>
        <w:spacing w:before="24" w:after="80"/>
        <w:jc w:val="center"/>
      </w:pPr>
      <w:r>
        <w:rPr>
          <w:rFonts w:ascii="Arial" w:cs="Arial" w:eastAsia="Arial" w:hAnsi="Arial"/>
          <w:color w:val="4B5563"/>
          <w:sz w:val="18"/>
          <w:szCs w:val="18"/>
        </w:rPr>
        <w:t xml:space="preserve">Fig. 2: Accuracy and ROC-AUC Comparison</w:t>
      </w:r>
    </w:p>
    <w:p>
      <w:pPr>
        <w:spacing w:before="120" w:after="50"/>
      </w:pPr>
      <w:r>
        <w:rPr>
          <w:rFonts w:ascii="Arial" w:cs="Arial" w:eastAsia="Arial" w:hAnsi="Arial"/>
          <w:b/>
          <w:bCs/>
          <w:color w:val="2563EB"/>
          <w:sz w:val="21"/>
          <w:szCs w:val="21"/>
        </w:rPr>
        <w:t xml:space="preserve">B.  Best Model: Random Forest</w:t>
      </w:r>
    </w:p>
    <w:p>
      <w:pPr>
        <w:spacing w:before="52" w:after="52" w:line="256"/>
        <w:jc w:val="both"/>
      </w:pPr>
      <w:r>
        <w:rPr>
          <w:rFonts w:ascii="Arial" w:cs="Arial" w:eastAsia="Arial" w:hAnsi="Arial"/>
          <w:sz w:val="20"/>
          <w:szCs w:val="20"/>
        </w:rPr>
        <w:t xml:space="preserve">Random Forest achieved the highest accuracy of 88.31% (ROC-AUC 0.9474). It aggregates 526 decision trees with logarithmic feature subsampling. Gradient Boosting achieved the highest AUC of 0.9524, indicating superior discrimination across all thresholds.</w:t>
      </w:r>
    </w:p>
    <w:p>
      <w:pPr>
        <w:spacing w:before="120" w:after="50"/>
      </w:pPr>
      <w:r>
        <w:rPr>
          <w:rFonts w:ascii="Arial" w:cs="Arial" w:eastAsia="Arial" w:hAnsi="Arial"/>
          <w:b/>
          <w:bCs/>
          <w:color w:val="2563EB"/>
          <w:sz w:val="21"/>
          <w:szCs w:val="21"/>
        </w:rPr>
        <w:t xml:space="preserve">C.  Confusion Matrix</w:t>
      </w:r>
    </w:p>
    <w:p>
      <w:pPr>
        <w:spacing w:before="80" w:after="24"/>
        <w:jc w:val="center"/>
      </w:pPr>
      <w:r>
        <w:drawing>
          <wp:inline distT="0" distB="0" distL="0" distR="0">
            <wp:extent cx="2952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2362200"/>
                    </a:xfrm>
                    <a:prstGeom prst="rect">
                      <a:avLst/>
                    </a:prstGeom>
                  </pic:spPr>
                </pic:pic>
              </a:graphicData>
            </a:graphic>
          </wp:inline>
        </w:drawing>
      </w:r>
    </w:p>
    <w:p>
      <w:pPr>
        <w:spacing w:before="24" w:after="80"/>
        <w:jc w:val="center"/>
      </w:pPr>
      <w:r>
        <w:rPr>
          <w:rFonts w:ascii="Arial" w:cs="Arial" w:eastAsia="Arial" w:hAnsi="Arial"/>
          <w:color w:val="4B5563"/>
          <w:sz w:val="18"/>
          <w:szCs w:val="18"/>
        </w:rPr>
        <w:t xml:space="preserve">Fig. 3: Confusion Matrix — Random Forest</w:t>
      </w:r>
    </w:p>
    <w:p>
      <w:pPr>
        <w:spacing w:before="52" w:after="52" w:line="256"/>
        <w:jc w:val="both"/>
      </w:pPr>
      <w:r>
        <w:rPr>
          <w:rFonts w:ascii="Arial" w:cs="Arial" w:eastAsia="Arial" w:hAnsi="Arial"/>
          <w:sz w:val="20"/>
          <w:szCs w:val="20"/>
        </w:rPr>
        <w:t xml:space="preserve">Random Forest correctly classified 92/100 non-diabetic (92% specificity) and 44/54 diabetic patients (81.5% sensitivity). The 10 false negatives represent missed diagnoses — the clinically critical error type.</w:t>
      </w:r>
    </w:p>
    <w:p>
      <w:pPr>
        <w:spacing w:before="120" w:after="50"/>
      </w:pPr>
      <w:r>
        <w:rPr>
          <w:rFonts w:ascii="Arial" w:cs="Arial" w:eastAsia="Arial" w:hAnsi="Arial"/>
          <w:b/>
          <w:bCs/>
          <w:color w:val="2563EB"/>
          <w:sz w:val="21"/>
          <w:szCs w:val="21"/>
        </w:rPr>
        <w:t xml:space="preserve">D.  ROC Curves</w:t>
      </w:r>
    </w:p>
    <w:p>
      <w:pPr>
        <w:spacing w:before="80" w:after="24"/>
        <w:jc w:val="center"/>
      </w:pPr>
      <w:r>
        <w:drawing>
          <wp:inline distT="0" distB="0" distL="0" distR="0">
            <wp:extent cx="2952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2724150"/>
                    </a:xfrm>
                    <a:prstGeom prst="rect">
                      <a:avLst/>
                    </a:prstGeom>
                  </pic:spPr>
                </pic:pic>
              </a:graphicData>
            </a:graphic>
          </wp:inline>
        </w:drawing>
      </w:r>
    </w:p>
    <w:p>
      <w:pPr>
        <w:spacing w:before="24" w:after="80"/>
        <w:jc w:val="center"/>
      </w:pPr>
      <w:r>
        <w:rPr>
          <w:rFonts w:ascii="Arial" w:cs="Arial" w:eastAsia="Arial" w:hAnsi="Arial"/>
          <w:color w:val="4B5563"/>
          <w:sz w:val="18"/>
          <w:szCs w:val="18"/>
        </w:rPr>
        <w:t xml:space="preserve">Fig. 5: ROC Curves — All Models</w:t>
      </w:r>
    </w:p>
    <w:p>
      <w:pPr>
        <w:spacing w:before="52" w:after="52" w:line="256"/>
        <w:jc w:val="both"/>
      </w:pPr>
      <w:r>
        <w:rPr>
          <w:rFonts w:ascii="Arial" w:cs="Arial" w:eastAsia="Arial" w:hAnsi="Arial"/>
          <w:sz w:val="20"/>
          <w:szCs w:val="20"/>
        </w:rPr>
        <w:t xml:space="preserve">All ensemble models achieve ROC-AUC above 0.93. Logistic Regression (0.83) confirms that non-linear clinical patterns are better captured by tree-based methods.</w:t>
      </w:r>
    </w:p>
    <w:p>
      <w:pPr>
        <w:spacing w:before="120" w:after="50"/>
      </w:pPr>
      <w:r>
        <w:rPr>
          <w:rFonts w:ascii="Arial" w:cs="Arial" w:eastAsia="Arial" w:hAnsi="Arial"/>
          <w:b/>
          <w:bCs/>
          <w:color w:val="2563EB"/>
          <w:sz w:val="21"/>
          <w:szCs w:val="21"/>
        </w:rPr>
        <w:t xml:space="preserve">E.  Feature Importance</w:t>
      </w:r>
    </w:p>
    <w:p>
      <w:pPr>
        <w:spacing w:before="80" w:after="24"/>
        <w:jc w:val="center"/>
      </w:pPr>
      <w:r>
        <w:drawing>
          <wp:inline distT="0" distB="0" distL="0" distR="0">
            <wp:extent cx="2952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52750" cy="2047875"/>
                    </a:xfrm>
                    <a:prstGeom prst="rect">
                      <a:avLst/>
                    </a:prstGeom>
                  </pic:spPr>
                </pic:pic>
              </a:graphicData>
            </a:graphic>
          </wp:inline>
        </w:drawing>
      </w:r>
    </w:p>
    <w:p>
      <w:pPr>
        <w:spacing w:before="24" w:after="80"/>
        <w:jc w:val="center"/>
      </w:pPr>
      <w:r>
        <w:rPr>
          <w:rFonts w:ascii="Arial" w:cs="Arial" w:eastAsia="Arial" w:hAnsi="Arial"/>
          <w:color w:val="4B5563"/>
          <w:sz w:val="18"/>
          <w:szCs w:val="18"/>
        </w:rPr>
        <w:t xml:space="preserve">Fig. 4: Feature Importances — Random Forest</w:t>
      </w:r>
    </w:p>
    <w:p>
      <w:pPr>
        <w:spacing w:before="52" w:after="52" w:line="256"/>
        <w:jc w:val="both"/>
      </w:pPr>
      <w:r>
        <w:rPr>
          <w:rFonts w:ascii="Arial" w:cs="Arial" w:eastAsia="Arial" w:hAnsi="Arial"/>
          <w:sz w:val="20"/>
          <w:szCs w:val="20"/>
        </w:rPr>
        <w:t xml:space="preserve">Insulin (0.31) and Metabolic Risk Score (0.21) account for 52% of total importance. Skin Thickness (0.11) and Glucose (0.08) follow. Engineered features collectively improved accuracy over raw attributes alone.</w:t>
      </w:r>
    </w:p>
    <w:p>
      <w:pPr>
        <w:spacing w:before="120" w:after="50"/>
      </w:pPr>
      <w:r>
        <w:rPr>
          <w:rFonts w:ascii="Arial" w:cs="Arial" w:eastAsia="Arial" w:hAnsi="Arial"/>
          <w:b/>
          <w:bCs/>
          <w:color w:val="2563EB"/>
          <w:sz w:val="21"/>
          <w:szCs w:val="21"/>
        </w:rPr>
        <w:t xml:space="preserve">F.  Prior Work Comparison</w:t>
      </w:r>
    </w:p>
    <w:p>
      <w:pPr>
        <w:spacing w:before="24" w:after="24"/>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500"/>
        <w:gridCol w:w="1180"/>
        <w:gridCol w:w="760"/>
        <w:gridCol w:w="1240"/>
      </w:tblGrid>
      <w:tr>
        <w:trPr>
          <w:tblHeader/>
        </w:trPr>
        <w:tc>
          <w:tcPr>
            <w:tcW w:type="dxa" w:w="150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Study</w:t>
            </w:r>
          </w:p>
        </w:tc>
        <w:tc>
          <w:tcPr>
            <w:tcW w:type="dxa" w:w="118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Models</w:t>
            </w:r>
          </w:p>
        </w:tc>
        <w:tc>
          <w:tcPr>
            <w:tcW w:type="dxa" w:w="76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Acc.</w:t>
            </w:r>
          </w:p>
        </w:tc>
        <w:tc>
          <w:tcPr>
            <w:tcW w:type="dxa" w:w="1240"/>
            <w:tcBorders>
              <w:top w:val="single" w:color="BBCFE8" w:sz="1"/>
              <w:left w:val="single" w:color="BBCFE8" w:sz="1"/>
              <w:bottom w:val="single" w:color="BBCFE8" w:sz="1"/>
              <w:right w:val="single" w:color="BBCFE8" w:sz="1"/>
            </w:tcBorders>
            <w:shd w:fill="1D3461" w:val="clear"/>
            <w:tcMar>
              <w:top w:type="dxa" w:w="55"/>
              <w:left w:type="dxa" w:w="100"/>
              <w:bottom w:type="dxa" w:w="55"/>
              <w:right w:type="dxa" w:w="100"/>
            </w:tcMar>
            <w:vAlign w:val="center"/>
          </w:tcPr>
          <w:p>
            <w:pPr>
              <w:spacing w:before="0" w:after="0"/>
              <w:jc w:val="center"/>
            </w:pPr>
            <w:r>
              <w:rPr>
                <w:rFonts w:ascii="Arial" w:cs="Arial" w:eastAsia="Arial" w:hAnsi="Arial"/>
                <w:b/>
                <w:bCs/>
                <w:color w:val="FFFFFF"/>
                <w:sz w:val="18"/>
                <w:szCs w:val="18"/>
              </w:rPr>
              <w:t xml:space="preserve">Winner</w:t>
            </w:r>
          </w:p>
        </w:tc>
      </w:tr>
      <w:tr>
        <w:tc>
          <w:tcPr>
            <w:tcW w:type="dxa" w:w="15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Smith '88</w:t>
            </w:r>
          </w:p>
        </w:tc>
        <w:tc>
          <w:tcPr>
            <w:tcW w:type="dxa" w:w="11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Neural Net</w:t>
            </w:r>
          </w:p>
        </w:tc>
        <w:tc>
          <w:tcPr>
            <w:tcW w:type="dxa" w:w="7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76.0%</w:t>
            </w:r>
          </w:p>
        </w:tc>
        <w:tc>
          <w:tcPr>
            <w:tcW w:type="dxa" w:w="12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ANN</w:t>
            </w:r>
          </w:p>
        </w:tc>
      </w:tr>
      <w:tr>
        <w:tc>
          <w:tcPr>
            <w:tcW w:type="dxa" w:w="15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Patil '11</w:t>
            </w:r>
          </w:p>
        </w:tc>
        <w:tc>
          <w:tcPr>
            <w:tcW w:type="dxa" w:w="11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SVM, NB, DT</w:t>
            </w:r>
          </w:p>
        </w:tc>
        <w:tc>
          <w:tcPr>
            <w:tcW w:type="dxa" w:w="7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78.2%</w:t>
            </w:r>
          </w:p>
        </w:tc>
        <w:tc>
          <w:tcPr>
            <w:tcW w:type="dxa" w:w="12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SVM</w:t>
            </w:r>
          </w:p>
        </w:tc>
      </w:tr>
      <w:tr>
        <w:tc>
          <w:tcPr>
            <w:tcW w:type="dxa" w:w="150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Naz '20</w:t>
            </w:r>
          </w:p>
        </w:tc>
        <w:tc>
          <w:tcPr>
            <w:tcW w:type="dxa" w:w="118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RF, SVM, LR</w:t>
            </w:r>
          </w:p>
        </w:tc>
        <w:tc>
          <w:tcPr>
            <w:tcW w:type="dxa" w:w="76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82.5%</w:t>
            </w:r>
          </w:p>
        </w:tc>
        <w:tc>
          <w:tcPr>
            <w:tcW w:type="dxa" w:w="1240"/>
            <w:tcBorders>
              <w:top w:val="single" w:color="BBCFE8" w:sz="1"/>
              <w:left w:val="single" w:color="BBCFE8" w:sz="1"/>
              <w:bottom w:val="single" w:color="BBCFE8" w:sz="1"/>
              <w:right w:val="single" w:color="BBCFE8" w:sz="1"/>
            </w:tcBorders>
            <w:shd w:fill="FFFF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RF</w:t>
            </w:r>
          </w:p>
        </w:tc>
      </w:tr>
      <w:tr>
        <w:tc>
          <w:tcPr>
            <w:tcW w:type="dxa" w:w="150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left"/>
            </w:pPr>
            <w:r>
              <w:rPr>
                <w:rFonts w:ascii="Arial" w:cs="Arial" w:eastAsia="Arial" w:hAnsi="Arial"/>
                <w:color w:val="111827"/>
                <w:sz w:val="18"/>
                <w:szCs w:val="18"/>
              </w:rPr>
              <w:t xml:space="preserve">Zou '18</w:t>
            </w:r>
          </w:p>
        </w:tc>
        <w:tc>
          <w:tcPr>
            <w:tcW w:type="dxa" w:w="118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DNN, SVM</w:t>
            </w:r>
          </w:p>
        </w:tc>
        <w:tc>
          <w:tcPr>
            <w:tcW w:type="dxa" w:w="76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80.8%</w:t>
            </w:r>
          </w:p>
        </w:tc>
        <w:tc>
          <w:tcPr>
            <w:tcW w:type="dxa" w:w="1240"/>
            <w:tcBorders>
              <w:top w:val="single" w:color="BBCFE8" w:sz="1"/>
              <w:left w:val="single" w:color="BBCFE8" w:sz="1"/>
              <w:bottom w:val="single" w:color="BBCFE8" w:sz="1"/>
              <w:right w:val="single" w:color="BBCFE8" w:sz="1"/>
            </w:tcBorders>
            <w:shd w:fill="EFF6FF" w:val="clear"/>
            <w:tcMar>
              <w:top w:type="dxa" w:w="55"/>
              <w:left w:type="dxa" w:w="100"/>
              <w:bottom w:type="dxa" w:w="55"/>
              <w:right w:type="dxa" w:w="100"/>
            </w:tcMar>
            <w:vAlign w:val="center"/>
          </w:tcPr>
          <w:p>
            <w:pPr>
              <w:spacing w:before="0" w:after="0"/>
              <w:jc w:val="center"/>
            </w:pPr>
            <w:r>
              <w:rPr>
                <w:rFonts w:ascii="Arial" w:cs="Arial" w:eastAsia="Arial" w:hAnsi="Arial"/>
                <w:color w:val="111827"/>
                <w:sz w:val="18"/>
                <w:szCs w:val="18"/>
              </w:rPr>
              <w:t xml:space="preserve">DNN</w:t>
            </w:r>
          </w:p>
        </w:tc>
      </w:tr>
      <w:tr>
        <w:tc>
          <w:tcPr>
            <w:tcW w:type="dxa" w:w="150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left"/>
            </w:pPr>
            <w:r>
              <w:rPr>
                <w:rFonts w:ascii="Arial" w:cs="Arial" w:eastAsia="Arial" w:hAnsi="Arial"/>
                <w:b/>
                <w:bCs/>
                <w:color w:val="111827"/>
                <w:sz w:val="18"/>
                <w:szCs w:val="18"/>
              </w:rPr>
              <w:t xml:space="preserve">This Study</w:t>
            </w:r>
          </w:p>
        </w:tc>
        <w:tc>
          <w:tcPr>
            <w:tcW w:type="dxa" w:w="118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center"/>
            </w:pPr>
            <w:r>
              <w:rPr>
                <w:rFonts w:ascii="Arial" w:cs="Arial" w:eastAsia="Arial" w:hAnsi="Arial"/>
                <w:b/>
                <w:bCs/>
                <w:color w:val="111827"/>
                <w:sz w:val="18"/>
                <w:szCs w:val="18"/>
              </w:rPr>
              <w:t xml:space="preserve">7 models</w:t>
            </w:r>
          </w:p>
        </w:tc>
        <w:tc>
          <w:tcPr>
            <w:tcW w:type="dxa" w:w="76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center"/>
            </w:pPr>
            <w:r>
              <w:rPr>
                <w:rFonts w:ascii="Arial" w:cs="Arial" w:eastAsia="Arial" w:hAnsi="Arial"/>
                <w:b/>
                <w:bCs/>
                <w:color w:val="111827"/>
                <w:sz w:val="18"/>
                <w:szCs w:val="18"/>
              </w:rPr>
              <w:t xml:space="preserve">88.3%</w:t>
            </w:r>
          </w:p>
        </w:tc>
        <w:tc>
          <w:tcPr>
            <w:tcW w:type="dxa" w:w="1240"/>
            <w:tcBorders>
              <w:top w:val="single" w:color="BBCFE8" w:sz="1"/>
              <w:left w:val="single" w:color="BBCFE8" w:sz="1"/>
              <w:bottom w:val="single" w:color="BBCFE8" w:sz="1"/>
              <w:right w:val="single" w:color="BBCFE8" w:sz="1"/>
            </w:tcBorders>
            <w:shd w:fill="DBEAFE" w:val="clear"/>
            <w:tcMar>
              <w:top w:type="dxa" w:w="55"/>
              <w:left w:type="dxa" w:w="100"/>
              <w:bottom w:type="dxa" w:w="55"/>
              <w:right w:type="dxa" w:w="100"/>
            </w:tcMar>
            <w:vAlign w:val="center"/>
          </w:tcPr>
          <w:p>
            <w:pPr>
              <w:spacing w:before="0" w:after="0"/>
              <w:jc w:val="center"/>
            </w:pPr>
            <w:r>
              <w:rPr>
                <w:rFonts w:ascii="Arial" w:cs="Arial" w:eastAsia="Arial" w:hAnsi="Arial"/>
                <w:b/>
                <w:bCs/>
                <w:color w:val="111827"/>
                <w:sz w:val="18"/>
                <w:szCs w:val="18"/>
              </w:rPr>
              <w:t xml:space="preserve">RF</w:t>
            </w:r>
          </w:p>
        </w:tc>
      </w:tr>
    </w:tbl>
    <w:p>
      <w:pPr>
        <w:spacing w:before="24" w:after="80"/>
        <w:jc w:val="center"/>
      </w:pPr>
      <w:r>
        <w:rPr>
          <w:rFonts w:ascii="Arial" w:cs="Arial" w:eastAsia="Arial" w:hAnsi="Arial"/>
          <w:color w:val="4B5563"/>
          <w:sz w:val="18"/>
          <w:szCs w:val="18"/>
        </w:rPr>
        <w:t xml:space="preserve">Table IV: Comparison with Prior Literature</w:t>
      </w:r>
    </w:p>
    <w:p>
      <w:pPr>
        <w:spacing w:before="52" w:after="52" w:line="256"/>
        <w:jc w:val="both"/>
      </w:pPr>
      <w:r>
        <w:rPr>
          <w:rFonts w:ascii="Arial" w:cs="Arial" w:eastAsia="Arial" w:hAnsi="Arial"/>
          <w:sz w:val="20"/>
          <w:szCs w:val="20"/>
        </w:rPr>
        <w:t xml:space="preserve">The 88.31% accuracy without deep learning demonstrates that principled feature engineering and systematic hyperparameter tuning are as impactful as algorithm complexity.</w:t>
      </w:r>
    </w:p>
    <w:p>
      <w:pPr>
        <w:pBdr>
          <w:bottom w:val="single" w:color="2563EB" w:sz="3" w:space="2"/>
        </w:pBdr>
        <w:spacing w:before="160" w:after="60"/>
      </w:pPr>
      <w:r>
        <w:rPr>
          <w:rFonts w:ascii="Arial" w:cs="Arial" w:eastAsia="Arial" w:hAnsi="Arial"/>
          <w:b/>
          <w:bCs/>
          <w:color w:val="1D3461"/>
          <w:sz w:val="22"/>
          <w:szCs w:val="22"/>
        </w:rPr>
        <w:t xml:space="preserve">VI.  CONCLUSION</w:t>
      </w:r>
    </w:p>
    <w:p>
      <w:pPr>
        <w:spacing w:before="52" w:after="52" w:line="256"/>
        <w:ind w:firstLine="280"/>
        <w:jc w:val="both"/>
      </w:pPr>
      <w:r>
        <w:rPr>
          <w:rFonts w:ascii="Arial" w:cs="Arial" w:eastAsia="Arial" w:hAnsi="Arial"/>
          <w:sz w:val="20"/>
          <w:szCs w:val="20"/>
        </w:rPr>
        <w:t xml:space="preserve">This study presented a comparative analysis of seven ML classifiers for early diabetes detection. A comprehensive pipeline of imputation, feature engineering, SMOTETomek, threshold optimisation, and Bayesian tuning was developed and validated. Random Forest achieved the top accuracy of 88.31% (ROC-AUC 0.9474). Engineered features, particularly Metabolic Risk Score and Glucose-Insulin Ratio, were key performance drivers.</w:t>
      </w:r>
    </w:p>
    <w:p>
      <w:pPr>
        <w:spacing w:before="120" w:after="50"/>
      </w:pPr>
      <w:r>
        <w:rPr>
          <w:rFonts w:ascii="Arial" w:cs="Arial" w:eastAsia="Arial" w:hAnsi="Arial"/>
          <w:b/>
          <w:bCs/>
          <w:color w:val="2563EB"/>
          <w:sz w:val="21"/>
          <w:szCs w:val="21"/>
        </w:rPr>
        <w:t xml:space="preserve">Limitations</w:t>
      </w:r>
    </w:p>
    <w:p>
      <w:pPr>
        <w:pStyle w:val="ListParagraph"/>
        <w:numPr>
          <w:ilvl w:val="0"/>
          <w:numId w:val="2"/>
        </w:numPr>
        <w:spacing w:before="24" w:after="24" w:line="244"/>
      </w:pPr>
      <w:r>
        <w:rPr>
          <w:rFonts w:ascii="Arial" w:cs="Arial" w:eastAsia="Arial" w:hAnsi="Arial"/>
          <w:sz w:val="20"/>
          <w:szCs w:val="20"/>
        </w:rPr>
        <w:t xml:space="preserve">Limited to female Pima Indian patients — restricted generalisability.</w:t>
      </w:r>
    </w:p>
    <w:p>
      <w:pPr>
        <w:pStyle w:val="ListParagraph"/>
        <w:numPr>
          <w:ilvl w:val="0"/>
          <w:numId w:val="2"/>
        </w:numPr>
        <w:spacing w:before="24" w:after="24" w:line="244"/>
      </w:pPr>
      <w:r>
        <w:rPr>
          <w:rFonts w:ascii="Arial" w:cs="Arial" w:eastAsia="Arial" w:hAnsi="Arial"/>
          <w:sz w:val="20"/>
          <w:szCs w:val="20"/>
        </w:rPr>
        <w:t xml:space="preserve">768 records constrain deep learning applicability.</w:t>
      </w:r>
    </w:p>
    <w:p>
      <w:pPr>
        <w:pStyle w:val="ListParagraph"/>
        <w:numPr>
          <w:ilvl w:val="0"/>
          <w:numId w:val="2"/>
        </w:numPr>
        <w:spacing w:before="24" w:after="24" w:line="244"/>
      </w:pPr>
      <w:r>
        <w:rPr>
          <w:rFonts w:ascii="Arial" w:cs="Arial" w:eastAsia="Arial" w:hAnsi="Arial"/>
          <w:sz w:val="20"/>
          <w:szCs w:val="20"/>
        </w:rPr>
        <w:t xml:space="preserve">Engineered features must be recomputed on new data.</w:t>
      </w:r>
    </w:p>
    <w:p>
      <w:pPr>
        <w:spacing w:before="120" w:after="50"/>
      </w:pPr>
      <w:r>
        <w:rPr>
          <w:rFonts w:ascii="Arial" w:cs="Arial" w:eastAsia="Arial" w:hAnsi="Arial"/>
          <w:b/>
          <w:bCs/>
          <w:color w:val="2563EB"/>
          <w:sz w:val="21"/>
          <w:szCs w:val="21"/>
        </w:rPr>
        <w:t xml:space="preserve">Future Work</w:t>
      </w:r>
    </w:p>
    <w:p>
      <w:pPr>
        <w:pStyle w:val="ListParagraph"/>
        <w:numPr>
          <w:ilvl w:val="0"/>
          <w:numId w:val="2"/>
        </w:numPr>
        <w:spacing w:before="24" w:after="24" w:line="244"/>
      </w:pPr>
      <w:r>
        <w:rPr>
          <w:rFonts w:ascii="Arial" w:cs="Arial" w:eastAsia="Arial" w:hAnsi="Arial"/>
          <w:sz w:val="20"/>
          <w:szCs w:val="20"/>
        </w:rPr>
        <w:t xml:space="preserve">Extend to multi-ethnic longitudinal datasets.</w:t>
      </w:r>
    </w:p>
    <w:p>
      <w:pPr>
        <w:pStyle w:val="ListParagraph"/>
        <w:numPr>
          <w:ilvl w:val="0"/>
          <w:numId w:val="2"/>
        </w:numPr>
        <w:spacing w:before="24" w:after="24" w:line="244"/>
      </w:pPr>
      <w:r>
        <w:rPr>
          <w:rFonts w:ascii="Arial" w:cs="Arial" w:eastAsia="Arial" w:hAnsi="Arial"/>
          <w:sz w:val="20"/>
          <w:szCs w:val="20"/>
        </w:rPr>
        <w:t xml:space="preserve">Explore TabNet and FT-Transformer architectures.</w:t>
      </w:r>
    </w:p>
    <w:p>
      <w:pPr>
        <w:pStyle w:val="ListParagraph"/>
        <w:numPr>
          <w:ilvl w:val="0"/>
          <w:numId w:val="2"/>
        </w:numPr>
        <w:spacing w:before="24" w:after="24" w:line="244"/>
      </w:pPr>
      <w:r>
        <w:rPr>
          <w:rFonts w:ascii="Arial" w:cs="Arial" w:eastAsia="Arial" w:hAnsi="Arial"/>
          <w:sz w:val="20"/>
          <w:szCs w:val="20"/>
        </w:rPr>
        <w:t xml:space="preserve">Apply SHAP/LIME for clinical explainability.</w:t>
      </w:r>
    </w:p>
    <w:p>
      <w:pPr>
        <w:pStyle w:val="ListParagraph"/>
        <w:numPr>
          <w:ilvl w:val="0"/>
          <w:numId w:val="2"/>
        </w:numPr>
        <w:spacing w:before="24" w:after="24" w:line="244"/>
      </w:pPr>
      <w:r>
        <w:rPr>
          <w:rFonts w:ascii="Arial" w:cs="Arial" w:eastAsia="Arial" w:hAnsi="Arial"/>
          <w:sz w:val="20"/>
          <w:szCs w:val="20"/>
        </w:rPr>
        <w:t xml:space="preserve">Deploy as a real-time clinical decision support tool.</w:t>
      </w:r>
    </w:p>
    <w:p>
      <w:pPr>
        <w:pBdr>
          <w:bottom w:val="single" w:color="2563EB" w:sz="3" w:space="2"/>
        </w:pBdr>
        <w:spacing w:before="160" w:after="60"/>
      </w:pPr>
      <w:r>
        <w:rPr>
          <w:rFonts w:ascii="Arial" w:cs="Arial" w:eastAsia="Arial" w:hAnsi="Arial"/>
          <w:b/>
          <w:bCs/>
          <w:color w:val="1D3461"/>
          <w:sz w:val="22"/>
          <w:szCs w:val="22"/>
        </w:rPr>
        <w:t xml:space="preserve">REFERENCES</w:t>
      </w:r>
    </w:p>
    <w:p>
      <w:pPr>
        <w:spacing w:before="40" w:after="40" w:line="244"/>
        <w:ind w:left="300" w:hanging="300"/>
      </w:pPr>
      <w:r>
        <w:rPr>
          <w:rFonts w:ascii="Arial" w:cs="Arial" w:eastAsia="Arial" w:hAnsi="Arial"/>
          <w:color w:val="374151"/>
          <w:sz w:val="19"/>
          <w:szCs w:val="19"/>
        </w:rPr>
        <w:t xml:space="preserve">[1] IDF, Diabetes Atlas, 10th ed., 2021.</w:t>
      </w:r>
    </w:p>
    <w:p>
      <w:pPr>
        <w:spacing w:before="40" w:after="40" w:line="244"/>
        <w:ind w:left="300" w:hanging="300"/>
      </w:pPr>
      <w:r>
        <w:rPr>
          <w:rFonts w:ascii="Arial" w:cs="Arial" w:eastAsia="Arial" w:hAnsi="Arial"/>
          <w:color w:val="374151"/>
          <w:sz w:val="19"/>
          <w:szCs w:val="19"/>
        </w:rPr>
        <w:t xml:space="preserve">[2] J. W. Smith et al., Proc. SCAMC, 1988, pp. 261–265.</w:t>
      </w:r>
    </w:p>
    <w:p>
      <w:pPr>
        <w:spacing w:before="40" w:after="40" w:line="244"/>
        <w:ind w:left="300" w:hanging="300"/>
      </w:pPr>
      <w:r>
        <w:rPr>
          <w:rFonts w:ascii="Arial" w:cs="Arial" w:eastAsia="Arial" w:hAnsi="Arial"/>
          <w:color w:val="374151"/>
          <w:sz w:val="19"/>
          <w:szCs w:val="19"/>
        </w:rPr>
        <w:t xml:space="preserve">[3] K. Kayaer &amp; T. Yıldırım, Proc. ICANN, 2003.</w:t>
      </w:r>
    </w:p>
    <w:p>
      <w:pPr>
        <w:spacing w:before="40" w:after="40" w:line="244"/>
        <w:ind w:left="300" w:hanging="300"/>
      </w:pPr>
      <w:r>
        <w:rPr>
          <w:rFonts w:ascii="Arial" w:cs="Arial" w:eastAsia="Arial" w:hAnsi="Arial"/>
          <w:color w:val="374151"/>
          <w:sz w:val="19"/>
          <w:szCs w:val="19"/>
        </w:rPr>
        <w:t xml:space="preserve">[4] B. M. Patil &amp; R. C. Kumaraswamy, Eur. J. Sci. Res., 2011.</w:t>
      </w:r>
    </w:p>
    <w:p>
      <w:pPr>
        <w:spacing w:before="40" w:after="40" w:line="244"/>
        <w:ind w:left="300" w:hanging="300"/>
      </w:pPr>
      <w:r>
        <w:rPr>
          <w:rFonts w:ascii="Arial" w:cs="Arial" w:eastAsia="Arial" w:hAnsi="Arial"/>
          <w:color w:val="374151"/>
          <w:sz w:val="19"/>
          <w:szCs w:val="19"/>
        </w:rPr>
        <w:t xml:space="preserve">[5] L. Breiman, Mach. Learn., vol. 45, pp. 5–32, 2001.</w:t>
      </w:r>
    </w:p>
    <w:p>
      <w:pPr>
        <w:spacing w:before="40" w:after="40" w:line="244"/>
        <w:ind w:left="300" w:hanging="300"/>
      </w:pPr>
      <w:r>
        <w:rPr>
          <w:rFonts w:ascii="Arial" w:cs="Arial" w:eastAsia="Arial" w:hAnsi="Arial"/>
          <w:color w:val="374151"/>
          <w:sz w:val="19"/>
          <w:szCs w:val="19"/>
        </w:rPr>
        <w:t xml:space="preserve">[6] T. Chen &amp; C. Guestrin, Proc. KDD, 2016, pp. 785–794.</w:t>
      </w:r>
    </w:p>
    <w:p>
      <w:pPr>
        <w:spacing w:before="40" w:after="40" w:line="244"/>
        <w:ind w:left="300" w:hanging="300"/>
      </w:pPr>
      <w:r>
        <w:rPr>
          <w:rFonts w:ascii="Arial" w:cs="Arial" w:eastAsia="Arial" w:hAnsi="Arial"/>
          <w:color w:val="374151"/>
          <w:sz w:val="19"/>
          <w:szCs w:val="19"/>
        </w:rPr>
        <w:t xml:space="preserve">[7] G. Ke et al., Adv. NIPS, 2017, pp. 3146–3154.</w:t>
      </w:r>
    </w:p>
    <w:p>
      <w:pPr>
        <w:spacing w:before="40" w:after="40" w:line="244"/>
        <w:ind w:left="300" w:hanging="300"/>
      </w:pPr>
      <w:r>
        <w:rPr>
          <w:rFonts w:ascii="Arial" w:cs="Arial" w:eastAsia="Arial" w:hAnsi="Arial"/>
          <w:color w:val="374151"/>
          <w:sz w:val="19"/>
          <w:szCs w:val="19"/>
        </w:rPr>
        <w:t xml:space="preserve">[8] A. V. Dorogush et al., arXiv:1810.11363, 2018.</w:t>
      </w:r>
    </w:p>
    <w:p>
      <w:pPr>
        <w:spacing w:before="40" w:after="40" w:line="244"/>
        <w:ind w:left="300" w:hanging="300"/>
      </w:pPr>
      <w:r>
        <w:rPr>
          <w:rFonts w:ascii="Arial" w:cs="Arial" w:eastAsia="Arial" w:hAnsi="Arial"/>
          <w:color w:val="374151"/>
          <w:sz w:val="19"/>
          <w:szCs w:val="19"/>
        </w:rPr>
        <w:t xml:space="preserve">[9] S. Naz &amp; A. Ahuja, J. Diab. Metab., vol. 19, 2020.</w:t>
      </w:r>
    </w:p>
    <w:p>
      <w:pPr>
        <w:spacing w:before="40" w:after="40" w:line="244"/>
        <w:ind w:left="300" w:hanging="300"/>
      </w:pPr>
      <w:r>
        <w:rPr>
          <w:rFonts w:ascii="Arial" w:cs="Arial" w:eastAsia="Arial" w:hAnsi="Arial"/>
          <w:color w:val="374151"/>
          <w:sz w:val="19"/>
          <w:szCs w:val="19"/>
        </w:rPr>
        <w:t xml:space="preserve">[10] N. V. Chawla et al., JAIR, vol. 16, pp. 321–357, 2002.</w:t>
      </w:r>
    </w:p>
    <w:p>
      <w:pPr>
        <w:spacing w:before="40" w:after="40" w:line="244"/>
        <w:ind w:left="300" w:hanging="300"/>
      </w:pPr>
      <w:r>
        <w:rPr>
          <w:rFonts w:ascii="Arial" w:cs="Arial" w:eastAsia="Arial" w:hAnsi="Arial"/>
          <w:color w:val="374151"/>
          <w:sz w:val="19"/>
          <w:szCs w:val="19"/>
        </w:rPr>
        <w:t xml:space="preserve">[11] P. Kavakiotis et al., CSBJ, vol. 15, pp. 104–116, 2017.</w:t>
      </w:r>
    </w:p>
    <w:sectPr>
      <w:headerReference w:type="default" r:id="rId8"/>
      <w:footerReference w:type="default" r:id="rId9"/>
      <w:pgSz w:w="12240" w:h="15840" w:orient="portrait"/>
      <w:pgMar w:top="864" w:right="864" w:bottom="864" w:left="864"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3" w:space="3"/>
      </w:pBdr>
      <w:spacing w:before="50" w:after="0"/>
      <w:jc w:val="center"/>
    </w:pPr>
    <w:r>
      <w:rPr>
        <w:rFonts w:ascii="Arial" w:cs="Arial" w:eastAsia="Arial" w:hAnsi="Arial"/>
        <w:color w:val="9CA3AF"/>
        <w:sz w:val="16"/>
        <w:szCs w:val="16"/>
      </w:rPr>
      <w:t xml:space="preserve">Research Paper  •  Pima Indians Diabetes Dataset  •  Machine Learning in Healthcare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3" w:space="3"/>
      </w:pBdr>
      <w:spacing w:before="50" w:after="0"/>
      <w:jc w:val="center"/>
    </w:pPr>
    <w:r>
      <w:rPr>
        <w:rFonts w:ascii="Arial" w:cs="Arial" w:eastAsia="Arial" w:hAnsi="Arial"/>
        <w:color w:val="9CA3AF"/>
        <w:sz w:val="16"/>
        <w:szCs w:val="16"/>
      </w:rPr>
      <w:t xml:space="preserve">Research Paper  •  Pima Indians Diabetes Dataset  •  Machine Learning in Healthcare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3" w:space="3"/>
      </w:pBdr>
      <w:spacing w:before="0" w:after="50"/>
      <w:jc w:val="right"/>
    </w:pPr>
    <w:r>
      <w:rPr>
        <w:rFonts w:ascii="Arial" w:cs="Arial" w:eastAsia="Arial" w:hAnsi="Arial"/>
        <w:color w:val="9CA3AF"/>
        <w:sz w:val="17"/>
        <w:szCs w:val="17"/>
      </w:rPr>
      <w:t xml:space="preserve">ML Models for Early Diabetes Detection   |   </w:t>
    </w:r>
    <w:r>
      <w:rPr>
        <w:rFonts w:ascii="Arial" w:cs="Arial" w:eastAsia="Arial" w:hAnsi="Arial"/>
        <w:color w:val="9CA3AF"/>
        <w:sz w:val="17"/>
        <w:szCs w:val="17"/>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3" w:space="3"/>
      </w:pBdr>
      <w:spacing w:before="0" w:after="50"/>
      <w:jc w:val="right"/>
    </w:pPr>
    <w:r>
      <w:rPr>
        <w:rFonts w:ascii="Arial" w:cs="Arial" w:eastAsia="Arial" w:hAnsi="Arial"/>
        <w:color w:val="9CA3AF"/>
        <w:sz w:val="17"/>
        <w:szCs w:val="17"/>
      </w:rPr>
      <w:t xml:space="preserve">ML Models for Early Diabetes Detection   |   </w:t>
    </w:r>
    <w:r>
      <w:rPr>
        <w:rFonts w:ascii="Arial" w:cs="Arial" w:eastAsia="Arial" w:hAnsi="Arial"/>
        <w:color w:val="9CA3AF"/>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60"/>
      <w:outlineLvl w:val="0"/>
    </w:pPr>
    <w:rPr>
      <w:rFonts w:ascii="Arial" w:cs="Arial" w:eastAsia="Arial" w:hAnsi="Arial"/>
      <w:b/>
      <w:bCs/>
      <w:color w:val="1D3461"/>
      <w:sz w:val="22"/>
      <w:szCs w:val="22"/>
    </w:rPr>
  </w:style>
  <w:style w:type="paragraph" w:styleId="Heading2">
    <w:name w:val="Heading 2"/>
    <w:basedOn w:val="Normal"/>
    <w:next w:val="Normal"/>
    <w:qFormat/>
    <w:pPr>
      <w:spacing w:before="120" w:after="50"/>
      <w:outlineLvl w:val="1"/>
    </w:pPr>
    <w:rPr>
      <w:rFonts w:ascii="Arial" w:cs="Arial" w:eastAsia="Arial" w:hAnsi="Arial"/>
      <w:b/>
      <w:bCs/>
      <w:color w:val="2563E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2fc11c9d3efc8fa47fc4031fb26a1920486c1f94.png"/><Relationship Id="rId11" Type="http://schemas.openxmlformats.org/officeDocument/2006/relationships/image" Target="media/de222fd12c1fe5b80df5ebc857fff559c440cc78.png"/><Relationship Id="rId12" Type="http://schemas.openxmlformats.org/officeDocument/2006/relationships/image" Target="media/60f2b9e28acde535a80cd8bea4f45454b531b989.png"/><Relationship Id="rId13" Type="http://schemas.openxmlformats.org/officeDocument/2006/relationships/image" Target="media/76af2d9b8bae73c567fa089203b389a9e00b3103.png"/><Relationship Id="rId14" Type="http://schemas.openxmlformats.org/officeDocument/2006/relationships/image" Target="media/548382ae02cbd2304b0fc15cbe8f0ecd3bd1963f.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2026-03-15T10:15:58.310Z</dcterms:created>
  <dcterms:modified xsi:type="dcterms:W3CDTF">2026-03-15T10:15:58.311Z</dcterms:modified>
</cp:coreProperties>
</file>

<file path=docProps/custom.xml><?xml version="1.0" encoding="utf-8"?>
<Properties xmlns="http://schemas.openxmlformats.org/officeDocument/2006/custom-properties" xmlns:vt="http://schemas.openxmlformats.org/officeDocument/2006/docPropsVTypes"/>
</file>