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2033"/>
          <w:sz w:val="68"/>
        </w:rPr>
        <w:t>TAVRYN</w:t>
      </w:r>
    </w:p>
    <w:p>
      <w:pPr>
        <w:jc w:val="center"/>
      </w:pPr>
      <w:r>
        <w:rPr>
          <w:rFonts w:ascii="Aptos" w:hAnsi="Aptos"/>
          <w:b/>
          <w:color w:val="2A7F83"/>
          <w:sz w:val="36"/>
        </w:rPr>
        <w:t>Brand, Naming &amp; CLI Decision Guide</w:t>
      </w:r>
    </w:p>
    <w:p>
      <w:pPr>
        <w:jc w:val="center"/>
      </w:pPr>
      <w:r>
        <w:rPr>
          <w:rFonts w:ascii="Aptos" w:hAnsi="Aptos"/>
          <w:color w:val="5F6B7A"/>
          <w:sz w:val="23"/>
        </w:rPr>
        <w:t>Open-source shared engineering memory for humans and AI agents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rPr>
          <w:cantSplit/>
        </w:trPr>
        <w:tc>
          <w:tcPr>
            <w:tcW w:type="dxa" w:w="9936"/>
            <w:shd w:fill="F3F6F8"/>
            <w:tcMar>
              <w:top w:w="220" w:type="dxa"/>
              <w:start w:w="240" w:type="dxa"/>
              <w:bottom w:w="220" w:type="dxa"/>
              <w:end w:w="2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72033"/>
                <w:sz w:val="28"/>
              </w:rPr>
              <w:t>“Your code tells agents what. Tavryn remembers why — and brings the receipts.”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D6A84B"/>
          <w:sz w:val="20"/>
        </w:rPr>
        <w:t>Decision status: Recommended brand baseline</w:t>
      </w:r>
    </w:p>
    <w:p>
      <w:pPr>
        <w:jc w:val="center"/>
      </w:pPr>
      <w:r>
        <w:rPr>
          <w:rFonts w:ascii="Aptos" w:hAnsi="Aptos"/>
          <w:color w:val="5F6B7A"/>
          <w:sz w:val="19"/>
        </w:rPr>
        <w:t>Version 1.0 • August 2026</w:t>
      </w:r>
    </w:p>
    <w:p>
      <w:r>
        <w:br w:type="page"/>
      </w:r>
    </w:p>
    <w:p>
      <w:pPr>
        <w:pStyle w:val="Heading1"/>
      </w:pPr>
      <w:r>
        <w:t>1. Brand Decision</w:t>
      </w:r>
    </w:p>
    <w:p>
      <w:r>
        <w:rPr>
          <w:rFonts w:ascii="Aptos" w:hAnsi="Aptos"/>
          <w:b/>
          <w:color w:val="172033"/>
        </w:rPr>
        <w:t xml:space="preserve">Selected project name: </w:t>
      </w:r>
      <w:r>
        <w:rPr>
          <w:rFonts w:ascii="Aptos" w:hAnsi="Aptos"/>
          <w:b/>
          <w:color w:val="2A7F83"/>
        </w:rPr>
        <w:t>Tavryn</w:t>
      </w:r>
    </w:p>
    <w:p>
      <w:r>
        <w:t>Tavryn is the recommended public brand for the open-source project. It is intentionally abstract rather than descriptive, allowing the project to grow beyond a single implementation detail such as Graphiti, MCP, coding agents, or memory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Decision area</w:t>
            </w:r>
          </w:p>
        </w:tc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Recommendation</w:t>
            </w:r>
          </w:p>
        </w:tc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Rationale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Brand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8"/>
          </w:tcPr>
          <w:p>
            <w:r>
              <w:rPr>
                <w:rFonts w:ascii="Aptos" w:hAnsi="Aptos"/>
                <w:b/>
                <w:color w:val="2A7F83"/>
                <w:sz w:val="18"/>
              </w:rPr>
              <w:t>Tavryn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Distinctive, pronounceable, CLI-friendly, and not locked to “memory” terminology.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Primary tagline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8"/>
          </w:tcPr>
          <w:p>
            <w:r>
              <w:rPr>
                <w:rFonts w:ascii="Aptos" w:hAnsi="Aptos"/>
                <w:b/>
                <w:color w:val="2A7F83"/>
                <w:sz w:val="18"/>
              </w:rPr>
              <w:t>Shared engineering memory for humans and AI agents.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Clear category statement for README, website, and GitHub metadata.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Signature line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8"/>
          </w:tcPr>
          <w:p>
            <w:r>
              <w:rPr>
                <w:rFonts w:ascii="Aptos" w:hAnsi="Aptos"/>
                <w:b/>
                <w:color w:val="2A7F83"/>
                <w:sz w:val="18"/>
              </w:rPr>
              <w:t>Your code tells agents what. Tavryn remembers why — and brings the receipts.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Expresses the core differentiation: rationale + provenance + authority.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Brand style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6F8"/>
          </w:tcPr>
          <w:p>
            <w:r>
              <w:rPr>
                <w:rFonts w:ascii="Aptos" w:hAnsi="Aptos"/>
                <w:b/>
                <w:color w:val="2A7F83"/>
                <w:sz w:val="18"/>
              </w:rPr>
              <w:t>Technical, minimal, evidence-driven, slightly playful.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Suitable for OSS developers without sounding like generic enterprise SaaS.</w:t>
            </w:r>
          </w:p>
        </w:tc>
      </w:tr>
    </w:tbl>
    <w:p>
      <w:pPr>
        <w:pStyle w:val="Heading1"/>
      </w:pPr>
      <w:r>
        <w:t>2. Why Tavryn</w:t>
      </w:r>
    </w:p>
    <w:p>
      <w:pPr>
        <w:pStyle w:val="Heading2"/>
      </w:pPr>
      <w:r>
        <w:t>Ownable brand shape</w:t>
      </w:r>
    </w:p>
    <w:p>
      <w:r>
        <w:t>Tavryn is not a literal “memory/context/lore” construction. That reduces category-level naming collisions and gives the project room to become a broader engineering-context platform.</w:t>
      </w:r>
    </w:p>
    <w:p>
      <w:pPr>
        <w:pStyle w:val="Heading2"/>
      </w:pPr>
      <w:r>
        <w:t>Developer ergonomics</w:t>
      </w:r>
    </w:p>
    <w:p>
      <w:r>
        <w:t>The lowercase form, tavryn, is short enough for a CLI, package prefix, container image, MCP namespace, and repository organization.</w:t>
      </w:r>
    </w:p>
    <w:p>
      <w:pPr>
        <w:pStyle w:val="Heading2"/>
      </w:pPr>
      <w:r>
        <w:t>Future-proofing</w:t>
      </w:r>
    </w:p>
    <w:p>
      <w:r>
        <w:t>The brand can survive implementation changes. Tavryn can move from Graphiti to another graph engine, add hosted services, or expand beyond coding agents without renaming.</w:t>
      </w:r>
    </w:p>
    <w:p>
      <w:pPr>
        <w:pStyle w:val="Heading2"/>
      </w:pPr>
      <w:r>
        <w:t>Memorable positioning</w:t>
      </w:r>
    </w:p>
    <w:p>
      <w:r>
        <w:t>The product story does the explanatory work. The name is the brand; the tagline communicates the category.</w:t>
      </w:r>
    </w:p>
    <w:p>
      <w:pPr>
        <w:pStyle w:val="Heading1"/>
      </w:pPr>
      <w:r>
        <w:t>3. Positioning &amp; Messaging</w:t>
      </w:r>
    </w:p>
    <w:p>
      <w:pPr>
        <w:pStyle w:val="Heading2"/>
      </w:pPr>
      <w:r>
        <w:t>Primary positioning</w:t>
      </w:r>
    </w:p>
    <w:p>
      <w:r>
        <w:rPr>
          <w:rFonts w:ascii="Aptos" w:hAnsi="Aptos"/>
          <w:b/>
          <w:color w:val="172033"/>
          <w:sz w:val="24"/>
        </w:rPr>
        <w:t>Tavryn — Shared engineering memory for humans and AI agents.</w:t>
      </w:r>
    </w:p>
    <w:p>
      <w:pPr>
        <w:pStyle w:val="Heading2"/>
      </w:pPr>
      <w:r>
        <w:t>Signature product line</w:t>
      </w:r>
    </w:p>
    <w:p>
      <w:r>
        <w:rPr>
          <w:rFonts w:ascii="Aptos" w:hAnsi="Aptos"/>
          <w:b/>
          <w:color w:val="2A7F83"/>
          <w:sz w:val="24"/>
        </w:rPr>
        <w:t>Your code tells agents what. Tavryn remembers why — and brings the receipts.</w:t>
      </w:r>
    </w:p>
    <w:p>
      <w:pPr>
        <w:pStyle w:val="Heading2"/>
      </w:pPr>
      <w:r>
        <w:t>Supporting messages</w:t>
      </w:r>
    </w:p>
    <w:p>
      <w:pPr>
        <w:pStyle w:val="ListBullet"/>
      </w:pPr>
      <w:r>
        <w:t>Persistent engineering context across teams, repositories, tasks, and agent sessions.</w:t>
      </w:r>
    </w:p>
    <w:p>
      <w:pPr>
        <w:pStyle w:val="ListBullet"/>
      </w:pPr>
      <w:r>
        <w:t>Knowledge with provenance: who said it, where it came from, when it was valid, and who verified it.</w:t>
      </w:r>
    </w:p>
    <w:p>
      <w:pPr>
        <w:pStyle w:val="ListBullet"/>
      </w:pPr>
      <w:r>
        <w:t>Temporal engineering memory: preserve what changed instead of overwriting history.</w:t>
      </w:r>
    </w:p>
    <w:p>
      <w:pPr>
        <w:pStyle w:val="ListBullet"/>
      </w:pPr>
      <w:r>
        <w:t>Authority-aware retrieval: verified architecture decisions outrank agent inference.</w:t>
      </w:r>
    </w:p>
    <w:p>
      <w:pPr>
        <w:pStyle w:val="ListBullet"/>
      </w:pPr>
      <w:r>
        <w:t>One shared context layer for humans, Claude Code, Codex, Cursor, and other MCP-compatible agents.</w:t>
      </w:r>
    </w:p>
    <w:p>
      <w:pPr>
        <w:pStyle w:val="Heading1"/>
      </w:pPr>
      <w:r>
        <w:t>4. Product Vocabulary</w:t>
      </w:r>
    </w:p>
    <w:p>
      <w:r>
        <w:t>The public brand is Tavryn. “Lore” may still be used as an internal/product metaphor where useful, but should not be presented as the standalone project 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Recommended use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Team lore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Shared knowledge valid across a team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UI labels / conceptual docs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Repo lore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Knowledge scoped to one repository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Search and scope terminology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Task lore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Short-lived task/feature context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Agent context compilation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Verified knowledge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Human- or policy-verified fact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Authority model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Canonical knowledge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Highest-authority organizational truth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Architecture/ADR context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Stale knowledge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Information whose freshness or validity is questionable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Warnings and review workflow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Receipts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Evidence and provenance supporting a claim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Marketing + explainability UI</w:t>
            </w:r>
          </w:p>
        </w:tc>
      </w:tr>
    </w:tbl>
    <w:p>
      <w:pPr>
        <w:pStyle w:val="Heading1"/>
      </w:pPr>
      <w:r>
        <w:t>5. CLI Command Recommendation</w:t>
      </w:r>
    </w:p>
    <w:p>
      <w:r>
        <w:t>The CLI should use human language for common workflows and explicit verbs for governance. Commands should remain stable even if internal APIs evolve.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init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Initialize Tavryn for a repository/workspace.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remember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Add a new piece of engineering knowledge.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recall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Retrieve relevant knowledge using natural-language search.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verify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Human-verify a memory/fact and increase its authority.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explain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Show provenance, evidence, authority, relationships, and validity.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history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Show how a fact/decision evolved over time.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supersede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Replace an older fact/decision while preserving history.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invalidate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Mark knowledge as no longer valid without deleting evidence.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forget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Delete only when deletion is intentional and policy allows it.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status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Show workspace connection, sync state, pending verification, and health.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sync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Ingest/synchronize configured sources.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 mcp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sz w:val="18"/>
              </w:rPr>
              <w:t>Run or configure the MCP server locally.</w:t>
            </w:r>
          </w:p>
        </w:tc>
      </w:tr>
    </w:tbl>
    <w:p>
      <w:pPr>
        <w:pStyle w:val="Heading1"/>
      </w:pPr>
      <w:r>
        <w:t>6. Recommended CLI Experience</w:t>
      </w:r>
    </w:p>
    <w:p>
      <w:r>
        <w:rPr>
          <w:rFonts w:ascii="Aptos" w:hAnsi="Aptos"/>
          <w:b/>
          <w:color w:val="172033"/>
        </w:rPr>
        <w:t>Initialize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init</w:t>
      </w:r>
    </w:p>
    <w:p>
      <w:r>
        <w:rPr>
          <w:rFonts w:ascii="Aptos" w:hAnsi="Aptos"/>
          <w:b/>
          <w:color w:val="172033"/>
        </w:rPr>
        <w:t>Remember a decision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remember "Payment events must use the transactional outbox" --scope repo</w:t>
      </w:r>
    </w:p>
    <w:p>
      <w:r>
        <w:rPr>
          <w:rFonts w:ascii="Aptos" w:hAnsi="Aptos"/>
          <w:b/>
          <w:color w:val="172033"/>
        </w:rPr>
        <w:t>Recall context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recall "How should refund events be published?"</w:t>
      </w:r>
    </w:p>
    <w:p>
      <w:r>
        <w:rPr>
          <w:rFonts w:ascii="Aptos" w:hAnsi="Aptos"/>
          <w:b/>
          <w:color w:val="172033"/>
        </w:rPr>
        <w:t>Verify knowledge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verify tv_01JABC123</w:t>
      </w:r>
    </w:p>
    <w:p>
      <w:r>
        <w:rPr>
          <w:rFonts w:ascii="Aptos" w:hAnsi="Aptos"/>
          <w:b/>
          <w:color w:val="172033"/>
        </w:rPr>
        <w:t>Explain the source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explain tv_01JABC123</w:t>
      </w:r>
    </w:p>
    <w:p>
      <w:r>
        <w:rPr>
          <w:rFonts w:ascii="Aptos" w:hAnsi="Aptos"/>
          <w:b/>
          <w:color w:val="172033"/>
        </w:rPr>
        <w:t>Review change history</w:t>
      </w:r>
    </w:p>
    <w:p>
      <w:pPr>
        <w:ind w:left="360"/>
      </w:pPr>
      <w:r>
        <w:rPr>
          <w:rFonts w:ascii="Aptos Mono" w:hAnsi="Aptos Mono"/>
          <w:color w:val="2A7F83"/>
          <w:sz w:val="19"/>
        </w:rPr>
        <w:t>tavryn history "transactional outbox"</w:t>
      </w:r>
    </w:p>
    <w:p>
      <w:pPr>
        <w:pStyle w:val="Heading1"/>
      </w:pPr>
      <w:r>
        <w:t>7. MCP &amp; API Naming</w:t>
      </w:r>
    </w:p>
    <w:p>
      <w:r>
        <w:t>The external MCP namespace should be Tavryn-branded, while tool names remain explicit and automation-friendly.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tavryn.search_context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tavryn.get_for_task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tavryn.remember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tavryn.verify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tavryn.supersede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tavryn.invalidate</w:t>
      </w:r>
    </w:p>
    <w:p>
      <w:pPr>
        <w:pStyle w:val="ListBullet"/>
      </w:pPr>
      <w:r>
        <w:rPr>
          <w:rFonts w:ascii="Aptos Mono" w:hAnsi="Aptos Mono"/>
          <w:b/>
          <w:color w:val="2A7F83"/>
          <w:sz w:val="19"/>
        </w:rPr>
        <w:t>tavryn.explain_source</w:t>
      </w:r>
    </w:p>
    <w:p>
      <w:r>
        <w:t>Recommendation: keep CLI verbs conversational (remember, recall, explain) and MCP/API verbs precise (search_context, get_for_task, supersede, invalidate).</w:t>
      </w:r>
    </w:p>
    <w:p>
      <w:pPr>
        <w:pStyle w:val="Heading1"/>
      </w:pPr>
      <w:r>
        <w:t>8. Repository, Package &amp; Service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Recommended name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Primary GitHub repository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Python package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CLI executable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Server service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tavryn-server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MCP package/service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tavryn-mcp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Web UI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tavryn-web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Documentation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docs.tavryn.&lt;domain&gt; or /docs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1A1F26"/>
                <w:sz w:val="18"/>
              </w:rPr>
              <w:t>Container images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2A7F83"/>
                <w:sz w:val="18"/>
              </w:rPr>
              <w:t>ghcr.io/&lt;org&gt;/tavryn-*</w:t>
            </w:r>
          </w:p>
        </w:tc>
      </w:tr>
    </w:tbl>
    <w:p>
      <w:pPr>
        <w:pStyle w:val="Heading1"/>
      </w:pPr>
      <w:r>
        <w:t>9. Brand 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</w:t>
            </w:r>
          </w:p>
        </w:tc>
        <w:tc>
          <w:tcPr>
            <w:tcW w:type="dxa" w:w="4968"/>
            <w:shd w:fill="17203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Avoid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A7F83"/>
                <w:sz w:val="18"/>
              </w:rPr>
              <w:t>Use concise developer language.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1A1F26"/>
                <w:sz w:val="18"/>
              </w:rPr>
              <w:t>Corporate transformation jargon.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A7F83"/>
                <w:sz w:val="18"/>
              </w:rPr>
              <w:t>Emphasize evidence, authority, history, and explainability.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1A1F26"/>
                <w:sz w:val="18"/>
              </w:rPr>
              <w:t>Claiming Tavryn “knows the truth” without qualification.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A7F83"/>
                <w:sz w:val="18"/>
              </w:rPr>
              <w:t>Use “brings the receipts” selectively for personality.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1A1F26"/>
                <w:sz w:val="18"/>
              </w:rPr>
              <w:t>Overusing Gen-Z slang in core technical docs.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A7F83"/>
                <w:sz w:val="18"/>
              </w:rPr>
              <w:t>Say “shared engineering memory” for category clarity.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1A1F26"/>
                <w:sz w:val="18"/>
              </w:rPr>
              <w:t>Reducing the product to “a vector database.”</w:t>
            </w:r>
          </w:p>
        </w:tc>
      </w:tr>
      <w:tr>
        <w:trPr>
          <w:cantSplit/>
        </w:trP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2A7F83"/>
                <w:sz w:val="18"/>
              </w:rPr>
              <w:t>Be transparent about source freshness and confidence.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Aptos" w:hAnsi="Aptos"/>
                <w:color w:val="1A1F26"/>
                <w:sz w:val="18"/>
              </w:rPr>
              <w:t>Anthropomorphizing agent memory excessively.</w:t>
            </w:r>
          </w:p>
        </w:tc>
      </w:tr>
    </w:tbl>
    <w:p>
      <w:pPr>
        <w:pStyle w:val="Heading1"/>
      </w:pPr>
      <w:r>
        <w:t>10. Visual Brand Direction</w:t>
      </w:r>
    </w:p>
    <w:p>
      <w:r>
        <w:t>Recommended visual character: minimal developer infrastructure, not consumer-AI. The product should feel trustworthy, technical, modern, and evidence-oriented.</w:t>
      </w:r>
    </w:p>
    <w:p>
      <w:pPr>
        <w:pStyle w:val="ListBullet"/>
      </w:pPr>
      <w:r>
        <w:t>Wordmark first: TAVRYN / tavryn. Avoid a complex mascot in the first release.</w:t>
      </w:r>
    </w:p>
    <w:p>
      <w:pPr>
        <w:pStyle w:val="ListBullet"/>
      </w:pPr>
      <w:r>
        <w:t>Use a restrained dark navy + cool teal system with one warm accent for authority/evidence states.</w:t>
      </w:r>
    </w:p>
    <w:p>
      <w:pPr>
        <w:pStyle w:val="ListBullet"/>
      </w:pPr>
      <w:r>
        <w:t>Prefer graph/lineage motifs, layered traces, provenance nodes, or subtle “receipt/evidence” marks rather than brain icons.</w:t>
      </w:r>
    </w:p>
    <w:p>
      <w:pPr>
        <w:pStyle w:val="ListBullet"/>
      </w:pPr>
      <w:r>
        <w:t>Use monospace selectively for commands, IDs, source paths, and provenance.</w:t>
      </w:r>
    </w:p>
    <w:p>
      <w:pPr>
        <w:pStyle w:val="ListBullet"/>
      </w:pPr>
      <w:r>
        <w:t>OSS README imagery should show the workflow and evidence trail rather than abstract AI gradients.</w:t>
      </w:r>
    </w:p>
    <w:p>
      <w:pPr>
        <w:pStyle w:val="Heading1"/>
      </w:pPr>
      <w:r>
        <w:t>11. Recommended README Opening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rPr>
          <w:cantSplit/>
        </w:trPr>
        <w:tc>
          <w:tcPr>
            <w:tcW w:type="dxa" w:w="9936"/>
            <w:shd w:fill="F3F6F8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/>
            <w:r>
              <w:rPr>
                <w:rFonts w:ascii="Aptos" w:hAnsi="Aptos"/>
                <w:b/>
                <w:color w:val="172033"/>
                <w:sz w:val="32"/>
              </w:rPr>
              <w:t>Tavryn</w:t>
            </w:r>
          </w:p>
          <w:p>
            <w:r>
              <w:rPr>
                <w:rFonts w:ascii="Aptos" w:hAnsi="Aptos"/>
                <w:b/>
                <w:color w:val="2A7F83"/>
                <w:sz w:val="22"/>
              </w:rPr>
              <w:t>Shared engineering memory for humans and AI agents.</w:t>
            </w:r>
          </w:p>
          <w:p>
            <w:r>
              <w:rPr>
                <w:rFonts w:ascii="Aptos" w:hAnsi="Aptos"/>
                <w:b w:val="0"/>
                <w:color w:val="1A1F26"/>
                <w:sz w:val="21"/>
              </w:rPr>
              <w:t>Your code tells agents what. Tavryn remembers why — and brings the receipts.</w:t>
            </w:r>
          </w:p>
          <w:p>
            <w:r>
              <w:rPr>
                <w:rFonts w:ascii="Aptos" w:hAnsi="Aptos"/>
                <w:b w:val="0"/>
                <w:color w:val="1A1F26"/>
                <w:sz w:val="20"/>
              </w:rPr>
              <w:t>Tavryn preserves decisions, context, provenance, authority, and history across repositories, teams, and agent sessions so coding agents can retrieve not just relevant knowledge, but trustworthy knowledge with evidence.</w:t>
            </w:r>
          </w:p>
        </w:tc>
      </w:tr>
    </w:tbl>
    <w:p>
      <w:pPr>
        <w:pStyle w:val="Heading1"/>
      </w:pPr>
      <w:r>
        <w:t>12. Naming Governance</w:t>
      </w:r>
    </w:p>
    <w:p>
      <w:pPr>
        <w:pStyle w:val="ListBullet"/>
      </w:pPr>
      <w:r>
        <w:t>Use “Tavryn” for the project/product brand and “tavryn” for CLI/package identifiers.</w:t>
      </w:r>
    </w:p>
    <w:p>
      <w:pPr>
        <w:pStyle w:val="ListBullet"/>
      </w:pPr>
      <w:r>
        <w:t>Do not rename core concepts casually once released; CLI command stability is part of the developer contract.</w:t>
      </w:r>
    </w:p>
    <w:p>
      <w:pPr>
        <w:pStyle w:val="ListBullet"/>
      </w:pPr>
      <w:r>
        <w:t>Use descriptive suffixes for components: tavryn-server, tavryn-mcp, tavryn-web.</w:t>
      </w:r>
    </w:p>
    <w:p>
      <w:pPr>
        <w:pStyle w:val="ListBullet"/>
      </w:pPr>
      <w:r>
        <w:t>Keep internal implementation names such as Graphiti or Neo4j out of the public product name.</w:t>
      </w:r>
    </w:p>
    <w:p>
      <w:pPr>
        <w:pStyle w:val="ListBullet"/>
      </w:pPr>
      <w:r>
        <w:t>Before public launch, reserve the GitHub organization/repository, relevant package namespaces, container namespace, and preferred domains where available.</w:t>
      </w:r>
    </w:p>
    <w:p>
      <w:pPr>
        <w:pStyle w:val="ListBullet"/>
      </w:pPr>
      <w:r>
        <w:t>Run formal trademark clearance before commercial branding investment; preliminary collision screening is not legal advice.</w:t>
      </w:r>
    </w:p>
    <w:p>
      <w:pPr>
        <w:pStyle w:val="Heading1"/>
      </w:pPr>
      <w:r>
        <w:t>13. Final Recommendation</w:t>
      </w:r>
    </w:p>
    <w:p>
      <w:r>
        <w:rPr>
          <w:rFonts w:ascii="Aptos" w:hAnsi="Aptos"/>
          <w:b/>
          <w:color w:val="172033"/>
          <w:sz w:val="28"/>
        </w:rPr>
        <w:t>Use Tavryn as the project name.</w:t>
      </w:r>
    </w:p>
    <w:p>
      <w:r>
        <w:t>Pair it consistently with the category line “Shared engineering memory for humans and AI agents.” Use “Your code tells agents what. Tavryn remembers why — and brings the receipts.” as the signature marketing line. Keep the CLI simple, memorable, and human-readable, with precise governance semantics underneath.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Tavryn • Brand &amp; CLI Decision Guide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A7F8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1F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