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EduPro | Executive summary</w:t>
      </w:r>
    </w:p>
    <w:p>
      <w:r>
        <w:t>For education and government stakeholders | Evidence window: 1 January–30 December 2025</w:t>
      </w:r>
    </w:p>
    <w:p>
      <w:r>
        <w:t>Purpose. Describe who enrolls and what courses they select, using the supplied workbook. This is not an evaluation of learning outcomes, program impact or population-level access.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Headline indicator</w:t>
            </w:r>
          </w:p>
        </w:tc>
        <w:tc>
          <w:tcPr>
            <w:tcW w:type="dxa" w:w="4320"/>
          </w:tcPr>
          <w:p>
            <w:r>
              <w:t>Finding</w:t>
            </w:r>
          </w:p>
        </w:tc>
      </w:tr>
      <w:tr>
        <w:tc>
          <w:tcPr>
            <w:tcW w:type="dxa" w:w="4320"/>
          </w:tcPr>
          <w:p>
            <w:r>
              <w:t>Participation baseline</w:t>
            </w:r>
          </w:p>
        </w:tc>
        <w:tc>
          <w:tcPr>
            <w:tcW w:type="dxa" w:w="4320"/>
          </w:tcPr>
          <w:p>
            <w:r>
              <w:t>3,000 registered learners; all have at least one transaction</w:t>
            </w:r>
          </w:p>
        </w:tc>
      </w:tr>
      <w:tr>
        <w:tc>
          <w:tcPr>
            <w:tcW w:type="dxa" w:w="4320"/>
          </w:tcPr>
          <w:p>
            <w:r>
              <w:t>Recorded enrollment</w:t>
            </w:r>
          </w:p>
        </w:tc>
        <w:tc>
          <w:tcPr>
            <w:tcW w:type="dxa" w:w="4320"/>
          </w:tcPr>
          <w:p>
            <w:r>
              <w:t>10,000 transactions across 60 courses</w:t>
            </w:r>
          </w:p>
        </w:tc>
      </w:tr>
      <w:tr>
        <w:tc>
          <w:tcPr>
            <w:tcW w:type="dxa" w:w="4320"/>
          </w:tcPr>
          <w:p>
            <w:r>
              <w:t>Largest age segment</w:t>
            </w:r>
          </w:p>
        </w:tc>
        <w:tc>
          <w:tcPr>
            <w:tcW w:type="dxa" w:w="4320"/>
          </w:tcPr>
          <w:p>
            <w:r>
              <w:t>26–35: 47.99% of enrollment; 48.20% of learners</w:t>
            </w:r>
          </w:p>
        </w:tc>
      </w:tr>
      <w:tr>
        <w:tc>
          <w:tcPr>
            <w:tcW w:type="dxa" w:w="4320"/>
          </w:tcPr>
          <w:p>
            <w:r>
              <w:t>Highest enrollment rate</w:t>
            </w:r>
          </w:p>
        </w:tc>
        <w:tc>
          <w:tcPr>
            <w:tcW w:type="dxa" w:w="4320"/>
          </w:tcPr>
          <w:p>
            <w:r>
              <w:t>Under 18: 3.39 enrollments per learner</w:t>
            </w:r>
          </w:p>
        </w:tc>
      </w:tr>
      <w:tr>
        <w:tc>
          <w:tcPr>
            <w:tcW w:type="dxa" w:w="4320"/>
          </w:tcPr>
          <w:p>
            <w:r>
              <w:t>Gender distribution</w:t>
            </w:r>
          </w:p>
        </w:tc>
        <w:tc>
          <w:tcPr>
            <w:tcW w:type="dxa" w:w="4320"/>
          </w:tcPr>
          <w:p>
            <w:r>
              <w:t>Female: 50.78% of enrollment; Male: 49.22%</w:t>
            </w:r>
          </w:p>
        </w:tc>
      </w:tr>
      <w:tr>
        <w:tc>
          <w:tcPr>
            <w:tcW w:type="dxa" w:w="4320"/>
          </w:tcPr>
          <w:p>
            <w:r>
              <w:t>Top category</w:t>
            </w:r>
          </w:p>
        </w:tc>
        <w:tc>
          <w:tcPr>
            <w:tcW w:type="dxa" w:w="4320"/>
          </w:tcPr>
          <w:p>
            <w:r>
              <w:t>Data Science: 916 enrollments (9.16%)</w:t>
            </w:r>
          </w:p>
        </w:tc>
      </w:tr>
      <w:tr>
        <w:tc>
          <w:tcPr>
            <w:tcW w:type="dxa" w:w="4320"/>
          </w:tcPr>
          <w:p>
            <w:r>
              <w:t>Enrollment intensity</w:t>
            </w:r>
          </w:p>
        </w:tc>
        <w:tc>
          <w:tcPr>
            <w:tcW w:type="dxa" w:w="4320"/>
          </w:tcPr>
          <w:p>
            <w:r>
              <w:t>Mean 3.33; median 1; 54% have one enrollment</w:t>
            </w:r>
          </w:p>
        </w:tc>
      </w:tr>
      <w:tr>
        <w:tc>
          <w:tcPr>
            <w:tcW w:type="dxa" w:w="4320"/>
          </w:tcPr>
          <w:p>
            <w:r>
              <w:t>Concentration</w:t>
            </w:r>
          </w:p>
        </w:tc>
        <w:tc>
          <w:tcPr>
            <w:tcW w:type="dxa" w:w="4320"/>
          </w:tcPr>
          <w:p>
            <w:r>
              <w:t>Top 300 learners account for 42.34% of enrollment</w:t>
            </w:r>
          </w:p>
        </w:tc>
      </w:tr>
    </w:tbl>
    <w:p/>
    <w:p>
      <w:r>
        <w:t>What the evidence suggests</w:t>
      </w:r>
    </w:p>
    <w:p>
      <w:r>
        <w:t>Demand is broad rather than dominated by one subject: category shares range from 8.06% to 9.16%. Gender-based category-share gaps are all below one percentage point. Most of the age-volume difference reflects the number of learners in each band, while per-learner enrollment rates are similar.</w:t>
      </w:r>
    </w:p>
    <w:p>
      <w:r>
        <w:t>Beginner courses lead narrowly (35.73%), followed by Advanced (34.75%). Free courses account for 64.03% of enrollment, but also 63.33% of the catalog. Course availability should be considered before attributing these totals to learner preference. “Beginner” is a course label, not a verified learner skill.</w:t>
      </w:r>
    </w:p>
    <w:p>
      <w:r>
        <w:t>Recommended decisions</w:t>
      </w:r>
    </w:p>
    <w:p>
      <w:r>
        <w:t>• Prioritize a review of Data Science capacity and feedback without removing other subjects on modest rank differences.</w:t>
        <w:br/>
        <w:t>• Investigate whether one-enrollment learners achieved their goals before treating them as disengaged.</w:t>
        <w:br/>
        <w:t>• Review course-level metadata and the unusual activity-count distribution.</w:t>
        <w:br/>
        <w:t>• Add optional learning goals, prior experience, accessibility and completion measures before evaluating learner success.</w:t>
        <w:br/>
        <w:t>• Report reach, intensity and outcomes separately; use measured pilots rather than demographic assumptions.</w:t>
      </w:r>
    </w:p>
    <w:p>
      <w:r>
        <w:t>Evidence cautions</w:t>
      </w:r>
    </w:p>
    <w:p>
      <w:r>
        <w:t>Ages are restricted to 15–35, and only Female/Male gender labels appear. The source’s representativeness is unknown. A transaction does not prove attendance, completion or skill attainment. No causal or statistical-significance claim is made. One source labels Advanced Python as Beginner. No learners have five to eight enrollments; provenance should be checked.</w:t>
      </w:r>
    </w:p>
    <w:p>
      <w:r>
        <w:t>Delivery. The accompanying executed notebook, aggregate workbook, research paper and interactive Streamlit source make the analysis reproducible. The dashboard must be launched locally or deployed; it is not a hosted live service.</w:t>
      </w:r>
    </w:p>
    <w:sectPr w:rsidR="00FC693F" w:rsidRPr="0006063C" w:rsidSect="00034616">
      <w:pgSz w:w="12240" w:h="15840"/>
      <w:pgMar w:top="936" w:right="1800" w:bottom="936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