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Executive summary for government stakeholders</w:t>
      </w:r>
    </w:p>
    <w:p>
      <w:pPr>
        <w:pStyle w:val="Heading1"/>
      </w:pPr>
      <w:r>
        <w:t>Scope and evidence</w:t>
      </w:r>
    </w:p>
    <w:p>
      <w:r>
        <w:t>This case-study analysis uses 180,519 retained records and 20,652 customer identifiers from the supplied logistics dataset. Results are reported dataset economics, not audited corporate statements or verified government-program outcomes. Currency is unspecified.</w:t>
      </w:r>
    </w:p>
    <w:p>
      <w:pPr>
        <w:pStyle w:val="Heading1"/>
      </w:pPr>
      <w:r>
        <w:t>Key findings</w:t>
      </w:r>
    </w:p>
    <w:p>
      <w:pPr>
        <w:pStyle w:val="ListBullet"/>
      </w:pPr>
      <w:r>
        <w:t>Gross sales: 36,784,734.31; recorded discounts: 3,730,378.40.</w:t>
      </w:r>
    </w:p>
    <w:p>
      <w:pPr>
        <w:pStyle w:val="ListBullet"/>
      </w:pPr>
      <w:r>
        <w:t>Net revenue: 33,054,402.04; reported profit: 3,966,902.97; weighted net margin: 12.00%.</w:t>
      </w:r>
    </w:p>
    <w:p>
      <w:pPr>
        <w:pStyle w:val="ListBullet"/>
      </w:pPr>
      <w:r>
        <w:t>4,069 customers have negative aggregate reported profit, totaling -1,080,299.72.</w:t>
      </w:r>
    </w:p>
    <w:p>
      <w:pPr>
        <w:pStyle w:val="ListBullet"/>
      </w:pPr>
      <w:r>
        <w:t>Top 20% of positive-profit customers contribute 53.81% of the positive-profit pool.</w:t>
      </w:r>
    </w:p>
    <w:p>
      <w:pPr>
        <w:pStyle w:val="ListBullet"/>
      </w:pPr>
      <w:r>
        <w:t>Loss-making products: 3; loss-making categories: 0.</w:t>
      </w:r>
    </w:p>
    <w:p>
      <w:pPr>
        <w:pStyle w:val="ListBullet"/>
      </w:pPr>
      <w:r>
        <w:t>Highest-profit category: Fishing; highest-profit market: Europe.</w:t>
      </w:r>
    </w:p>
    <w:p>
      <w:pPr>
        <w:pStyle w:val="ListBullet"/>
      </w:pPr>
      <w:r>
        <w:t>COMPLETE/CLOSED sensitivity margin: 12.29%, versus 12.00% across all statuses.</w:t>
      </w:r>
    </w:p>
    <w:p>
      <w:pPr>
        <w:pStyle w:val="Heading1"/>
      </w:pPr>
      <w:r>
        <w:t>Recommended actions</w:t>
      </w:r>
    </w:p>
    <w:p>
      <w:pPr>
        <w:pStyle w:val="ListBullet"/>
      </w:pPr>
      <w:r>
        <w:t>Validate accounting recognition and costs before using these figures for procurement, budgets or performance claims.</w:t>
      </w:r>
    </w:p>
    <w:p>
      <w:pPr>
        <w:pStyle w:val="ListBullet"/>
      </w:pPr>
      <w:r>
        <w:t>Review loss-making customers/products and high-revenue/weak-margin markets; avoid indiscriminate revenue-driven discounting.</w:t>
      </w:r>
    </w:p>
    <w:p>
      <w:pPr>
        <w:pStyle w:val="ListBullet"/>
      </w:pPr>
      <w:r>
        <w:t>Trial pricing changes with controlled evaluation and safeguards for service quality and retention.</w:t>
      </w:r>
    </w:p>
    <w:p>
      <w:pPr>
        <w:pStyle w:val="ListBullet"/>
      </w:pPr>
      <w:r>
        <w:t>Require source-system dates, currency codes, unique transaction keys and shipping costs for stronger oversight.</w:t>
      </w:r>
    </w:p>
    <w:p>
      <w:pPr>
        <w:pStyle w:val="Heading1"/>
      </w:pPr>
      <w:r>
        <w:t>Controls and caveats</w:t>
      </w:r>
    </w:p>
    <w:p>
      <w:r>
        <w:t>All statuses are included unless explicitly filtered; canceled, pending and suspected-fraud records are not asserted to be recognized revenue. No dates exist for trend analysis. Discount associations are not causal. What-if scenarios fix costs and quantities and do not predict demand. No actual government fiscal impact is measured. Publish only aggregate findings, and restrict customer-level outputs. The dashboard is provided as runnable source, not as an already-hosted public service.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