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9"/>
          <w:sz w:val="44"/>
        </w:rPr>
        <w:t>Expense Tracker Platform - Product Roadmap</w:t>
      </w:r>
    </w:p>
    <w:p>
      <w:pPr>
        <w:jc w:val="center"/>
      </w:pPr>
      <w:r>
        <w:rPr>
          <w:rFonts w:ascii="Calibri" w:hAnsi="Calibri"/>
          <w:i/>
          <w:sz w:val="24"/>
        </w:rPr>
        <w:t>Version: 2.0 | Multi-Phase Long-Term Product Strategy</w:t>
      </w:r>
    </w:p>
    <w:p>
      <w:pPr>
        <w:keepNext/>
        <w:spacing w:before="280" w:after="120"/>
      </w:pPr>
      <w:r>
        <w:rPr>
          <w:rFonts w:ascii="Calibri" w:hAnsi="Calibri"/>
          <w:b/>
          <w:color w:val="1F4E79"/>
          <w:sz w:val="32"/>
        </w:rPr>
        <w:t>Version 1.0 – Offline-First MVP (Active Target)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Android Native application (Kotlin + Jetpack Compose).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Dual-channel transaction reading (SMS BroadcastReceiver + NotificationListenerService).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Encrypted local SQLite storage with Room + SQLCipher.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Lightweight TFLite model (~2-5MB) for on-device category auto-tagging.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Manual income/expense CRUD, budget limits, and category analytics.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User-controlled encrypted backups via Android Storage Access Framework (SAF).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Self-hosted privacy-friendly promotion banner system.</w:t>
      </w:r>
    </w:p>
    <w:p>
      <w:pPr>
        <w:keepNext/>
        <w:spacing w:before="280" w:after="120"/>
      </w:pPr>
      <w:r>
        <w:rPr>
          <w:rFonts w:ascii="Calibri" w:hAnsi="Calibri"/>
          <w:b/>
          <w:color w:val="1F4E79"/>
          <w:sz w:val="32"/>
        </w:rPr>
        <w:t>Version 2.0 – Modular Platform &amp; Plugins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Modular plugin framework architecture.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Pluggable AI engine supporting interchangeable local LLMs (Gemma, Phi, Qwen).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OCR receipt scanning plugin.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Bank statement PDF/CSV import plugin.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Investment tracking plugin (SIPs, stocks, mutual funds).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Optional user-managed cloud sync plugin.</w:t>
      </w:r>
    </w:p>
    <w:p>
      <w:pPr>
        <w:keepNext/>
        <w:spacing w:before="280" w:after="120"/>
      </w:pPr>
      <w:r>
        <w:rPr>
          <w:rFonts w:ascii="Calibri" w:hAnsi="Calibri"/>
          <w:b/>
          <w:color w:val="1F4E79"/>
          <w:sz w:val="32"/>
        </w:rPr>
        <w:t>Version 3.0 – Intelligent Personal Finance Assistant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Conversational AI for spending queries and financial advice.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Predictive budgeting and anomaly detection.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Automated goal planning and savings recommendations.</w:t>
      </w:r>
    </w:p>
    <w:p>
      <w:pPr>
        <w:keepNext/>
        <w:spacing w:before="280" w:after="120"/>
      </w:pPr>
      <w:r>
        <w:rPr>
          <w:rFonts w:ascii="Calibri" w:hAnsi="Calibri"/>
          <w:b/>
          <w:color w:val="1F4E79"/>
          <w:sz w:val="32"/>
        </w:rPr>
        <w:t>Version 4.0 – Cross-Platform Ecosystem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iOS companion app (scoped to manual tracking and statement imports due to iOS sandbox limits).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Wear OS companion app.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Desktop &amp; Web companion dashboards (optional user-synced).</w:t>
      </w:r>
    </w:p>
    <w:p>
      <w:pPr>
        <w:keepNext/>
        <w:spacing w:before="280" w:after="120"/>
      </w:pPr>
      <w:r>
        <w:rPr>
          <w:rFonts w:ascii="Calibri" w:hAnsi="Calibri"/>
          <w:b/>
          <w:color w:val="1F4E79"/>
          <w:sz w:val="32"/>
        </w:rPr>
        <w:t>Guiding Strategic Principles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MVP first, platform later.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Offline-first and privacy-first by default.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Zero company servers holding financial records.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Plugins are optional; core app remains under 15MB.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