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00" w:before="100" w:lineRule="auto"/>
        <w:rPr>
          <w:color w:val="3366cc"/>
          <w:sz w:val="28"/>
          <w:szCs w:val="28"/>
          <w:vertAlign w:val="superscript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Of all the </w:t>
      </w:r>
      <w:hyperlink r:id="rId6">
        <w:r w:rsidDel="00000000" w:rsidR="00000000" w:rsidRPr="00000000">
          <w:rPr>
            <w:color w:val="3366cc"/>
            <w:sz w:val="21"/>
            <w:szCs w:val="21"/>
            <w:rtl w:val="0"/>
          </w:rPr>
          <w:t xml:space="preserve">precious metals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, </w:t>
      </w:r>
      <w:hyperlink r:id="rId7">
        <w:r w:rsidDel="00000000" w:rsidR="00000000" w:rsidRPr="00000000">
          <w:rPr>
            <w:color w:val="3366cc"/>
            <w:sz w:val="21"/>
            <w:szCs w:val="21"/>
            <w:rtl w:val="0"/>
          </w:rPr>
          <w:t xml:space="preserve">gold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 is the most popular as an </w:t>
      </w:r>
      <w:hyperlink r:id="rId8">
        <w:r w:rsidDel="00000000" w:rsidR="00000000" w:rsidRPr="00000000">
          <w:rPr>
            <w:color w:val="3366cc"/>
            <w:sz w:val="21"/>
            <w:szCs w:val="21"/>
            <w:rtl w:val="0"/>
          </w:rPr>
          <w:t xml:space="preserve">investment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. Investors generally buy gold as a way of diversifying risk, especially through the use of </w:t>
      </w:r>
      <w:hyperlink r:id="rId9">
        <w:r w:rsidDel="00000000" w:rsidR="00000000" w:rsidRPr="00000000">
          <w:rPr>
            <w:color w:val="3366cc"/>
            <w:sz w:val="21"/>
            <w:szCs w:val="21"/>
            <w:rtl w:val="0"/>
          </w:rPr>
          <w:t xml:space="preserve">futures contracts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 and </w:t>
      </w:r>
      <w:hyperlink r:id="rId10">
        <w:r w:rsidDel="00000000" w:rsidR="00000000" w:rsidRPr="00000000">
          <w:rPr>
            <w:color w:val="3366cc"/>
            <w:sz w:val="21"/>
            <w:szCs w:val="21"/>
            <w:rtl w:val="0"/>
          </w:rPr>
          <w:t xml:space="preserve">derivatives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. The gold market is subject to </w:t>
      </w:r>
      <w:hyperlink r:id="rId11">
        <w:r w:rsidDel="00000000" w:rsidR="00000000" w:rsidRPr="00000000">
          <w:rPr>
            <w:color w:val="3366cc"/>
            <w:sz w:val="21"/>
            <w:szCs w:val="21"/>
            <w:rtl w:val="0"/>
          </w:rPr>
          <w:t xml:space="preserve">speculation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 and volatility as are other markets. Compared to other precious metals used for investment, gold has been the most effective safe haven across a number of countries.</w:t>
      </w:r>
      <w:hyperlink r:id="rId12">
        <w:r w:rsidDel="00000000" w:rsidR="00000000" w:rsidRPr="00000000">
          <w:rPr>
            <w:color w:val="3366cc"/>
            <w:sz w:val="28"/>
            <w:szCs w:val="28"/>
            <w:vertAlign w:val="superscript"/>
            <w:rtl w:val="0"/>
          </w:rPr>
          <w:t xml:space="preserve">[1]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2a9b1" w:space="0" w:sz="7" w:val="single"/>
          <w:right w:color="auto" w:space="0" w:sz="0" w:val="none"/>
        </w:pBdr>
        <w:shd w:fill="ffffff" w:val="clear"/>
        <w:spacing w:after="80" w:before="340" w:line="330" w:lineRule="auto"/>
        <w:rPr>
          <w:color w:val="202122"/>
          <w:sz w:val="19"/>
          <w:szCs w:val="19"/>
          <w:shd w:fill="f8f9fa" w:val="clear"/>
        </w:rPr>
      </w:pPr>
      <w:bookmarkStart w:colFirst="0" w:colLast="0" w:name="_txca6diumhq2" w:id="0"/>
      <w:bookmarkEnd w:id="0"/>
      <w:r w:rsidDel="00000000" w:rsidR="00000000" w:rsidRPr="00000000">
        <w:rPr>
          <w:rFonts w:ascii="Georgia" w:cs="Georgia" w:eastAsia="Georgia" w:hAnsi="Georgia"/>
          <w:sz w:val="34"/>
          <w:szCs w:val="34"/>
          <w:rtl w:val="0"/>
        </w:rPr>
        <w:t xml:space="preserve">Gold price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100" w:before="100" w:lineRule="auto"/>
        <w:rPr>
          <w:color w:val="3366cc"/>
          <w:sz w:val="28"/>
          <w:szCs w:val="28"/>
          <w:vertAlign w:val="superscript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Gold has been used throughout history as </w:t>
      </w:r>
      <w:hyperlink r:id="rId13">
        <w:r w:rsidDel="00000000" w:rsidR="00000000" w:rsidRPr="00000000">
          <w:rPr>
            <w:color w:val="3366cc"/>
            <w:sz w:val="21"/>
            <w:szCs w:val="21"/>
            <w:rtl w:val="0"/>
          </w:rPr>
          <w:t xml:space="preserve">money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 and has been a relative standard for currency equivalents specific to economic regions or countries, until recent times. Many European countries implemented </w:t>
      </w:r>
      <w:hyperlink r:id="rId14">
        <w:r w:rsidDel="00000000" w:rsidR="00000000" w:rsidRPr="00000000">
          <w:rPr>
            <w:color w:val="3366cc"/>
            <w:sz w:val="21"/>
            <w:szCs w:val="21"/>
            <w:rtl w:val="0"/>
          </w:rPr>
          <w:t xml:space="preserve">gold standards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 in the latter part of the 19th century until these were temporarily suspended in the financial crises involving </w:t>
      </w:r>
      <w:hyperlink r:id="rId15">
        <w:r w:rsidDel="00000000" w:rsidR="00000000" w:rsidRPr="00000000">
          <w:rPr>
            <w:color w:val="3366cc"/>
            <w:sz w:val="21"/>
            <w:szCs w:val="21"/>
            <w:rtl w:val="0"/>
          </w:rPr>
          <w:t xml:space="preserve">World War I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.</w:t>
      </w:r>
      <w:hyperlink r:id="rId16">
        <w:r w:rsidDel="00000000" w:rsidR="00000000" w:rsidRPr="00000000">
          <w:rPr>
            <w:color w:val="3366cc"/>
            <w:sz w:val="28"/>
            <w:szCs w:val="28"/>
            <w:vertAlign w:val="superscript"/>
            <w:rtl w:val="0"/>
          </w:rPr>
          <w:t xml:space="preserve">[2]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 After </w:t>
      </w:r>
      <w:hyperlink r:id="rId17">
        <w:r w:rsidDel="00000000" w:rsidR="00000000" w:rsidRPr="00000000">
          <w:rPr>
            <w:color w:val="3366cc"/>
            <w:sz w:val="21"/>
            <w:szCs w:val="21"/>
            <w:rtl w:val="0"/>
          </w:rPr>
          <w:t xml:space="preserve">World War II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, the </w:t>
      </w:r>
      <w:hyperlink r:id="rId18">
        <w:r w:rsidDel="00000000" w:rsidR="00000000" w:rsidRPr="00000000">
          <w:rPr>
            <w:color w:val="3366cc"/>
            <w:sz w:val="21"/>
            <w:szCs w:val="21"/>
            <w:rtl w:val="0"/>
          </w:rPr>
          <w:t xml:space="preserve">Bretton Woods system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 pegged the United States dollar to gold at a rate of US$35 per </w:t>
      </w:r>
      <w:hyperlink r:id="rId19">
        <w:r w:rsidDel="00000000" w:rsidR="00000000" w:rsidRPr="00000000">
          <w:rPr>
            <w:color w:val="3366cc"/>
            <w:sz w:val="21"/>
            <w:szCs w:val="21"/>
            <w:rtl w:val="0"/>
          </w:rPr>
          <w:t xml:space="preserve">troy ounce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. The system existed until the 1971 </w:t>
      </w:r>
      <w:hyperlink r:id="rId20">
        <w:r w:rsidDel="00000000" w:rsidR="00000000" w:rsidRPr="00000000">
          <w:rPr>
            <w:color w:val="3366cc"/>
            <w:sz w:val="21"/>
            <w:szCs w:val="21"/>
            <w:rtl w:val="0"/>
          </w:rPr>
          <w:t xml:space="preserve">Nixon Shock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, when the US unilaterally suspended the direct convertibility of the United States dollar to gold and made the transition to a </w:t>
      </w:r>
      <w:hyperlink r:id="rId21">
        <w:r w:rsidDel="00000000" w:rsidR="00000000" w:rsidRPr="00000000">
          <w:rPr>
            <w:color w:val="3366cc"/>
            <w:sz w:val="21"/>
            <w:szCs w:val="21"/>
            <w:rtl w:val="0"/>
          </w:rPr>
          <w:t xml:space="preserve">fiat currency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 system. The last major currency to be divorced from gold was the </w:t>
      </w:r>
      <w:hyperlink r:id="rId22">
        <w:r w:rsidDel="00000000" w:rsidR="00000000" w:rsidRPr="00000000">
          <w:rPr>
            <w:color w:val="3366cc"/>
            <w:sz w:val="21"/>
            <w:szCs w:val="21"/>
            <w:rtl w:val="0"/>
          </w:rPr>
          <w:t xml:space="preserve">Swiss Franc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 in 2000.</w:t>
      </w:r>
      <w:hyperlink r:id="rId23">
        <w:r w:rsidDel="00000000" w:rsidR="00000000" w:rsidRPr="00000000">
          <w:rPr>
            <w:color w:val="3366cc"/>
            <w:sz w:val="28"/>
            <w:szCs w:val="28"/>
            <w:vertAlign w:val="superscript"/>
            <w:rtl w:val="0"/>
          </w:rPr>
          <w:t xml:space="preserve">[3]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100" w:before="100" w:lineRule="auto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Since 1919 the most common benchmark for the price of gold has been the </w:t>
      </w:r>
      <w:hyperlink r:id="rId24">
        <w:r w:rsidDel="00000000" w:rsidR="00000000" w:rsidRPr="00000000">
          <w:rPr>
            <w:color w:val="3366cc"/>
            <w:sz w:val="21"/>
            <w:szCs w:val="21"/>
            <w:rtl w:val="0"/>
          </w:rPr>
          <w:t xml:space="preserve">London gold fixing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, a twice-daily telephone meeting of representatives from five </w:t>
      </w:r>
      <w:hyperlink r:id="rId25">
        <w:r w:rsidDel="00000000" w:rsidR="00000000" w:rsidRPr="00000000">
          <w:rPr>
            <w:color w:val="3366cc"/>
            <w:sz w:val="21"/>
            <w:szCs w:val="21"/>
            <w:rtl w:val="0"/>
          </w:rPr>
          <w:t xml:space="preserve">bullion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-trading firms of the </w:t>
      </w:r>
      <w:hyperlink r:id="rId26">
        <w:r w:rsidDel="00000000" w:rsidR="00000000" w:rsidRPr="00000000">
          <w:rPr>
            <w:color w:val="3366cc"/>
            <w:sz w:val="21"/>
            <w:szCs w:val="21"/>
            <w:rtl w:val="0"/>
          </w:rPr>
          <w:t xml:space="preserve">London bullion market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. Furthermore, gold is traded continuously throughout the world based on the intra-day </w:t>
      </w:r>
      <w:hyperlink r:id="rId27">
        <w:r w:rsidDel="00000000" w:rsidR="00000000" w:rsidRPr="00000000">
          <w:rPr>
            <w:color w:val="3366cc"/>
            <w:sz w:val="21"/>
            <w:szCs w:val="21"/>
            <w:rtl w:val="0"/>
          </w:rPr>
          <w:t xml:space="preserve">spot price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, derived from </w:t>
      </w:r>
      <w:hyperlink r:id="rId28">
        <w:r w:rsidDel="00000000" w:rsidR="00000000" w:rsidRPr="00000000">
          <w:rPr>
            <w:color w:val="3366cc"/>
            <w:sz w:val="21"/>
            <w:szCs w:val="21"/>
            <w:rtl w:val="0"/>
          </w:rPr>
          <w:t xml:space="preserve">over-the-counter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 gold-trading markets around the world (</w:t>
      </w:r>
      <w:hyperlink r:id="rId29">
        <w:r w:rsidDel="00000000" w:rsidR="00000000" w:rsidRPr="00000000">
          <w:rPr>
            <w:color w:val="3366cc"/>
            <w:sz w:val="21"/>
            <w:szCs w:val="21"/>
            <w:rtl w:val="0"/>
          </w:rPr>
          <w:t xml:space="preserve">code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 "XAU").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en.wikipedia.org/wiki/Nixon_Shock" TargetMode="External"/><Relationship Id="rId22" Type="http://schemas.openxmlformats.org/officeDocument/2006/relationships/hyperlink" Target="https://en.wikipedia.org/wiki/Swiss_Franc" TargetMode="External"/><Relationship Id="rId21" Type="http://schemas.openxmlformats.org/officeDocument/2006/relationships/hyperlink" Target="https://en.wikipedia.org/wiki/Fiat_currency" TargetMode="External"/><Relationship Id="rId24" Type="http://schemas.openxmlformats.org/officeDocument/2006/relationships/hyperlink" Target="https://en.wikipedia.org/wiki/London_gold_fixing" TargetMode="External"/><Relationship Id="rId23" Type="http://schemas.openxmlformats.org/officeDocument/2006/relationships/hyperlink" Target="https://en.wikipedia.org/wiki/Gold_as_an_investment#cite_note-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Futures_contract" TargetMode="External"/><Relationship Id="rId26" Type="http://schemas.openxmlformats.org/officeDocument/2006/relationships/hyperlink" Target="https://en.wikipedia.org/wiki/London_bullion_market" TargetMode="External"/><Relationship Id="rId25" Type="http://schemas.openxmlformats.org/officeDocument/2006/relationships/hyperlink" Target="https://en.wikipedia.org/wiki/Bullion" TargetMode="External"/><Relationship Id="rId28" Type="http://schemas.openxmlformats.org/officeDocument/2006/relationships/hyperlink" Target="https://en.wikipedia.org/wiki/Over-the-counter_(finance)" TargetMode="External"/><Relationship Id="rId27" Type="http://schemas.openxmlformats.org/officeDocument/2006/relationships/hyperlink" Target="https://en.wikipedia.org/wiki/Spot_price" TargetMode="External"/><Relationship Id="rId5" Type="http://schemas.openxmlformats.org/officeDocument/2006/relationships/styles" Target="styles.xml"/><Relationship Id="rId6" Type="http://schemas.openxmlformats.org/officeDocument/2006/relationships/hyperlink" Target="https://en.wikipedia.org/wiki/Precious_metal" TargetMode="External"/><Relationship Id="rId29" Type="http://schemas.openxmlformats.org/officeDocument/2006/relationships/hyperlink" Target="https://en.wikipedia.org/wiki/ISO_4217" TargetMode="External"/><Relationship Id="rId7" Type="http://schemas.openxmlformats.org/officeDocument/2006/relationships/hyperlink" Target="https://en.wikipedia.org/wiki/Gold" TargetMode="External"/><Relationship Id="rId8" Type="http://schemas.openxmlformats.org/officeDocument/2006/relationships/hyperlink" Target="https://en.wikipedia.org/wiki/Investment" TargetMode="External"/><Relationship Id="rId11" Type="http://schemas.openxmlformats.org/officeDocument/2006/relationships/hyperlink" Target="https://en.wikipedia.org/wiki/Speculation" TargetMode="External"/><Relationship Id="rId10" Type="http://schemas.openxmlformats.org/officeDocument/2006/relationships/hyperlink" Target="https://en.wikipedia.org/wiki/Derivative_(finance)" TargetMode="External"/><Relationship Id="rId13" Type="http://schemas.openxmlformats.org/officeDocument/2006/relationships/hyperlink" Target="https://en.wikipedia.org/wiki/Money" TargetMode="External"/><Relationship Id="rId12" Type="http://schemas.openxmlformats.org/officeDocument/2006/relationships/hyperlink" Target="https://en.wikipedia.org/wiki/Gold_as_an_investment#cite_note-1" TargetMode="External"/><Relationship Id="rId15" Type="http://schemas.openxmlformats.org/officeDocument/2006/relationships/hyperlink" Target="https://en.wikipedia.org/wiki/World_War_I" TargetMode="External"/><Relationship Id="rId14" Type="http://schemas.openxmlformats.org/officeDocument/2006/relationships/hyperlink" Target="https://en.wikipedia.org/wiki/Gold_standard" TargetMode="External"/><Relationship Id="rId17" Type="http://schemas.openxmlformats.org/officeDocument/2006/relationships/hyperlink" Target="https://en.wikipedia.org/wiki/World_War_II" TargetMode="External"/><Relationship Id="rId16" Type="http://schemas.openxmlformats.org/officeDocument/2006/relationships/hyperlink" Target="https://en.wikipedia.org/wiki/Gold_as_an_investment#cite_note-2" TargetMode="External"/><Relationship Id="rId19" Type="http://schemas.openxmlformats.org/officeDocument/2006/relationships/hyperlink" Target="https://en.wikipedia.org/wiki/Troy_ounce" TargetMode="External"/><Relationship Id="rId18" Type="http://schemas.openxmlformats.org/officeDocument/2006/relationships/hyperlink" Target="https://en.wikipedia.org/wiki/Bretton_Woods_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