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PATENT CLAIM CHART — NexaTherm Pro NXT-2000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Patent: US11,234,567 B2  |  Accused Product: NexaTherm Pro NXT-2000  |  Date: 2026-02-21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Case Reference: Lumenci-2026-001  |  Prepared by: Patent Analytics AI System</w:t>
      </w:r>
    </w:p>
    <w:p>
      <w:pPr>
        <w:spacing w:before="120" w:after="12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ELEMENT QUALITY LEGEND: </w:t>
      </w:r>
    </w:p>
    <w:p>
      <w:r>
        <w:rPr>
          <w:rFonts w:ascii="Arial" w:cs="Arial" w:eastAsia="Arial" w:hAnsi="Arial"/>
          <w:sz w:val="17"/>
          <w:szCs w:val="17"/>
        </w:rPr>
        <w:t xml:space="preserve">  GREEN (1.a) = Strong evidence + strong reasoning  |  YELLOW (1.b) = Strong evidence, weak reasoning</w:t>
      </w:r>
    </w:p>
    <w:p>
      <w:pPr>
        <w:spacing w:after="160"/>
      </w:pPr>
      <w:r>
        <w:rPr>
          <w:rFonts w:ascii="Arial" w:cs="Arial" w:eastAsia="Arial" w:hAnsi="Arial"/>
          <w:sz w:val="17"/>
          <w:szCs w:val="17"/>
        </w:rPr>
        <w:t xml:space="preserve">  ORANGE (1.c) = Weak evidence (marketing only)  |  RED (1.d) = No evidence  |  PURPLE (1.e) = Conflicting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Patent Claim Language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Evidence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Reasoning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temperature measurement system comprising a digital sensor array configured to detect ambient temperature with accuracy of ±0.1°C or better.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NexaTherm TechSpec v4.2 §3.1: "The NexaTherm Pro incorporates a 16-element MEMS thermopile array (Model NXT-T16) providing ambient temperature accuracy of ±0.05°C across -10°C to +50°C operating range."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NexaTherm's 16-element MEMS thermopile array directly satisfies the "digital sensor array" limitation. The documented ±0.05°C accuracy exceeds the claimed ±0.1°C threshold. Literal infringement clearly established under plain-meaning construction.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1.b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wireless communication module implementing IEEE 802.15.4 protocol for mesh network topology support with unicast and multicast addressing.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Reference v3.0 §7.3: "Radio: IEEE 802.15.4-2015 compliant 2.4GHz transceiver (EFR32MG21 SoC). Supports Thread mesh networking protocol. Maximum mesh depth: 16 nodes. Unicast and multicast addressing supported per RFC 4944."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NexaTherm has wireless. This probably meets the claim element for wireless communication since the product connects wirelessly. The IEEE standard requirement may be satisfied.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machine learning inference engine trained on historical occupancy data and user behavioural patterns to predict and pre-adjust temperature setpoints.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NexaTherm.com marketing page: "Smart AI technology personalizes your comfort. The NexaTherm learns your schedule and adjusts automatically for the perfect temperature every time."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NexaTherm's smart technology appears to use AI that learns patterns, which may satisfy the machine learning limitation of the claim. The product adjusts automatically suggesting some form of prediction.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humidity sensor configured to measure relative humidity with accuracy of ±2% RH or better across a range of 10% to 90% relative humidity.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[NO EVIDENCE MAPPED]
No product documentation has been cited for this element. Evidence must be located and added.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[NO REASONING — ELEMENT UNSUPPORTED]
Cannot establish infringement without evidence. Requires technical documentation showing humidity sensor specifications.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 occupancy detection module comprising a passive infrared sensor with a detection range of at least 5 meters and a field of view of at least 90 degrees.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[CONFLICTING SOURCES — REQUIRES RESOLUTION]
Source A (TechSpec v4.2 §5.1): PIR range = 8 meters, 120° FOV
Source B (Datasheet v2.0 §5.1): PIR range = 3 meters, 90° FOV
It is unclear which specification applies to the accused product.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Evidence conflict prevents definitive reasoning. If 8m range applies (Source A): literal infringement established — exceeds ≥5m threshold. If 3m range applies (Source B): infringement NOT established — does not meet threshold. Source must be resolved before this element can be mapped.</w:t>
            </w:r>
          </w:p>
        </w:tc>
      </w:tr>
    </w:tbl>
    <w:p>
      <w:pPr>
        <w:spacing w:before="200" w:after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This document is DOC1_ClaimChart.docx. Upload this first in every Antigravity test scenario.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Element 1.a = STRONG (SC-1 baseline). Element 1.b = WEAK REASONING (SC-2 target). Element 1.c = WEAK EVIDENCE (SC-3/EC-3). Element 1.d = MISSING (SC-4). Element 1.e = CONFLICTING (SC-5/EC-1).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2026-02-20T20:51:29.959Z</dcterms:created>
  <dcterms:modified xsi:type="dcterms:W3CDTF">2026-02-20T20:51:29.960Z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