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NexaTherm Pro NXT-2000 — Technical Specification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Version: 4.2  |  Product: NXT-2000  |  Status: CURRENT PRODUCT (In Production)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Confidential — For litigation use only under NDA</w:t>
      </w:r>
    </w:p>
    <w:p>
      <w:pPr>
        <w:spacing w:before="8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color w:val="C00000"/>
          <w:sz w:val="17"/>
          <w:szCs w:val="17"/>
        </w:rPr>
        <w:t xml:space="preserve">[TEST NOTE] This is DOC2_TechSpec.docx. It is the PRIMARY correct evidence source for the NXT-2000 (the accused product). Resolves elements 1.a (§3.1), 1.c (§6.1-6.2), 1.d (§4.1), 1.e (§5.1).</w:t>
      </w:r>
    </w:p>
    <w:p>
      <w:pPr>
        <w:spacing w:before="16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§3.1 — Temperature Sensing System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The NexaTherm Pro incorporates a 16-element MEMS thermopile array (Model NXT-T16) for ambient temperature measurement. Key specifications: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Sensor type: 16-element MEMS thermopile array, Model NXT-T16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Accuracy: ±0.05°C across operating range (exceeds ±0.1°C threshold)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Operating range: -10°C to +50°C ambient temperature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Resolution: 0.01°C (12-bit ADC, 4x oversampling)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Sampling rate: 1 Hz continuous, 10 Hz burst mode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Calibration: NIST-traceable factory calibration, drift &lt;0.01°C/year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C00000"/>
          <w:sz w:val="17"/>
          <w:szCs w:val="17"/>
        </w:rPr>
        <w:t xml:space="preserve">[TEST NOTE] §3.1 resolves Element 1.a. The ±0.05°C accuracy EXCEEDS the patent claim threshold of ±0.1°C → literal infringement.</w:t>
      </w:r>
    </w:p>
    <w:p>
      <w:pPr>
        <w:spacing w:before="16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§4.1 — Humidity Sensing System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Integrated environmental monitoring includes precision humidity measurement: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Sensor model: NXT-H8 capacitive polymer humidity sensor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Accuracy: ±1.5% RH at 10–90% RH operating range; ±2.0% RH full scale (10–95%)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Resolution: 0.1% RH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Response time: &lt;8 seconds (63% step response)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Temperature compensation: automatic across -5°C to +45°C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Calibration: factory-calibrated, ISO 17025 certified laboratory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C00000"/>
          <w:sz w:val="17"/>
          <w:szCs w:val="17"/>
        </w:rPr>
        <w:t xml:space="preserve">[TEST NOTE] §4.1 resolves Element 1.d (MISSING). The ±1.5% RH accuracy EXCEEDS the ±2% RH patent claim threshold → literal infringement established.</w:t>
      </w:r>
    </w:p>
    <w:p>
      <w:pPr>
        <w:spacing w:before="16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§5.1 — Occupancy Detection — PIR Sensor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The NXT-2000 incorporates a dual-element passive infrared occupancy detection system: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Sensor type: Dual-element pyroelectric PIR sensor (Excelitas PYQ2698)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Detection range: 8 meters (maximum, at 20°C ambient)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Field of view: 120° horizontal × 90° vertical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Sensitivity zones: 16 detection zones (4×4 matrix)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Response time: &lt;500ms first detection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Operating temperature: -10°C to +45°C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• NOTE: This specification is for the NXT-2000 (current product). The legacy NXT-1000 had a 3-meter range — this is a DIFFERENT product.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C00000"/>
          <w:sz w:val="17"/>
          <w:szCs w:val="17"/>
        </w:rPr>
        <w:t xml:space="preserve">[TEST NOTE] §5.1 resolves Element 1.e CONFLICT. NXT-2000 PIR range = 8 METERS → satisfies ≥5m patent claim → literal infringement. (DOC5 shows 3m for the NXT-1000 — wrong product.)</w:t>
      </w:r>
    </w:p>
    <w:p>
      <w:pPr>
        <w:spacing w:before="16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§6.1 — Machine Learning Engine Architecture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The NexaTherm Pro NXT-2000 incorporates an on-device machine learning inference engine: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Framework: TensorFlow Lite for Microcontrollers (TFLM) v2.8.0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Model architecture: 2-layer Long Short-Term Memory (LSTM) network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Hidden units: 64 per layer (layer 1), 32 per layer (layer 2)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Input features: timestamped occupancy events, user setpoint adjustments, schedule overrides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Training data: 90-day rolling window of historical occupancy patterns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Model size: 42KB (int8 quantized for edge deployment)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Inference latency: &lt;50ms per prediction cycle</w:t>
      </w:r>
    </w:p>
    <w:p>
      <w:pPr>
        <w:spacing w:before="12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§6.2 — Occupancy Learning and Prediction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Behavioural pattern learning specifics: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Data collected: occupancy start/end events with timestamps, day-of-week, user manual adjustments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Prediction horizon: 30 minutes ahead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Model retraining: weekly incremental update, full retrain every 90 days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Privacy: all ML processing performed on-device, no data transmitted externally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C00000"/>
          <w:sz w:val="17"/>
          <w:szCs w:val="17"/>
        </w:rPr>
        <w:t xml:space="preserve">[TEST NOTE] §6.1-6.2 resolves Element 1.c. The LSTM architecture trained on 90-day occupancy history directly satisfies "ML inference engine trained on historical occupancy data and user behavioural patterns."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2026-02-20T20:51:30.002Z</dcterms:created>
  <dcterms:modified xsi:type="dcterms:W3CDTF">2026-02-20T20:51:30.002Z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