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Moniq Code Review &amp; Standards Roadmap</w:t>
      </w:r>
    </w:p>
    <w:p>
      <w:pPr>
        <w:spacing w:after="240"/>
      </w:pPr>
      <w:r>
        <w:rPr>
          <w:color w:val="595959"/>
        </w:rPr>
        <w:t>Repository review — backend Go API, Next.js frontend, database, and delivery tooling</w:t>
      </w:r>
    </w:p>
    <w:p>
      <w:pPr>
        <w:pStyle w:val="Heading1"/>
      </w:pPr>
      <w:r>
        <w:t>Executive summary</w:t>
      </w:r>
    </w:p>
    <w:p>
      <w:r>
        <w:t>The codebase has a promising separation into handlers, services, repositories, and modules, but it is not yet at production-grade engineering standards. The highest-risk work is to fix the production Docker build, reduce credential exposure, correct refresh-token revocation, and establish automated quality gates. The report lists 18 actionable changes, ordered so the team can improve safety and delivery confidence without a broad rewrite.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5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626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Assessment</w:t>
            </w:r>
          </w:p>
        </w:tc>
        <w:tc>
          <w:tcPr>
            <w:tcW w:type="dxa" w:w="10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Priority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Credentials can be exposed to browser JavaScript and URLs; production secrets have unsafe fallbacks.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Delivery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The checked-in backend Dockerfile builds a non-existent entrypoint; no CI is present.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Correctness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Logout does not revoke a cookie-sourced refresh token; ledger routes are unregistered.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P0/P1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Frontend lint fails with 22 errors; backend has zero project tests.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Maintainability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API clients, error behavior, naming, and unfinished modules are inconsistent.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</w:t>
            </w:r>
          </w:p>
        </w:tc>
      </w:tr>
    </w:tbl>
    <w:p/>
    <w:p>
      <w:pPr>
        <w:pStyle w:val="Heading1"/>
      </w:pPr>
      <w:r>
        <w:t>Scope and verification</w:t>
      </w:r>
    </w:p>
    <w:p>
      <w:r>
        <w:t>Reviewed source and configuration under backend/, frontend/, root deployment files, and migrations. No application code was changed. Existing uncommitted ledger work was treated as user-owned and was not modified.</w:t>
      </w:r>
    </w:p>
    <w:p>
      <w:pPr>
        <w:pStyle w:val="ListBullet"/>
        <w:spacing w:after="40"/>
      </w:pPr>
      <w:r>
        <w:t>Backend: `go test ./...` and `go vet ./...` pass only after directing Go’s build cache to a writable temporary directory. Every listed package reports “no test files.”</w:t>
      </w:r>
    </w:p>
    <w:p>
      <w:pPr>
        <w:pStyle w:val="ListBullet"/>
        <w:spacing w:after="40"/>
      </w:pPr>
      <w:r>
        <w:t>Frontend: `npm run lint` completes with 22 errors and 3 warnings. `npm run build` could not complete in the restricted environment because next/font attempted to fetch Google fonts; this is an environment limitation, not a confirmed application compile failure.</w:t>
      </w:r>
    </w:p>
    <w:p>
      <w:pPr>
        <w:pStyle w:val="ListBullet"/>
        <w:spacing w:after="40"/>
      </w:pPr>
      <w:r>
        <w:t>Repository hygiene: no CI workflow, CODEOWNERS, editor configuration, or lint configuration for Go was found. Dependency lockfile was not found in the tracked files.</w:t>
      </w:r>
    </w:p>
    <w:p>
      <w:r>
        <w:br w:type="page"/>
      </w:r>
    </w:p>
    <w:p>
      <w:pPr>
        <w:pStyle w:val="Heading1"/>
      </w:pPr>
      <w:r>
        <w:t>Priority 0 — correct before production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893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Finding and evidence</w:t>
            </w:r>
          </w:p>
        </w:tc>
        <w:tc>
          <w:tcPr>
            <w:tcW w:type="dxa" w:w="33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Required change</w:t>
            </w:r>
          </w:p>
        </w:tc>
        <w:tc>
          <w:tcPr>
            <w:tcW w:type="dxa" w:w="169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Source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P0-01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Production image build is broken: Dockerfile builds `cmd/api/main.go`, but the repository entrypoint is `cmd/server/main.go`.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Build the actual entrypoint; align the Go image with go.mod; add a docker build smoke test in CI.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backend/Dockerfile:2,17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P0-02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The login response exposes access and refresh tokens, and the frontend persists the access token in sessionStorage. Any XSS can steal it.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Adopt one browser auth model. Prefer HttpOnly, Secure, SameSite cookies; do not return/store long-lived tokens in JS-readable storage. Use a short-lived, single-use WebSocket ticket if a socket needs authentication.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backend/.../iam_handler.go:78-81; frontend/.../AuthContext.tsx:64-73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P0-03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Authentication accepts `?token=` on every protected request, not only a WebSocket handshake. URL tokens leak through histories, logs, referrers, and monitoring.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Remove query-token authentication from the generic middleware. Give the WebSocket endpoint dedicated authentication with an origin check and a one-time ticket/subprotocol mechanism.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backend/internal/middleware/auth.go:36-39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P0-04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Logout reads a refresh token from the cookie but passes the empty request-body value to the service. The cookie is cleared but its server session remains valid.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Pass `refreshToken` to the service; validate the token subject matches the authenticated user; add regression tests for body and cookie logout paths.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backend/.../iam_handler.go:145-158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P0-05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JWT access/refresh keys and database credentials fall back to known defaults. A production misconfiguration silently starts with predictable secrets.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Validate configuration at startup: fail production when required values are absent, weak, or when DB SSL is disabled. Use a typed config loader and secret manager in deployment.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backend/internal/config/config.go:47-65</w:t>
            </w:r>
          </w:p>
        </w:tc>
      </w:tr>
    </w:tbl>
    <w:p/>
    <w:p>
      <w:pPr>
        <w:pStyle w:val="Heading1"/>
      </w:pPr>
      <w:r>
        <w:t>Priority 1 — reliability and correctness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893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Finding and evidence</w:t>
            </w:r>
          </w:p>
        </w:tc>
        <w:tc>
          <w:tcPr>
            <w:tcW w:type="dxa" w:w="33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Required change</w:t>
            </w:r>
          </w:p>
        </w:tc>
        <w:tc>
          <w:tcPr>
            <w:tcW w:type="dxa" w:w="169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Source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P1-01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There are no application test files. `go test` is not exercising behavior, while finance and auth paths need strong regression protection.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Add unit tests for services and middleware; integration tests for Postgres/Redis; endpoint tests for auth, workspace authorization, and transaction/ledger atomicity. Set coverage thresholds for changed code.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 (all packages)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P1-02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Frontend lint gate fails: 22 errors (unused values, explicit `any`, JSX escaping) and 3 warnings (hooks/images).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Fix all current diagnostics; retain strict TypeScript; make lint and type checks blocking in CI. Do not suppress rules wholesale.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frontend: npm run lint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P1-03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The ledger transaction route file is empty and the route is not registered, while related code is currently uncommitted. This leaves a key domain feature incomplete/unreachable.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Complete and register the transaction routes only when the module has authorization, validation, transactional writes, tests, and API documentation.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backend/internal/modules/ledger/route/transaction_route.go:1; backend/internal/routes/route.go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P1-04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Refresh-token rotation revokes the old session and creates the new one in separate operations, with no transaction. A failure after revocation logs the user out; concurrent refreshes race.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Perform lookup, revoke/replace, and new session creation in one transaction; enforce a unique token hash; use a rotation/family identifier and replay detection.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backend/.../iam_service.go:245-304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P1-05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JWT validation accepts any HMAC signing method and does not enforce issuer, audience, or a token-type claim.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Require exactly HS256 (or move to asymmetric keys), set/validate issuer and audience, and include an explicit token-use claim so a refresh token cannot be presented as an access token.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backend/pkg/jwt/jwt.go:43-55,58-81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P1-06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Account-wide logout uses GET even though it changes server state, enabling unsafe semantics and cache/prefetch surprises.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Use POST/DELETE with CSRF protection when cookie auth is retained, and return after all error responses.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backend/.../iam_route.go:36-40; iam_handler.go:178-198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P1-07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Two incompatible frontend API clients use different default base URLs (`/api` versus `http://localhost:3080/api`) and different error/auth behavior.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Consolidate on one typed API client with environment validation, request timeout/abort support, normalized errors, refresh handling, and a testable interface.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frontend/src/lib/axios.ts:4-9; frontend/src/lib/api.ts:1-51</w:t>
            </w:r>
          </w:p>
        </w:tc>
      </w:tr>
    </w:tbl>
    <w:p/>
    <w:p>
      <w:pPr>
        <w:pStyle w:val="Heading1"/>
      </w:pPr>
      <w:r>
        <w:t>Priority 2 — maintainability and operational standards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893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Finding and evidence</w:t>
            </w:r>
          </w:p>
        </w:tc>
        <w:tc>
          <w:tcPr>
            <w:tcW w:type="dxa" w:w="338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Required change</w:t>
            </w:r>
          </w:p>
        </w:tc>
        <w:tc>
          <w:tcPr>
            <w:tcW w:type="dxa" w:w="1699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Source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P2-01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The repository has no CI pipeline or committed dependency lockfile. Reproducibility and release confidence are low.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Commit package-lock.json (or adopt pnpm with lockfile); add CI for format/lint/typecheck/test/build, dependency scanning, Docker build, and migration validation.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root; frontend/package.json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P2-02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Several services/repositories are explicit placeholders that return success/no data, risking silent feature failure when wired in.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Either implement them with tests or remove/stub them behind an explicit feature boundary that returns ‘not implemented’; track work in issues rather than TODO comments.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iam_service.go:237-243; audit/ai/ocr repositories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P2-03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Invitation tokens are stored as plaintext in the initial schema. A database disclosure would enable use of active invitations.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Store a SHA-256 (or HMAC) digest; compare safely; migrate existing records; preserve expiry and single-use constraints. Apply the same review to all bearer tokens.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backend/migrations/000001...up.sql:62-76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P2-04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PostgreSQL and Redis are exposed on host ports with default credentials in Compose. This is acceptable only for local development and should not resemble production deployment.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Use Compose profiles or a local-only override; inject credentials via ignored env/secrets; remove public port publishing outside development; enable Redis auth/TLS as appropriate.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docker-compose.yml:4-29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P2-05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User-facing API errors return raw service/database error text, and registration turns known conflicts into HTTP 500.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Define sentinel/domain errors and map them centrally to stable error codes, safe messages, and correct status codes (e.g., 409 duplicate email, 404 absent resource). Log original causes with request IDs.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backend/.../iam_handler.go:44-47,71-75</w:t>
            </w:r>
          </w:p>
        </w:tc>
      </w:tr>
      <w:tr>
        <w:trPr>
          <w:cantSplit/>
        </w:trPr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P2-06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The WebSocket provider hard-codes localhost and has lifecycle/reconnect issues; it is currently not mounted in the root layout.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Use a validated public runtime URL, typed message schema, ref-based socket lifecycle, exponential backoff/jitter, cleanup of timers, and tests. Mount only after the backend endpoint exists.</w:t>
            </w:r>
          </w:p>
        </w:tc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frontend/.../SocketContext.tsx:28-104; app/layout.tsx:8,45</w:t>
            </w:r>
          </w:p>
        </w:tc>
      </w:tr>
    </w:tbl>
    <w:p/>
    <w:p>
      <w:pPr>
        <w:pStyle w:val="Heading1"/>
      </w:pPr>
      <w:r>
        <w:t>Implementation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Phase</w:t>
            </w:r>
          </w:p>
        </w:tc>
        <w:tc>
          <w:tcPr>
            <w:tcW w:type="dxa" w:w="3024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Outcome</w:t>
            </w:r>
          </w:p>
        </w:tc>
        <w:tc>
          <w:tcPr>
            <w:tcW w:type="dxa" w:w="453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7"/>
              </w:rPr>
              <w:t>Exit criteria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1. Stop-the-line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Safe deployability and credential handling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Docker build passes; P0 findings fixed; login/refresh/logout regression tests pass.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2. Quality baseline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Repeatable verification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CI is required on PRs; frontend lint is clean; backend tests cover auth and workspace isolation.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3. Domain integrity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Reliable money movement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Transaction/ledger routes are implemented with database transactions, authorization, idempotency, and integration tests.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4. Hardening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Production operations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Secrets/config validation, observability, rate limits, dependency updates, backups, and migration rollback policy are documented and tested.</w:t>
            </w:r>
          </w:p>
        </w:tc>
      </w:tr>
    </w:tbl>
    <w:p/>
    <w:p>
      <w:pPr>
        <w:pStyle w:val="Heading1"/>
      </w:pPr>
      <w:r>
        <w:t>Recommended engineering baseline</w:t>
      </w:r>
    </w:p>
    <w:p>
      <w:pPr>
        <w:pStyle w:val="ListBullet"/>
        <w:spacing w:after="40"/>
      </w:pPr>
      <w:r>
        <w:t>Go: gofmt/goimports, golangci-lint, staticcheck, govulncheck, table-driven unit tests, Testcontainers-based integration tests, and structured logs with request/correlation IDs.</w:t>
      </w:r>
    </w:p>
    <w:p>
      <w:pPr>
        <w:pStyle w:val="ListBullet"/>
        <w:spacing w:after="40"/>
      </w:pPr>
      <w:r>
        <w:t>TypeScript/Next: ESLint + Prettier in check mode, `tsc --noEmit`, typed API schemas (for example Zod), React Query error/retry conventions, and component/e2e tests for auth and money flows.</w:t>
      </w:r>
    </w:p>
    <w:p>
      <w:pPr>
        <w:pStyle w:val="ListBullet"/>
        <w:spacing w:after="40"/>
      </w:pPr>
      <w:r>
        <w:t>Security: environment-specific configuration validation, secret rotation, rate limits for auth/invitation endpoints, CSRF protections for cookie-mutating routes, CSP, security headers, and audit logs for sensitive actions.</w:t>
      </w:r>
    </w:p>
    <w:p>
      <w:pPr>
        <w:pStyle w:val="ListBullet"/>
        <w:spacing w:after="40"/>
      </w:pPr>
      <w:r>
        <w:t>Database: transactional financial writes, idempotency keys for write APIs, foreign-key/workspace consistency checks, migration review, backup/restore exercise, and indexes proven with query plans.</w:t>
      </w:r>
    </w:p>
    <w:p>
      <w:pPr>
        <w:pStyle w:val="Heading1"/>
      </w:pPr>
      <w:r>
        <w:t>Acceptance checklist</w:t>
      </w:r>
    </w:p>
    <w:p>
      <w:pPr>
        <w:pStyle w:val="ListBullet"/>
        <w:spacing w:after="40"/>
      </w:pPr>
      <w:r>
        <w:t>No production service starts with default credentials, disabled TLS, or unvalidated public URLs.</w:t>
      </w:r>
    </w:p>
    <w:p>
      <w:pPr>
        <w:pStyle w:val="ListBullet"/>
        <w:spacing w:after="40"/>
      </w:pPr>
      <w:r>
        <w:t>No access or refresh token is placed in sessionStorage, localStorage, query strings, logs, or response bodies when cookie-based auth is used.</w:t>
      </w:r>
    </w:p>
    <w:p>
      <w:pPr>
        <w:pStyle w:val="ListBullet"/>
        <w:spacing w:after="40"/>
      </w:pPr>
      <w:r>
        <w:t>A clean checkout passes format, lint, type check, unit tests, integration tests, build, and container build in CI.</w:t>
      </w:r>
    </w:p>
    <w:p>
      <w:pPr>
        <w:pStyle w:val="ListBullet"/>
        <w:spacing w:after="40"/>
      </w:pPr>
      <w:r>
        <w:t>Every protected workspace action proves both authentication and resource-level membership/role authorization.</w:t>
      </w:r>
    </w:p>
    <w:p>
      <w:pPr>
        <w:pStyle w:val="ListBullet"/>
        <w:spacing w:after="40"/>
      </w:pPr>
      <w:r>
        <w:t>All money-moving operations are atomic, idempotent where needed, audited, and covered by integration tests.</w:t>
      </w:r>
    </w:p>
    <w:p>
      <w:r>
        <w:rPr>
          <w:i/>
        </w:rPr>
        <w:t>Review date: 18 July 2026. Severity reflects likely impact and current evidence, not a penetration test.</w:t>
      </w:r>
    </w:p>
    <w:sectPr w:rsidR="00FC693F" w:rsidRPr="0006063C" w:rsidSect="00034616">
      <w:pgSz w:w="12240" w:h="15840"/>
      <w:pgMar w:top="1224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