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1268E8"/>
          <w:sz w:val="28"/>
        </w:rPr>
        <w:t>SMART VEHICLE QR</w:t>
      </w:r>
    </w:p>
    <w:p>
      <w:pPr>
        <w:pStyle w:val="Title"/>
      </w:pPr>
      <w:r>
        <w:t>Developer Blueprint</w:t>
        <w:br/>
        <w:t>and Delivery Roadmap</w:t>
      </w:r>
    </w:p>
    <w:p>
      <w:pPr>
        <w:spacing w:before="180"/>
      </w:pPr>
      <w:r>
        <w:rPr>
          <w:color w:val="5A6778"/>
          <w:sz w:val="28"/>
        </w:rPr>
        <w:t>A practical build sequence for the QR identity, vehicle safety and communication platform</w:t>
      </w:r>
    </w:p>
    <w:p>
      <w:pPr>
        <w:spacing w:before="460"/>
      </w:pPr>
      <w:r>
        <w:rPr>
          <w:b/>
          <w:color w:val="0B1B3B"/>
        </w:rPr>
        <w:t>Version 2.0  |  03 October 2026  |  Developer handover</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Purpose  </w:t>
            </w:r>
            <w:r>
              <w:rPr>
                <w:sz w:val="18"/>
              </w:rPr>
              <w:t>Translate the supplied QR BRD, QR FRS, master product handover and roadmap into one implementable sequence. This is a requirements blueprint; it is not evidence that code has already been built.</w:t>
            </w:r>
          </w:p>
        </w:tc>
      </w:tr>
    </w:tbl>
    <w:p>
      <w:pPr>
        <w:spacing w:after="0"/>
      </w:pPr>
    </w:p>
    <w:p>
      <w:pPr>
        <w:spacing w:before="2100"/>
      </w:pPr>
      <w:r>
        <w:rPr>
          <w:color w:val="5A6778"/>
          <w:sz w:val="18"/>
        </w:rPr>
        <w:t>Prepared for SmartO  •  Brand direction: navy, blue and cyan</w:t>
      </w:r>
    </w:p>
    <w:p>
      <w:r>
        <w:br w:type="page"/>
      </w:r>
    </w:p>
    <w:p>
      <w:pPr>
        <w:pStyle w:val="Heading1"/>
        <w:keepNext/>
      </w:pPr>
      <w:r>
        <w:t>1. Executive summary</w:t>
      </w:r>
    </w:p>
    <w:p>
      <w:r>
        <w:t>Build one controlled platform that gives each approved physical QR a traceable digital identity, links it to a verified vehicle and current owner, and lets a bystander start a safe communication flow after scanning. Support showroom/dealer onboarding and direct-to-consumer (D2C) purchase through the same QR, vehicle, owner and communication records.</w:t>
      </w:r>
    </w:p>
    <w:p>
      <w:r>
        <w:t>The supplied material describes batch generation, print/QC, stock, showroom operations, owner features, public scan, D2C, support and scale hardening. Implement these as gated phases, with audit history and server-side business rules from day one.</w:t>
      </w:r>
    </w:p>
    <w:tbl>
      <w:tblPr>
        <w:tblStyle w:val="TableGrid"/>
        <w:tblW w:type="auto" w:w="0"/>
        <w:tblLook w:firstColumn="1" w:firstRow="1" w:lastColumn="0" w:lastRow="0" w:noHBand="0" w:noVBand="1" w:val="04A0"/>
      </w:tblPr>
      <w:tblGrid>
        <w:gridCol w:w="10166"/>
      </w:tblGrid>
      <w:tr>
        <w:tc>
          <w:tcPr>
            <w:tcW w:type="dxa" w:w="10166"/>
            <w:shd w:fill="FFF3D6"/>
          </w:tcPr>
          <w:p>
            <w:pPr>
              <w:spacing w:after="40"/>
            </w:pPr>
            <w:r/>
            <w:r>
              <w:rPr>
                <w:b/>
                <w:color w:val="1268E8"/>
                <w:sz w:val="18"/>
              </w:rPr>
              <w:t xml:space="preserve">Project inspection finding  </w:t>
            </w:r>
            <w:r>
              <w:rPr>
                <w:sz w:val="18"/>
              </w:rPr>
              <w:t>The provided workspace at D:\client Projects\SmartO contained no source files, README, package manifest or Git repository at inspection time. No existing implementation could be verified. This roadmap is based on the supplied product documents and must be reconciled against the actual source repository when available.</w:t>
            </w:r>
          </w:p>
        </w:tc>
      </w:tr>
    </w:tbl>
    <w:p>
      <w:pPr>
        <w:spacing w:after="0"/>
      </w:pPr>
    </w:p>
    <w:p>
      <w:pPr>
        <w:pStyle w:val="Heading2"/>
        <w:keepNext/>
      </w:pPr>
      <w:r>
        <w:t>Recommended build order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0B1B3B"/>
          </w:tcPr>
          <w:p>
            <w:pPr>
              <w:spacing w:after="20"/>
            </w:pPr>
            <w:r/>
            <w:r>
              <w:rPr>
                <w:b/>
                <w:color w:val="FFFFFF"/>
                <w:sz w:val="16"/>
              </w:rPr>
              <w:t>Stage</w:t>
            </w:r>
          </w:p>
        </w:tc>
        <w:tc>
          <w:tcPr>
            <w:tcW w:type="dxa" w:w="3456"/>
            <w:shd w:fill="0B1B3B"/>
          </w:tcPr>
          <w:p>
            <w:pPr>
              <w:spacing w:after="20"/>
            </w:pPr>
            <w:r/>
            <w:r>
              <w:rPr>
                <w:b/>
                <w:color w:val="FFFFFF"/>
                <w:sz w:val="16"/>
              </w:rPr>
              <w:t>Goal</w:t>
            </w:r>
          </w:p>
        </w:tc>
        <w:tc>
          <w:tcPr>
            <w:tcW w:type="dxa" w:w="5472"/>
            <w:shd w:fill="0B1B3B"/>
          </w:tcPr>
          <w:p>
            <w:pPr>
              <w:spacing w:after="20"/>
            </w:pPr>
            <w:r/>
            <w:r>
              <w:rPr>
                <w:b/>
                <w:color w:val="FFFFFF"/>
                <w:sz w:val="16"/>
              </w:rPr>
              <w:t>Release evidence</w:t>
            </w:r>
          </w:p>
        </w:tc>
      </w:tr>
      <w:tr>
        <w:tc>
          <w:tcPr>
            <w:tcW w:type="dxa" w:w="792"/>
            <w:vAlign w:val="center"/>
          </w:tcPr>
          <w:p>
            <w:pPr>
              <w:spacing w:after="20" w:before="20"/>
            </w:pPr>
            <w:r/>
            <w:r>
              <w:rPr>
                <w:color w:val="202B3C"/>
                <w:sz w:val="15"/>
              </w:rPr>
              <w:t>0</w:t>
            </w:r>
          </w:p>
        </w:tc>
        <w:tc>
          <w:tcPr>
            <w:tcW w:type="dxa" w:w="3456"/>
            <w:vAlign w:val="center"/>
          </w:tcPr>
          <w:p>
            <w:pPr>
              <w:spacing w:after="20" w:before="20"/>
            </w:pPr>
            <w:r/>
            <w:r>
              <w:rPr>
                <w:color w:val="202B3C"/>
                <w:sz w:val="15"/>
              </w:rPr>
              <w:t>Product decisions and foundation</w:t>
            </w:r>
          </w:p>
        </w:tc>
        <w:tc>
          <w:tcPr>
            <w:tcW w:type="dxa" w:w="5472"/>
            <w:vAlign w:val="center"/>
          </w:tcPr>
          <w:p>
            <w:pPr>
              <w:spacing w:after="20" w:before="20"/>
            </w:pPr>
            <w:r/>
            <w:r>
              <w:rPr>
                <w:color w:val="202B3C"/>
                <w:sz w:val="15"/>
              </w:rPr>
              <w:t>Approved scope, UX, architecture; reproducible staging</w:t>
            </w:r>
          </w:p>
        </w:tc>
      </w:tr>
      <w:tr>
        <w:tc>
          <w:tcPr>
            <w:tcW w:type="dxa" w:w="792"/>
            <w:vAlign w:val="center"/>
            <w:shd w:fill="F3F6FA"/>
          </w:tcPr>
          <w:p>
            <w:pPr>
              <w:spacing w:after="20" w:before="20"/>
            </w:pPr>
            <w:r/>
            <w:r>
              <w:rPr>
                <w:color w:val="202B3C"/>
                <w:sz w:val="15"/>
              </w:rPr>
              <w:t>1</w:t>
            </w:r>
          </w:p>
        </w:tc>
        <w:tc>
          <w:tcPr>
            <w:tcW w:type="dxa" w:w="3456"/>
            <w:vAlign w:val="center"/>
            <w:shd w:fill="F3F6FA"/>
          </w:tcPr>
          <w:p>
            <w:pPr>
              <w:spacing w:after="20" w:before="20"/>
            </w:pPr>
            <w:r/>
            <w:r>
              <w:rPr>
                <w:color w:val="202B3C"/>
                <w:sz w:val="15"/>
              </w:rPr>
              <w:t>QR identity and batch generation</w:t>
            </w:r>
          </w:p>
        </w:tc>
        <w:tc>
          <w:tcPr>
            <w:tcW w:type="dxa" w:w="5472"/>
            <w:vAlign w:val="center"/>
            <w:shd w:fill="F3F6FA"/>
          </w:tcPr>
          <w:p>
            <w:pPr>
              <w:spacing w:after="20" w:before="20"/>
            </w:pPr>
            <w:r/>
            <w:r>
              <w:rPr>
                <w:color w:val="202B3C"/>
                <w:sz w:val="15"/>
              </w:rPr>
              <w:t>Unique token/ID, validated batches and audit</w:t>
            </w:r>
          </w:p>
        </w:tc>
      </w:tr>
      <w:tr>
        <w:tc>
          <w:tcPr>
            <w:tcW w:type="dxa" w:w="792"/>
            <w:vAlign w:val="center"/>
          </w:tcPr>
          <w:p>
            <w:pPr>
              <w:spacing w:after="20" w:before="20"/>
            </w:pPr>
            <w:r/>
            <w:r>
              <w:rPr>
                <w:color w:val="202B3C"/>
                <w:sz w:val="15"/>
              </w:rPr>
              <w:t>2</w:t>
            </w:r>
          </w:p>
        </w:tc>
        <w:tc>
          <w:tcPr>
            <w:tcW w:type="dxa" w:w="3456"/>
            <w:vAlign w:val="center"/>
          </w:tcPr>
          <w:p>
            <w:pPr>
              <w:spacing w:after="20" w:before="20"/>
            </w:pPr>
            <w:r/>
            <w:r>
              <w:rPr>
                <w:color w:val="202B3C"/>
                <w:sz w:val="15"/>
              </w:rPr>
              <w:t>Production and inventory</w:t>
            </w:r>
          </w:p>
        </w:tc>
        <w:tc>
          <w:tcPr>
            <w:tcW w:type="dxa" w:w="5472"/>
            <w:vAlign w:val="center"/>
          </w:tcPr>
          <w:p>
            <w:pPr>
              <w:spacing w:after="20" w:before="20"/>
            </w:pPr>
            <w:r/>
            <w:r>
              <w:rPr>
                <w:color w:val="202B3C"/>
                <w:sz w:val="15"/>
              </w:rPr>
              <w:t>Print/QC to showroom stock, fully traced</w:t>
            </w:r>
          </w:p>
        </w:tc>
      </w:tr>
      <w:tr>
        <w:tc>
          <w:tcPr>
            <w:tcW w:type="dxa" w:w="792"/>
            <w:vAlign w:val="center"/>
            <w:shd w:fill="F3F6FA"/>
          </w:tcPr>
          <w:p>
            <w:pPr>
              <w:spacing w:after="20" w:before="20"/>
            </w:pPr>
            <w:r/>
            <w:r>
              <w:rPr>
                <w:color w:val="202B3C"/>
                <w:sz w:val="15"/>
              </w:rPr>
              <w:t>3</w:t>
            </w:r>
          </w:p>
        </w:tc>
        <w:tc>
          <w:tcPr>
            <w:tcW w:type="dxa" w:w="3456"/>
            <w:vAlign w:val="center"/>
            <w:shd w:fill="F3F6FA"/>
          </w:tcPr>
          <w:p>
            <w:pPr>
              <w:spacing w:after="20" w:before="20"/>
            </w:pPr>
            <w:r/>
            <w:r>
              <w:rPr>
                <w:color w:val="202B3C"/>
                <w:sz w:val="15"/>
              </w:rPr>
              <w:t>Showroom and activation</w:t>
            </w:r>
          </w:p>
        </w:tc>
        <w:tc>
          <w:tcPr>
            <w:tcW w:type="dxa" w:w="5472"/>
            <w:vAlign w:val="center"/>
            <w:shd w:fill="F3F6FA"/>
          </w:tcPr>
          <w:p>
            <w:pPr>
              <w:spacing w:after="20" w:before="20"/>
            </w:pPr>
            <w:r/>
            <w:r>
              <w:rPr>
                <w:color w:val="202B3C"/>
                <w:sz w:val="15"/>
              </w:rPr>
              <w:t>Verified vehicle, installation scan and approval</w:t>
            </w:r>
          </w:p>
        </w:tc>
      </w:tr>
      <w:tr>
        <w:tc>
          <w:tcPr>
            <w:tcW w:type="dxa" w:w="792"/>
            <w:vAlign w:val="center"/>
          </w:tcPr>
          <w:p>
            <w:pPr>
              <w:spacing w:after="20" w:before="20"/>
            </w:pPr>
            <w:r/>
            <w:r>
              <w:rPr>
                <w:color w:val="202B3C"/>
                <w:sz w:val="15"/>
              </w:rPr>
              <w:t>4</w:t>
            </w:r>
          </w:p>
        </w:tc>
        <w:tc>
          <w:tcPr>
            <w:tcW w:type="dxa" w:w="3456"/>
            <w:vAlign w:val="center"/>
          </w:tcPr>
          <w:p>
            <w:pPr>
              <w:spacing w:after="20" w:before="20"/>
            </w:pPr>
            <w:r/>
            <w:r>
              <w:rPr>
                <w:color w:val="202B3C"/>
                <w:sz w:val="15"/>
              </w:rPr>
              <w:t>Owner portal and communication</w:t>
            </w:r>
          </w:p>
        </w:tc>
        <w:tc>
          <w:tcPr>
            <w:tcW w:type="dxa" w:w="5472"/>
            <w:vAlign w:val="center"/>
          </w:tcPr>
          <w:p>
            <w:pPr>
              <w:spacing w:after="20" w:before="20"/>
            </w:pPr>
            <w:r/>
            <w:r>
              <w:rPr>
                <w:color w:val="202B3C"/>
                <w:sz w:val="15"/>
              </w:rPr>
              <w:t>Owner, contacts, inbox and notifications</w:t>
            </w:r>
          </w:p>
        </w:tc>
      </w:tr>
      <w:tr>
        <w:tc>
          <w:tcPr>
            <w:tcW w:type="dxa" w:w="792"/>
            <w:vAlign w:val="center"/>
            <w:shd w:fill="F3F6FA"/>
          </w:tcPr>
          <w:p>
            <w:pPr>
              <w:spacing w:after="20" w:before="20"/>
            </w:pPr>
            <w:r/>
            <w:r>
              <w:rPr>
                <w:color w:val="202B3C"/>
                <w:sz w:val="15"/>
              </w:rPr>
              <w:t>5</w:t>
            </w:r>
          </w:p>
        </w:tc>
        <w:tc>
          <w:tcPr>
            <w:tcW w:type="dxa" w:w="3456"/>
            <w:vAlign w:val="center"/>
            <w:shd w:fill="F3F6FA"/>
          </w:tcPr>
          <w:p>
            <w:pPr>
              <w:spacing w:after="20" w:before="20"/>
            </w:pPr>
            <w:r/>
            <w:r>
              <w:rPr>
                <w:color w:val="202B3C"/>
                <w:sz w:val="15"/>
              </w:rPr>
              <w:t>Citizen scan and safety gateway</w:t>
            </w:r>
          </w:p>
        </w:tc>
        <w:tc>
          <w:tcPr>
            <w:tcW w:type="dxa" w:w="5472"/>
            <w:vAlign w:val="center"/>
            <w:shd w:fill="F3F6FA"/>
          </w:tcPr>
          <w:p>
            <w:pPr>
              <w:spacing w:after="20" w:before="20"/>
            </w:pPr>
            <w:r/>
            <w:r>
              <w:rPr>
                <w:color w:val="202B3C"/>
                <w:sz w:val="15"/>
              </w:rPr>
              <w:t>App-free, privacy-safe messaging</w:t>
            </w:r>
          </w:p>
        </w:tc>
      </w:tr>
      <w:tr>
        <w:tc>
          <w:tcPr>
            <w:tcW w:type="dxa" w:w="792"/>
            <w:vAlign w:val="center"/>
          </w:tcPr>
          <w:p>
            <w:pPr>
              <w:spacing w:after="20" w:before="20"/>
            </w:pPr>
            <w:r/>
            <w:r>
              <w:rPr>
                <w:color w:val="202B3C"/>
                <w:sz w:val="15"/>
              </w:rPr>
              <w:t>6</w:t>
            </w:r>
          </w:p>
        </w:tc>
        <w:tc>
          <w:tcPr>
            <w:tcW w:type="dxa" w:w="3456"/>
            <w:vAlign w:val="center"/>
          </w:tcPr>
          <w:p>
            <w:pPr>
              <w:spacing w:after="20" w:before="20"/>
            </w:pPr>
            <w:r/>
            <w:r>
              <w:rPr>
                <w:color w:val="202B3C"/>
                <w:sz w:val="15"/>
              </w:rPr>
              <w:t>D2C purchase and fulfilment</w:t>
            </w:r>
          </w:p>
        </w:tc>
        <w:tc>
          <w:tcPr>
            <w:tcW w:type="dxa" w:w="5472"/>
            <w:vAlign w:val="center"/>
          </w:tcPr>
          <w:p>
            <w:pPr>
              <w:spacing w:after="20" w:before="20"/>
            </w:pPr>
            <w:r/>
            <w:r>
              <w:rPr>
                <w:color w:val="202B3C"/>
                <w:sz w:val="15"/>
              </w:rPr>
              <w:t>Payment to reservation, shipment and activation</w:t>
            </w:r>
          </w:p>
        </w:tc>
      </w:tr>
      <w:tr>
        <w:tc>
          <w:tcPr>
            <w:tcW w:type="dxa" w:w="792"/>
            <w:vAlign w:val="center"/>
            <w:shd w:fill="F3F6FA"/>
          </w:tcPr>
          <w:p>
            <w:pPr>
              <w:spacing w:after="20" w:before="20"/>
            </w:pPr>
            <w:r/>
            <w:r>
              <w:rPr>
                <w:color w:val="202B3C"/>
                <w:sz w:val="15"/>
              </w:rPr>
              <w:t>7</w:t>
            </w:r>
          </w:p>
        </w:tc>
        <w:tc>
          <w:tcPr>
            <w:tcW w:type="dxa" w:w="3456"/>
            <w:vAlign w:val="center"/>
            <w:shd w:fill="F3F6FA"/>
          </w:tcPr>
          <w:p>
            <w:pPr>
              <w:spacing w:after="20" w:before="20"/>
            </w:pPr>
            <w:r/>
            <w:r>
              <w:rPr>
                <w:color w:val="202B3C"/>
                <w:sz w:val="15"/>
              </w:rPr>
              <w:t>Hardening and pilot</w:t>
            </w:r>
          </w:p>
        </w:tc>
        <w:tc>
          <w:tcPr>
            <w:tcW w:type="dxa" w:w="5472"/>
            <w:vAlign w:val="center"/>
            <w:shd w:fill="F3F6FA"/>
          </w:tcPr>
          <w:p>
            <w:pPr>
              <w:spacing w:after="20" w:before="20"/>
            </w:pPr>
            <w:r/>
            <w:r>
              <w:rPr>
                <w:color w:val="202B3C"/>
                <w:sz w:val="15"/>
              </w:rPr>
              <w:t>UAT, security, recovery, load and pilot sign-off</w:t>
            </w:r>
          </w:p>
        </w:tc>
      </w:tr>
      <w:tr>
        <w:tc>
          <w:tcPr>
            <w:tcW w:type="dxa" w:w="792"/>
            <w:vAlign w:val="center"/>
          </w:tcPr>
          <w:p>
            <w:pPr>
              <w:spacing w:after="20" w:before="20"/>
            </w:pPr>
            <w:r/>
            <w:r>
              <w:rPr>
                <w:color w:val="202B3C"/>
                <w:sz w:val="15"/>
              </w:rPr>
              <w:t>8</w:t>
            </w:r>
          </w:p>
        </w:tc>
        <w:tc>
          <w:tcPr>
            <w:tcW w:type="dxa" w:w="3456"/>
            <w:vAlign w:val="center"/>
          </w:tcPr>
          <w:p>
            <w:pPr>
              <w:spacing w:after="20" w:before="20"/>
            </w:pPr>
            <w:r/>
            <w:r>
              <w:rPr>
                <w:color w:val="202B3C"/>
                <w:sz w:val="15"/>
              </w:rPr>
              <w:t>Measured optimization</w:t>
            </w:r>
          </w:p>
        </w:tc>
        <w:tc>
          <w:tcPr>
            <w:tcW w:type="dxa" w:w="5472"/>
            <w:vAlign w:val="center"/>
          </w:tcPr>
          <w:p>
            <w:pPr>
              <w:spacing w:after="20" w:before="20"/>
            </w:pPr>
            <w:r/>
            <w:r>
              <w:rPr>
                <w:color w:val="202B3C"/>
                <w:sz w:val="15"/>
              </w:rPr>
              <w:t>Improve proven bottlenecks with rollback</w:t>
            </w:r>
          </w:p>
        </w:tc>
      </w:tr>
    </w:tbl>
    <w:p>
      <w:pPr>
        <w:spacing w:after="0"/>
      </w:pPr>
    </w:p>
    <w:p>
      <w:pPr>
        <w:pStyle w:val="Heading2"/>
        <w:keepNext/>
      </w:pPr>
      <w:r>
        <w:t>Non-negotiable product rules</w:t>
      </w:r>
    </w:p>
    <w:p>
      <w:pPr>
        <w:pStyle w:val="ListBullet"/>
        <w:spacing w:after="40"/>
      </w:pPr>
      <w:r>
        <w:t>QR, vehicle and owner are separate records. QR contains an opaque, unguessable public token, never owner PII.</w:t>
      </w:r>
    </w:p>
    <w:p>
      <w:pPr>
        <w:pStyle w:val="ListBullet"/>
        <w:spacing w:after="40"/>
      </w:pPr>
      <w:r>
        <w:t>Printing/QC, stock allocation, assignment/linking and activation are separate events. Assignment is never activation.</w:t>
      </w:r>
    </w:p>
    <w:p>
      <w:pPr>
        <w:pStyle w:val="ListBullet"/>
        <w:spacing w:after="40"/>
      </w:pPr>
      <w:r>
        <w:t>Inventory uses an append-only movement ledger; no manually edited stock total is the source of truth.</w:t>
      </w:r>
    </w:p>
    <w:p>
      <w:pPr>
        <w:pStyle w:val="ListBullet"/>
        <w:spacing w:after="40"/>
      </w:pPr>
      <w:r>
        <w:t>One active QR maps to one vehicle and a vehicle has at most one active QR in the initial policy; enforce in database and service.</w:t>
      </w:r>
    </w:p>
    <w:p>
      <w:pPr>
        <w:pStyle w:val="ListBullet"/>
        <w:spacing w:after="40"/>
      </w:pPr>
      <w:r>
        <w:t>Every high-impact action records actor, time, change, result and reason where applicable.</w:t>
      </w:r>
    </w:p>
    <w:p>
      <w:pPr>
        <w:pStyle w:val="ListBullet"/>
        <w:spacing w:after="40"/>
      </w:pPr>
      <w:r>
        <w:t>Public scans do not expose owner phone/address by default. Safety workflows complement, not replace, official emergency services.</w:t>
      </w:r>
    </w:p>
    <w:p>
      <w:pPr>
        <w:pStyle w:val="Heading1"/>
        <w:keepNext/>
      </w:pPr>
      <w:r>
        <w:t>2. Inputs reviewed and scope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0B1B3B"/>
          </w:tcPr>
          <w:p>
            <w:pPr>
              <w:spacing w:after="20"/>
            </w:pPr>
            <w:r/>
            <w:r>
              <w:rPr>
                <w:b/>
                <w:color w:val="FFFFFF"/>
                <w:sz w:val="16"/>
              </w:rPr>
              <w:t>Input</w:t>
            </w:r>
          </w:p>
        </w:tc>
        <w:tc>
          <w:tcPr>
            <w:tcW w:type="dxa" w:w="3888"/>
            <w:shd w:fill="0B1B3B"/>
          </w:tcPr>
          <w:p>
            <w:pPr>
              <w:spacing w:after="20"/>
            </w:pPr>
            <w:r/>
            <w:r>
              <w:rPr>
                <w:b/>
                <w:color w:val="FFFFFF"/>
                <w:sz w:val="16"/>
              </w:rPr>
              <w:t>Defines</w:t>
            </w:r>
          </w:p>
        </w:tc>
        <w:tc>
          <w:tcPr>
            <w:tcW w:type="dxa" w:w="3456"/>
            <w:shd w:fill="0B1B3B"/>
          </w:tcPr>
          <w:p>
            <w:pPr>
              <w:spacing w:after="20"/>
            </w:pPr>
            <w:r/>
            <w:r>
              <w:rPr>
                <w:b/>
                <w:color w:val="FFFFFF"/>
                <w:sz w:val="16"/>
              </w:rPr>
              <w:t>Use in this roadmap</w:t>
            </w:r>
          </w:p>
        </w:tc>
      </w:tr>
      <w:tr>
        <w:tc>
          <w:tcPr>
            <w:tcW w:type="dxa" w:w="2376"/>
            <w:vAlign w:val="center"/>
          </w:tcPr>
          <w:p>
            <w:pPr>
              <w:spacing w:after="20" w:before="20"/>
            </w:pPr>
            <w:r/>
            <w:r>
              <w:rPr>
                <w:color w:val="202B3C"/>
                <w:sz w:val="15"/>
              </w:rPr>
              <w:t>QR BRD PDF, 18 Sep 2026</w:t>
            </w:r>
          </w:p>
        </w:tc>
        <w:tc>
          <w:tcPr>
            <w:tcW w:type="dxa" w:w="3888"/>
            <w:vAlign w:val="center"/>
          </w:tcPr>
          <w:p>
            <w:pPr>
              <w:spacing w:after="20" w:before="20"/>
            </w:pPr>
            <w:r/>
            <w:r>
              <w:rPr>
                <w:color w:val="202B3C"/>
                <w:sz w:val="15"/>
              </w:rPr>
              <w:t>Business lifecycle: generate, print, QC, stock, showroom, audit and privacy.</w:t>
            </w:r>
          </w:p>
        </w:tc>
        <w:tc>
          <w:tcPr>
            <w:tcW w:type="dxa" w:w="3456"/>
            <w:vAlign w:val="center"/>
          </w:tcPr>
          <w:p>
            <w:pPr>
              <w:spacing w:after="20" w:before="20"/>
            </w:pPr>
            <w:r/>
            <w:r>
              <w:rPr>
                <w:color w:val="202B3C"/>
                <w:sz w:val="15"/>
              </w:rPr>
              <w:t>Baseline for QR identity and physical operations.</w:t>
            </w:r>
          </w:p>
        </w:tc>
      </w:tr>
      <w:tr>
        <w:tc>
          <w:tcPr>
            <w:tcW w:type="dxa" w:w="2376"/>
            <w:vAlign w:val="center"/>
            <w:shd w:fill="F3F6FA"/>
          </w:tcPr>
          <w:p>
            <w:pPr>
              <w:spacing w:after="20" w:before="20"/>
            </w:pPr>
            <w:r/>
            <w:r>
              <w:rPr>
                <w:color w:val="202B3C"/>
                <w:sz w:val="15"/>
              </w:rPr>
              <w:t>QR FRS v1.0, 18 Sep 2026</w:t>
            </w:r>
          </w:p>
        </w:tc>
        <w:tc>
          <w:tcPr>
            <w:tcW w:type="dxa" w:w="3888"/>
            <w:vAlign w:val="center"/>
            <w:shd w:fill="F3F6FA"/>
          </w:tcPr>
          <w:p>
            <w:pPr>
              <w:spacing w:after="20" w:before="20"/>
            </w:pPr>
            <w:r/>
            <w:r>
              <w:rPr>
                <w:color w:val="202B3C"/>
                <w:sz w:val="15"/>
              </w:rPr>
              <w:t>Screens, fields, status rules, roles, APIs and acceptance for QR inventory.</w:t>
            </w:r>
          </w:p>
        </w:tc>
        <w:tc>
          <w:tcPr>
            <w:tcW w:type="dxa" w:w="3456"/>
            <w:vAlign w:val="center"/>
            <w:shd w:fill="F3F6FA"/>
          </w:tcPr>
          <w:p>
            <w:pPr>
              <w:spacing w:after="20" w:before="20"/>
            </w:pPr>
            <w:r/>
            <w:r>
              <w:rPr>
                <w:color w:val="202B3C"/>
                <w:sz w:val="15"/>
              </w:rPr>
              <w:t>Implementation detail; citizen/owner UX is out of scope in this FRS.</w:t>
            </w:r>
          </w:p>
        </w:tc>
      </w:tr>
      <w:tr>
        <w:tc>
          <w:tcPr>
            <w:tcW w:type="dxa" w:w="2376"/>
            <w:vAlign w:val="center"/>
          </w:tcPr>
          <w:p>
            <w:pPr>
              <w:spacing w:after="20" w:before="20"/>
            </w:pPr>
            <w:r/>
            <w:r>
              <w:rPr>
                <w:color w:val="202B3C"/>
                <w:sz w:val="15"/>
              </w:rPr>
              <w:t>Master Handover v2.0, 30 Sep 2026</w:t>
            </w:r>
          </w:p>
        </w:tc>
        <w:tc>
          <w:tcPr>
            <w:tcW w:type="dxa" w:w="3888"/>
            <w:vAlign w:val="center"/>
          </w:tcPr>
          <w:p>
            <w:pPr>
              <w:spacing w:after="20" w:before="20"/>
            </w:pPr>
            <w:r/>
            <w:r>
              <w:rPr>
                <w:color w:val="202B3C"/>
                <w:sz w:val="15"/>
              </w:rPr>
              <w:t>Unified showroom and D2C channels, owner/public modules, safety, architecture and decisions.</w:t>
            </w:r>
          </w:p>
        </w:tc>
        <w:tc>
          <w:tcPr>
            <w:tcW w:type="dxa" w:w="3456"/>
            <w:vAlign w:val="center"/>
          </w:tcPr>
          <w:p>
            <w:pPr>
              <w:spacing w:after="20" w:before="20"/>
            </w:pPr>
            <w:r/>
            <w:r>
              <w:rPr>
                <w:color w:val="202B3C"/>
                <w:sz w:val="15"/>
              </w:rPr>
              <w:t>Master product scope.</w:t>
            </w:r>
          </w:p>
        </w:tc>
      </w:tr>
      <w:tr>
        <w:tc>
          <w:tcPr>
            <w:tcW w:type="dxa" w:w="2376"/>
            <w:vAlign w:val="center"/>
            <w:shd w:fill="F3F6FA"/>
          </w:tcPr>
          <w:p>
            <w:pPr>
              <w:spacing w:after="20" w:before="20"/>
            </w:pPr>
            <w:r/>
            <w:r>
              <w:rPr>
                <w:color w:val="202B3C"/>
                <w:sz w:val="15"/>
              </w:rPr>
              <w:t>Development Roadmap v1.0</w:t>
            </w:r>
          </w:p>
        </w:tc>
        <w:tc>
          <w:tcPr>
            <w:tcW w:type="dxa" w:w="3888"/>
            <w:vAlign w:val="center"/>
            <w:shd w:fill="F3F6FA"/>
          </w:tcPr>
          <w:p>
            <w:pPr>
              <w:spacing w:after="20" w:before="20"/>
            </w:pPr>
            <w:r/>
            <w:r>
              <w:rPr>
                <w:color w:val="202B3C"/>
                <w:sz w:val="15"/>
              </w:rPr>
              <w:t>Phases 0–7, 100K target, dependencies and global rules.</w:t>
            </w:r>
          </w:p>
        </w:tc>
        <w:tc>
          <w:tcPr>
            <w:tcW w:type="dxa" w:w="3456"/>
            <w:vAlign w:val="center"/>
            <w:shd w:fill="F3F6FA"/>
          </w:tcPr>
          <w:p>
            <w:pPr>
              <w:spacing w:after="20" w:before="20"/>
            </w:pPr>
            <w:r/>
            <w:r>
              <w:rPr>
                <w:color w:val="202B3C"/>
                <w:sz w:val="15"/>
              </w:rPr>
              <w:t>Retained; add D2C and distinct pilot/release gate.</w:t>
            </w:r>
          </w:p>
        </w:tc>
      </w:tr>
      <w:tr>
        <w:tc>
          <w:tcPr>
            <w:tcW w:type="dxa" w:w="2376"/>
            <w:vAlign w:val="center"/>
          </w:tcPr>
          <w:p>
            <w:pPr>
              <w:spacing w:after="20" w:before="20"/>
            </w:pPr>
            <w:r/>
            <w:r>
              <w:rPr>
                <w:color w:val="202B3C"/>
                <w:sz w:val="15"/>
              </w:rPr>
              <w:t>User flow, QR tag and SmartO logo images</w:t>
            </w:r>
          </w:p>
        </w:tc>
        <w:tc>
          <w:tcPr>
            <w:tcW w:type="dxa" w:w="3888"/>
            <w:vAlign w:val="center"/>
          </w:tcPr>
          <w:p>
            <w:pPr>
              <w:spacing w:after="20" w:before="20"/>
            </w:pPr>
            <w:r/>
            <w:r>
              <w:rPr>
                <w:color w:val="202B3C"/>
                <w:sz w:val="15"/>
              </w:rPr>
              <w:t>Two onboarding paths converge at activation; post-activation emergency, parking/issue and general message; blue brand direction.</w:t>
            </w:r>
          </w:p>
        </w:tc>
        <w:tc>
          <w:tcPr>
            <w:tcW w:type="dxa" w:w="3456"/>
            <w:vAlign w:val="center"/>
          </w:tcPr>
          <w:p>
            <w:pPr>
              <w:spacing w:after="20" w:before="20"/>
            </w:pPr>
            <w:r/>
            <w:r>
              <w:rPr>
                <w:color w:val="202B3C"/>
                <w:sz w:val="15"/>
              </w:rPr>
              <w:t>Journey and visual intent; final print/legal claims need approval.</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Authority order  </w:t>
            </w:r>
            <w:r>
              <w:rPr>
                <w:sz w:val="18"/>
              </w:rPr>
              <w:t>Use the approved master handover for product scope and QR FRS/BRD for QR lifecycle. If they conflict, record the discrepancy and obtain product-owner approval. Do not silently remove modules or treat competitor features as requirements.</w:t>
            </w:r>
          </w:p>
        </w:tc>
      </w:tr>
    </w:tbl>
    <w:p>
      <w:pPr>
        <w:spacing w:after="0"/>
      </w:pPr>
    </w:p>
    <w:p>
      <w:pPr>
        <w:pStyle w:val="Heading2"/>
        <w:keepNext/>
      </w:pPr>
      <w:r>
        <w:t>Scope split</w:t>
      </w:r>
    </w:p>
    <w:p>
      <w:pPr>
        <w:pStyle w:val="ListBullet"/>
        <w:spacing w:after="40"/>
      </w:pPr>
      <w:r>
        <w:t>QR core: batch/token, print manifest, QC, ledger inventory, dispatch/receipt, showroom allocation, assignment, installation, activation, block, replacement and deactivation.</w:t>
      </w:r>
    </w:p>
    <w:p>
      <w:pPr>
        <w:pStyle w:val="ListBullet"/>
        <w:spacing w:after="40"/>
      </w:pPr>
      <w:r>
        <w:t>Owner/citizen: owner onboarding, authorized contacts, vehicle management, scan gateway, parking/issue/emergency/general messages, notification, support.</w:t>
      </w:r>
    </w:p>
    <w:p>
      <w:pPr>
        <w:pStyle w:val="ListBullet"/>
        <w:spacing w:after="40"/>
      </w:pPr>
      <w:r>
        <w:t>Commerce: catalogue, cart, payment, orders, shipping, QR reservation and D2C activation.</w:t>
      </w:r>
    </w:p>
    <w:p>
      <w:pPr>
        <w:pStyle w:val="ListBullet"/>
        <w:spacing w:after="40"/>
      </w:pPr>
      <w:r>
        <w:t>Governance: admin, roles, configuration, reports, audit and integrations.</w:t>
      </w:r>
    </w:p>
    <w:p>
      <w:pPr>
        <w:pStyle w:val="ListBullet"/>
        <w:spacing w:after="40"/>
      </w:pPr>
      <w:r>
        <w:t>Out of scope unless separately approved: replacing VAHAN/RTO, police investigation, continuous tracking, replacing 112 and predictive analytics in initial release.</w:t>
      </w:r>
    </w:p>
    <w:p>
      <w:pPr>
        <w:pStyle w:val="Heading1"/>
        <w:keepNext/>
      </w:pPr>
      <w:r>
        <w:t>3. Whole-product flow</w:t>
      </w:r>
    </w:p>
    <w:p>
      <w:pPr>
        <w:pStyle w:val="Heading2"/>
        <w:keepNext/>
      </w:pPr>
      <w:r>
        <w:t>Acquisition and activation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0B1B3B"/>
          </w:tcPr>
          <w:p>
            <w:pPr>
              <w:spacing w:after="20"/>
            </w:pPr>
            <w:r/>
            <w:r>
              <w:rPr>
                <w:b/>
                <w:color w:val="FFFFFF"/>
                <w:sz w:val="16"/>
              </w:rPr>
              <w:t>Showroom / dealer</w:t>
            </w:r>
          </w:p>
        </w:tc>
        <w:tc>
          <w:tcPr>
            <w:tcW w:type="dxa" w:w="3024"/>
            <w:shd w:fill="0B1B3B"/>
          </w:tcPr>
          <w:p>
            <w:pPr>
              <w:spacing w:after="20"/>
            </w:pPr>
            <w:r/>
            <w:r>
              <w:rPr>
                <w:b/>
                <w:color w:val="FFFFFF"/>
                <w:sz w:val="16"/>
              </w:rPr>
              <w:t>Shared QR and vehicle core</w:t>
            </w:r>
          </w:p>
        </w:tc>
        <w:tc>
          <w:tcPr>
            <w:tcW w:type="dxa" w:w="3024"/>
            <w:shd w:fill="0B1B3B"/>
          </w:tcPr>
          <w:p>
            <w:pPr>
              <w:spacing w:after="20"/>
            </w:pPr>
            <w:r/>
            <w:r>
              <w:rPr>
                <w:b/>
                <w:color w:val="FFFFFF"/>
                <w:sz w:val="16"/>
              </w:rPr>
              <w:t>Individual / D2C</w:t>
            </w:r>
          </w:p>
        </w:tc>
      </w:tr>
      <w:tr>
        <w:tc>
          <w:tcPr>
            <w:tcW w:type="dxa" w:w="3024"/>
            <w:vAlign w:val="center"/>
          </w:tcPr>
          <w:p>
            <w:pPr>
              <w:spacing w:after="20" w:before="20"/>
            </w:pPr>
            <w:r/>
            <w:r>
              <w:rPr>
                <w:color w:val="202B3C"/>
                <w:sz w:val="15"/>
              </w:rPr>
              <w:t>Dealer approved; stock allocated</w:t>
            </w:r>
          </w:p>
        </w:tc>
        <w:tc>
          <w:tcPr>
            <w:tcW w:type="dxa" w:w="3024"/>
            <w:vAlign w:val="center"/>
          </w:tcPr>
          <w:p>
            <w:pPr>
              <w:spacing w:after="20" w:before="20"/>
            </w:pPr>
            <w:r/>
            <w:r>
              <w:rPr>
                <w:color w:val="202B3C"/>
                <w:sz w:val="15"/>
              </w:rPr>
              <w:t>Unique QR and secure token</w:t>
            </w:r>
          </w:p>
        </w:tc>
        <w:tc>
          <w:tcPr>
            <w:tcW w:type="dxa" w:w="3024"/>
            <w:vAlign w:val="center"/>
          </w:tcPr>
          <w:p>
            <w:pPr>
              <w:spacing w:after="20" w:before="20"/>
            </w:pPr>
            <w:r/>
            <w:r>
              <w:rPr>
                <w:color w:val="202B3C"/>
                <w:sz w:val="15"/>
              </w:rPr>
              <w:t>Customer browses and selects vehicle category</w:t>
            </w:r>
          </w:p>
        </w:tc>
      </w:tr>
      <w:tr>
        <w:tc>
          <w:tcPr>
            <w:tcW w:type="dxa" w:w="3024"/>
            <w:vAlign w:val="center"/>
            <w:shd w:fill="F3F6FA"/>
          </w:tcPr>
          <w:p>
            <w:pPr>
              <w:spacing w:after="20" w:before="20"/>
            </w:pPr>
            <w:r/>
            <w:r>
              <w:rPr>
                <w:color w:val="202B3C"/>
                <w:sz w:val="15"/>
              </w:rPr>
              <w:t>Receive/scan shipment; reconcile</w:t>
            </w:r>
          </w:p>
        </w:tc>
        <w:tc>
          <w:tcPr>
            <w:tcW w:type="dxa" w:w="3024"/>
            <w:vAlign w:val="center"/>
            <w:shd w:fill="F3F6FA"/>
          </w:tcPr>
          <w:p>
            <w:pPr>
              <w:spacing w:after="20" w:before="20"/>
            </w:pPr>
            <w:r/>
            <w:r>
              <w:rPr>
                <w:color w:val="202B3C"/>
                <w:sz w:val="15"/>
              </w:rPr>
              <w:t>QC-passed QR is eligible stock</w:t>
            </w:r>
          </w:p>
        </w:tc>
        <w:tc>
          <w:tcPr>
            <w:tcW w:type="dxa" w:w="3024"/>
            <w:vAlign w:val="center"/>
            <w:shd w:fill="F3F6FA"/>
          </w:tcPr>
          <w:p>
            <w:pPr>
              <w:spacing w:after="20" w:before="20"/>
            </w:pPr>
            <w:r/>
            <w:r>
              <w:rPr>
                <w:color w:val="202B3C"/>
                <w:sz w:val="15"/>
              </w:rPr>
              <w:t>Payment confirmed by verified server webhook</w:t>
            </w:r>
          </w:p>
        </w:tc>
      </w:tr>
      <w:tr>
        <w:tc>
          <w:tcPr>
            <w:tcW w:type="dxa" w:w="3024"/>
            <w:vAlign w:val="center"/>
          </w:tcPr>
          <w:p>
            <w:pPr>
              <w:spacing w:after="20" w:before="20"/>
            </w:pPr>
            <w:r/>
            <w:r>
              <w:rPr>
                <w:color w:val="202B3C"/>
                <w:sz w:val="15"/>
              </w:rPr>
              <w:t>Owner OTP/consent; vehicle verified</w:t>
            </w:r>
          </w:p>
        </w:tc>
        <w:tc>
          <w:tcPr>
            <w:tcW w:type="dxa" w:w="3024"/>
            <w:vAlign w:val="center"/>
          </w:tcPr>
          <w:p>
            <w:pPr>
              <w:spacing w:after="20" w:before="20"/>
            </w:pPr>
            <w:r/>
            <w:r>
              <w:rPr>
                <w:color w:val="202B3C"/>
                <w:sz w:val="15"/>
              </w:rPr>
              <w:t>QR lifecycle rules enforced</w:t>
            </w:r>
          </w:p>
        </w:tc>
        <w:tc>
          <w:tcPr>
            <w:tcW w:type="dxa" w:w="3024"/>
            <w:vAlign w:val="center"/>
          </w:tcPr>
          <w:p>
            <w:pPr>
              <w:spacing w:after="20" w:before="20"/>
            </w:pPr>
            <w:r/>
            <w:r>
              <w:rPr>
                <w:color w:val="202B3C"/>
                <w:sz w:val="15"/>
              </w:rPr>
              <w:t>One eligible QR reserved; reservation is not activation</w:t>
            </w:r>
          </w:p>
        </w:tc>
      </w:tr>
      <w:tr>
        <w:tc>
          <w:tcPr>
            <w:tcW w:type="dxa" w:w="3024"/>
            <w:vAlign w:val="center"/>
            <w:shd w:fill="F3F6FA"/>
          </w:tcPr>
          <w:p>
            <w:pPr>
              <w:spacing w:after="20" w:before="20"/>
            </w:pPr>
            <w:r/>
            <w:r>
              <w:rPr>
                <w:color w:val="202B3C"/>
                <w:sz w:val="15"/>
              </w:rPr>
              <w:t>Scan QR; assign to vehicle</w:t>
            </w:r>
          </w:p>
        </w:tc>
        <w:tc>
          <w:tcPr>
            <w:tcW w:type="dxa" w:w="3024"/>
            <w:vAlign w:val="center"/>
            <w:shd w:fill="F3F6FA"/>
          </w:tcPr>
          <w:p>
            <w:pPr>
              <w:spacing w:after="20" w:before="20"/>
            </w:pPr>
            <w:r/>
            <w:r>
              <w:rPr>
                <w:color w:val="202B3C"/>
                <w:sz w:val="15"/>
              </w:rPr>
              <w:t>Assignment separate from activation</w:t>
            </w:r>
          </w:p>
        </w:tc>
        <w:tc>
          <w:tcPr>
            <w:tcW w:type="dxa" w:w="3024"/>
            <w:vAlign w:val="center"/>
            <w:shd w:fill="F3F6FA"/>
          </w:tcPr>
          <w:p>
            <w:pPr>
              <w:spacing w:after="20" w:before="20"/>
            </w:pPr>
            <w:r/>
            <w:r>
              <w:rPr>
                <w:color w:val="202B3C"/>
                <w:sz w:val="15"/>
              </w:rPr>
              <w:t>Pack, dispatch and track delivery</w:t>
            </w:r>
          </w:p>
        </w:tc>
      </w:tr>
      <w:tr>
        <w:tc>
          <w:tcPr>
            <w:tcW w:type="dxa" w:w="3024"/>
            <w:vAlign w:val="center"/>
          </w:tcPr>
          <w:p>
            <w:pPr>
              <w:spacing w:after="20" w:before="20"/>
            </w:pPr>
            <w:r/>
            <w:r>
              <w:rPr>
                <w:color w:val="202B3C"/>
                <w:sz w:val="15"/>
              </w:rPr>
              <w:t>Install; final scan; approval</w:t>
            </w:r>
          </w:p>
        </w:tc>
        <w:tc>
          <w:tcPr>
            <w:tcW w:type="dxa" w:w="3024"/>
            <w:vAlign w:val="center"/>
          </w:tcPr>
          <w:p>
            <w:pPr>
              <w:spacing w:after="20" w:before="20"/>
            </w:pPr>
            <w:r/>
            <w:r>
              <w:rPr>
                <w:color w:val="202B3C"/>
                <w:sz w:val="15"/>
              </w:rPr>
              <w:t>Installation + final scan + authorization required</w:t>
            </w:r>
          </w:p>
        </w:tc>
        <w:tc>
          <w:tcPr>
            <w:tcW w:type="dxa" w:w="3024"/>
            <w:vAlign w:val="center"/>
          </w:tcPr>
          <w:p>
            <w:pPr>
              <w:spacing w:after="20" w:before="20"/>
            </w:pPr>
            <w:r/>
            <w:r>
              <w:rPr>
                <w:color w:val="202B3C"/>
                <w:sz w:val="15"/>
              </w:rPr>
              <w:t>OTP, vehicle link, physical scan and installation</w:t>
            </w:r>
          </w:p>
        </w:tc>
      </w:tr>
      <w:tr>
        <w:tc>
          <w:tcPr>
            <w:tcW w:type="dxa" w:w="3024"/>
            <w:vAlign w:val="center"/>
            <w:shd w:fill="F3F6FA"/>
          </w:tcPr>
          <w:p>
            <w:pPr>
              <w:spacing w:after="20" w:before="20"/>
            </w:pPr>
            <w:r/>
            <w:r>
              <w:rPr>
                <w:color w:val="202B3C"/>
                <w:sz w:val="15"/>
              </w:rPr>
              <w:t>Activate; complete delivery</w:t>
            </w:r>
          </w:p>
        </w:tc>
        <w:tc>
          <w:tcPr>
            <w:tcW w:type="dxa" w:w="3024"/>
            <w:vAlign w:val="center"/>
            <w:shd w:fill="F3F6FA"/>
          </w:tcPr>
          <w:p>
            <w:pPr>
              <w:spacing w:after="20" w:before="20"/>
            </w:pPr>
            <w:r/>
            <w:r>
              <w:rPr>
                <w:color w:val="202B3C"/>
                <w:sz w:val="15"/>
              </w:rPr>
              <w:t>Public gateway enabled only when ACTIVE</w:t>
            </w:r>
          </w:p>
        </w:tc>
        <w:tc>
          <w:tcPr>
            <w:tcW w:type="dxa" w:w="3024"/>
            <w:vAlign w:val="center"/>
            <w:shd w:fill="F3F6FA"/>
          </w:tcPr>
          <w:p>
            <w:pPr>
              <w:spacing w:after="20" w:before="20"/>
            </w:pPr>
            <w:r/>
            <w:r>
              <w:rPr>
                <w:color w:val="202B3C"/>
                <w:sz w:val="15"/>
              </w:rPr>
              <w:t>Activate after all checks</w:t>
            </w:r>
          </w:p>
        </w:tc>
      </w:tr>
    </w:tbl>
    <w:p>
      <w:pPr>
        <w:spacing w:after="0"/>
      </w:pPr>
    </w:p>
    <w:p>
      <w:pPr>
        <w:pStyle w:val="Heading2"/>
        <w:keepNext/>
      </w:pPr>
      <w:r>
        <w:t>After activation</w:t>
      </w:r>
    </w:p>
    <w:p>
      <w:r>
        <w:t>Bystander scans using phone camera → mobile web gateway resolves an opaque token → active status is checked → visitor selects a permitted reason (Emergency/Safety, Parking/Blocking, Vehicle Issue, Traffic/Safety Concern, General Message, Other) → required verification/consent → message or incident → owner/authorized contact notification → acknowledgement/response → closure and policy-based retention.</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Emergency guardrail  </w:t>
            </w:r>
            <w:r>
              <w:rPr>
                <w:sz w:val="18"/>
              </w:rPr>
              <w:t>Show approved emergency instructions and official numbers only after policy/legal approval. Medical profile, location sharing or escalation requires explicit scoped consent. Do not present the QR service as emergency dispatch.</w:t>
            </w:r>
          </w:p>
        </w:tc>
      </w:tr>
    </w:tbl>
    <w:p>
      <w:pPr>
        <w:spacing w:after="0"/>
      </w:pPr>
    </w:p>
    <w:p>
      <w:pPr>
        <w:pStyle w:val="Heading1"/>
        <w:keepNext/>
      </w:pPr>
      <w:r>
        <w:t>4. System blueprint</w:t>
      </w:r>
    </w:p>
    <w:p>
      <w:pPr>
        <w:pStyle w:val="Heading2"/>
        <w:keepNext/>
      </w:pPr>
      <w:r>
        <w:t>Applications and domain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0B1B3B"/>
          </w:tcPr>
          <w:p>
            <w:pPr>
              <w:spacing w:after="20"/>
            </w:pPr>
            <w:r/>
            <w:r>
              <w:rPr>
                <w:b/>
                <w:color w:val="FFFFFF"/>
                <w:sz w:val="16"/>
              </w:rPr>
              <w:t>Application/domain</w:t>
            </w:r>
          </w:p>
        </w:tc>
        <w:tc>
          <w:tcPr>
            <w:tcW w:type="dxa" w:w="5112"/>
            <w:shd w:fill="0B1B3B"/>
          </w:tcPr>
          <w:p>
            <w:pPr>
              <w:spacing w:after="20"/>
            </w:pPr>
            <w:r/>
            <w:r>
              <w:rPr>
                <w:b/>
                <w:color w:val="FFFFFF"/>
                <w:sz w:val="16"/>
              </w:rPr>
              <w:t>Responsibility</w:t>
            </w:r>
          </w:p>
        </w:tc>
        <w:tc>
          <w:tcPr>
            <w:tcW w:type="dxa" w:w="2232"/>
            <w:shd w:fill="0B1B3B"/>
          </w:tcPr>
          <w:p>
            <w:pPr>
              <w:spacing w:after="20"/>
            </w:pPr>
            <w:r/>
            <w:r>
              <w:rPr>
                <w:b/>
                <w:color w:val="FFFFFF"/>
                <w:sz w:val="16"/>
              </w:rPr>
              <w:t>Actors</w:t>
            </w:r>
          </w:p>
        </w:tc>
      </w:tr>
      <w:tr>
        <w:tc>
          <w:tcPr>
            <w:tcW w:type="dxa" w:w="2232"/>
            <w:vAlign w:val="center"/>
          </w:tcPr>
          <w:p>
            <w:pPr>
              <w:spacing w:after="20" w:before="20"/>
            </w:pPr>
            <w:r/>
            <w:r>
              <w:rPr>
                <w:color w:val="202B3C"/>
                <w:sz w:val="15"/>
              </w:rPr>
              <w:t>Central admin &amp; governance</w:t>
            </w:r>
          </w:p>
        </w:tc>
        <w:tc>
          <w:tcPr>
            <w:tcW w:type="dxa" w:w="5112"/>
            <w:vAlign w:val="center"/>
          </w:tcPr>
          <w:p>
            <w:pPr>
              <w:spacing w:after="20" w:before="20"/>
            </w:pPr>
            <w:r/>
            <w:r>
              <w:rPr>
                <w:color w:val="202B3C"/>
                <w:sz w:val="15"/>
              </w:rPr>
              <w:t>Program settings, approvals, organizations, policy, audit, reports.</w:t>
            </w:r>
          </w:p>
        </w:tc>
        <w:tc>
          <w:tcPr>
            <w:tcW w:type="dxa" w:w="2232"/>
            <w:vAlign w:val="center"/>
          </w:tcPr>
          <w:p>
            <w:pPr>
              <w:spacing w:after="20" w:before="20"/>
            </w:pPr>
            <w:r/>
            <w:r>
              <w:rPr>
                <w:color w:val="202B3C"/>
                <w:sz w:val="15"/>
              </w:rPr>
              <w:t>Super Admin, Program Admin</w:t>
            </w:r>
          </w:p>
        </w:tc>
      </w:tr>
      <w:tr>
        <w:tc>
          <w:tcPr>
            <w:tcW w:type="dxa" w:w="2232"/>
            <w:vAlign w:val="center"/>
            <w:shd w:fill="F3F6FA"/>
          </w:tcPr>
          <w:p>
            <w:pPr>
              <w:spacing w:after="20" w:before="20"/>
            </w:pPr>
            <w:r/>
            <w:r>
              <w:rPr>
                <w:color w:val="202B3C"/>
                <w:sz w:val="15"/>
              </w:rPr>
              <w:t>QR production &amp; inventory</w:t>
            </w:r>
          </w:p>
        </w:tc>
        <w:tc>
          <w:tcPr>
            <w:tcW w:type="dxa" w:w="5112"/>
            <w:vAlign w:val="center"/>
            <w:shd w:fill="F3F6FA"/>
          </w:tcPr>
          <w:p>
            <w:pPr>
              <w:spacing w:after="20" w:before="20"/>
            </w:pPr>
            <w:r/>
            <w:r>
              <w:rPr>
                <w:color w:val="202B3C"/>
                <w:sz w:val="15"/>
              </w:rPr>
              <w:t>Batches, QR master, print, QC, ledger, allocation, shipment, reconciliation.</w:t>
            </w:r>
          </w:p>
        </w:tc>
        <w:tc>
          <w:tcPr>
            <w:tcW w:type="dxa" w:w="2232"/>
            <w:vAlign w:val="center"/>
            <w:shd w:fill="F3F6FA"/>
          </w:tcPr>
          <w:p>
            <w:pPr>
              <w:spacing w:after="20" w:before="20"/>
            </w:pPr>
            <w:r/>
            <w:r>
              <w:rPr>
                <w:color w:val="202B3C"/>
                <w:sz w:val="15"/>
              </w:rPr>
              <w:t>Production, QC, Warehouse</w:t>
            </w:r>
          </w:p>
        </w:tc>
      </w:tr>
      <w:tr>
        <w:tc>
          <w:tcPr>
            <w:tcW w:type="dxa" w:w="2232"/>
            <w:vAlign w:val="center"/>
          </w:tcPr>
          <w:p>
            <w:pPr>
              <w:spacing w:after="20" w:before="20"/>
            </w:pPr>
            <w:r/>
            <w:r>
              <w:rPr>
                <w:color w:val="202B3C"/>
                <w:sz w:val="15"/>
              </w:rPr>
              <w:t>Showroom/dealer portal</w:t>
            </w:r>
          </w:p>
        </w:tc>
        <w:tc>
          <w:tcPr>
            <w:tcW w:type="dxa" w:w="5112"/>
            <w:vAlign w:val="center"/>
          </w:tcPr>
          <w:p>
            <w:pPr>
              <w:spacing w:after="20" w:before="20"/>
            </w:pPr>
            <w:r/>
            <w:r>
              <w:rPr>
                <w:color w:val="202B3C"/>
                <w:sz w:val="15"/>
              </w:rPr>
              <w:t>Approval, receipt, customer/vehicle checks, assignment, installation, activation.</w:t>
            </w:r>
          </w:p>
        </w:tc>
        <w:tc>
          <w:tcPr>
            <w:tcW w:type="dxa" w:w="2232"/>
            <w:vAlign w:val="center"/>
          </w:tcPr>
          <w:p>
            <w:pPr>
              <w:spacing w:after="20" w:before="20"/>
            </w:pPr>
            <w:r/>
            <w:r>
              <w:rPr>
                <w:color w:val="202B3C"/>
                <w:sz w:val="15"/>
              </w:rPr>
              <w:t>Dealer Admin/Manager/Operator</w:t>
            </w:r>
          </w:p>
        </w:tc>
      </w:tr>
      <w:tr>
        <w:tc>
          <w:tcPr>
            <w:tcW w:type="dxa" w:w="2232"/>
            <w:vAlign w:val="center"/>
            <w:shd w:fill="F3F6FA"/>
          </w:tcPr>
          <w:p>
            <w:pPr>
              <w:spacing w:after="20" w:before="20"/>
            </w:pPr>
            <w:r/>
            <w:r>
              <w:rPr>
                <w:color w:val="202B3C"/>
                <w:sz w:val="15"/>
              </w:rPr>
              <w:t>Owner portal/app</w:t>
            </w:r>
          </w:p>
        </w:tc>
        <w:tc>
          <w:tcPr>
            <w:tcW w:type="dxa" w:w="5112"/>
            <w:vAlign w:val="center"/>
            <w:shd w:fill="F3F6FA"/>
          </w:tcPr>
          <w:p>
            <w:pPr>
              <w:spacing w:after="20" w:before="20"/>
            </w:pPr>
            <w:r/>
            <w:r>
              <w:rPr>
                <w:color w:val="202B3C"/>
                <w:sz w:val="15"/>
              </w:rPr>
              <w:t>Vehicles, contacts, QR, inbox, lifecycle and support.</w:t>
            </w:r>
          </w:p>
        </w:tc>
        <w:tc>
          <w:tcPr>
            <w:tcW w:type="dxa" w:w="2232"/>
            <w:vAlign w:val="center"/>
            <w:shd w:fill="F3F6FA"/>
          </w:tcPr>
          <w:p>
            <w:pPr>
              <w:spacing w:after="20" w:before="20"/>
            </w:pPr>
            <w:r/>
            <w:r>
              <w:rPr>
                <w:color w:val="202B3C"/>
                <w:sz w:val="15"/>
              </w:rPr>
              <w:t>Owner, Authorized Contact</w:t>
            </w:r>
          </w:p>
        </w:tc>
      </w:tr>
      <w:tr>
        <w:tc>
          <w:tcPr>
            <w:tcW w:type="dxa" w:w="2232"/>
            <w:vAlign w:val="center"/>
          </w:tcPr>
          <w:p>
            <w:pPr>
              <w:spacing w:after="20" w:before="20"/>
            </w:pPr>
            <w:r/>
            <w:r>
              <w:rPr>
                <w:color w:val="202B3C"/>
                <w:sz w:val="15"/>
              </w:rPr>
              <w:t>Public scan web</w:t>
            </w:r>
          </w:p>
        </w:tc>
        <w:tc>
          <w:tcPr>
            <w:tcW w:type="dxa" w:w="5112"/>
            <w:vAlign w:val="center"/>
          </w:tcPr>
          <w:p>
            <w:pPr>
              <w:spacing w:after="20" w:before="20"/>
            </w:pPr>
            <w:r/>
            <w:r>
              <w:rPr>
                <w:color w:val="202B3C"/>
                <w:sz w:val="15"/>
              </w:rPr>
              <w:t>Fast mobile scan, reason, consent, verification and message.</w:t>
            </w:r>
          </w:p>
        </w:tc>
        <w:tc>
          <w:tcPr>
            <w:tcW w:type="dxa" w:w="2232"/>
            <w:vAlign w:val="center"/>
          </w:tcPr>
          <w:p>
            <w:pPr>
              <w:spacing w:after="20" w:before="20"/>
            </w:pPr>
            <w:r/>
            <w:r>
              <w:rPr>
                <w:color w:val="202B3C"/>
                <w:sz w:val="15"/>
              </w:rPr>
              <w:t>Citizen/bystander</w:t>
            </w:r>
          </w:p>
        </w:tc>
      </w:tr>
      <w:tr>
        <w:tc>
          <w:tcPr>
            <w:tcW w:type="dxa" w:w="2232"/>
            <w:vAlign w:val="center"/>
            <w:shd w:fill="F3F6FA"/>
          </w:tcPr>
          <w:p>
            <w:pPr>
              <w:spacing w:after="20" w:before="20"/>
            </w:pPr>
            <w:r/>
            <w:r>
              <w:rPr>
                <w:color w:val="202B3C"/>
                <w:sz w:val="15"/>
              </w:rPr>
              <w:t>D2C commerce</w:t>
            </w:r>
          </w:p>
        </w:tc>
        <w:tc>
          <w:tcPr>
            <w:tcW w:type="dxa" w:w="5112"/>
            <w:vAlign w:val="center"/>
            <w:shd w:fill="F3F6FA"/>
          </w:tcPr>
          <w:p>
            <w:pPr>
              <w:spacing w:after="20" w:before="20"/>
            </w:pPr>
            <w:r/>
            <w:r>
              <w:rPr>
                <w:color w:val="202B3C"/>
                <w:sz w:val="15"/>
              </w:rPr>
              <w:t>Catalogue, checkout, payment, order, reservation, pack/ship/return.</w:t>
            </w:r>
          </w:p>
        </w:tc>
        <w:tc>
          <w:tcPr>
            <w:tcW w:type="dxa" w:w="2232"/>
            <w:vAlign w:val="center"/>
            <w:shd w:fill="F3F6FA"/>
          </w:tcPr>
          <w:p>
            <w:pPr>
              <w:spacing w:after="20" w:before="20"/>
            </w:pPr>
            <w:r/>
            <w:r>
              <w:rPr>
                <w:color w:val="202B3C"/>
                <w:sz w:val="15"/>
              </w:rPr>
              <w:t>Customer, Commerce, Fulfilment</w:t>
            </w:r>
          </w:p>
        </w:tc>
      </w:tr>
      <w:tr>
        <w:tc>
          <w:tcPr>
            <w:tcW w:type="dxa" w:w="2232"/>
            <w:vAlign w:val="center"/>
          </w:tcPr>
          <w:p>
            <w:pPr>
              <w:spacing w:after="20" w:before="20"/>
            </w:pPr>
            <w:r/>
            <w:r>
              <w:rPr>
                <w:color w:val="202B3C"/>
                <w:sz w:val="15"/>
              </w:rPr>
              <w:t>Shared services</w:t>
            </w:r>
          </w:p>
        </w:tc>
        <w:tc>
          <w:tcPr>
            <w:tcW w:type="dxa" w:w="5112"/>
            <w:vAlign w:val="center"/>
          </w:tcPr>
          <w:p>
            <w:pPr>
              <w:spacing w:after="20" w:before="20"/>
            </w:pPr>
            <w:r/>
            <w:r>
              <w:rPr>
                <w:color w:val="202B3C"/>
                <w:sz w:val="15"/>
              </w:rPr>
              <w:t>Auth/RBAC, token, notification, audit, files, adapters, observability.</w:t>
            </w:r>
          </w:p>
        </w:tc>
        <w:tc>
          <w:tcPr>
            <w:tcW w:type="dxa" w:w="2232"/>
            <w:vAlign w:val="center"/>
          </w:tcPr>
          <w:p>
            <w:pPr>
              <w:spacing w:after="20" w:before="20"/>
            </w:pPr>
            <w:r/>
            <w:r>
              <w:rPr>
                <w:color w:val="202B3C"/>
                <w:sz w:val="15"/>
              </w:rPr>
              <w:t>All systems</w:t>
            </w:r>
          </w:p>
        </w:tc>
      </w:tr>
    </w:tbl>
    <w:p>
      <w:pPr>
        <w:spacing w:after="0"/>
      </w:pPr>
    </w:p>
    <w:p>
      <w:pPr>
        <w:pStyle w:val="Heading2"/>
        <w:keepNext/>
      </w:pPr>
      <w:r>
        <w:t>Recommended architecture baseline</w:t>
      </w:r>
    </w:p>
    <w:p>
      <w:pPr>
        <w:pStyle w:val="ListBullet"/>
        <w:spacing w:after="40"/>
      </w:pPr>
      <w:r>
        <w:t>Start as a modular monolith with clear domains and versioned APIs. Avoid premature microservices; preserve transactional QR, ledger and payment invariants.</w:t>
      </w:r>
    </w:p>
    <w:p>
      <w:pPr>
        <w:pStyle w:val="ListBullet"/>
        <w:spacing w:after="40"/>
      </w:pPr>
      <w:r>
        <w:t>PostgreSQL is authoritative. Cache/queue/search/analytics are derived and rebuildable.</w:t>
      </w:r>
    </w:p>
    <w:p>
      <w:pPr>
        <w:pStyle w:val="ListBullet"/>
        <w:spacing w:after="40"/>
      </w:pPr>
      <w:r>
        <w:t>Use retry-safe background jobs for notifications, exports, print files and shipment updates.</w:t>
      </w:r>
    </w:p>
    <w:p>
      <w:pPr>
        <w:pStyle w:val="ListBullet"/>
        <w:spacing w:after="40"/>
      </w:pPr>
      <w:r>
        <w:t>Isolate public scan traffic from authenticated workflows with rate limits and independent capacity controls.</w:t>
      </w:r>
    </w:p>
    <w:p>
      <w:pPr>
        <w:pStyle w:val="ListBullet"/>
        <w:spacing w:after="40"/>
      </w:pPr>
      <w:r>
        <w:t>Use adapters for OTP/SMS, email/push, payment, shipping and vehicle verification; sandbox/mock only in development.</w:t>
      </w:r>
    </w:p>
    <w:p>
      <w:pPr>
        <w:pStyle w:val="ListBullet"/>
        <w:spacing w:after="40"/>
      </w:pPr>
      <w:r>
        <w:t>Staging/production use migrations, secrets management, encrypted backup, monitoring, health checks and rollback procedures.</w:t>
      </w:r>
    </w:p>
    <w:p>
      <w:pPr>
        <w:pStyle w:val="Heading2"/>
        <w:keepNext/>
      </w:pPr>
      <w:r>
        <w:t>Core domain records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0B1B3B"/>
          </w:tcPr>
          <w:p>
            <w:pPr>
              <w:spacing w:after="20"/>
            </w:pPr>
            <w:r/>
            <w:r>
              <w:rPr>
                <w:b/>
                <w:color w:val="FFFFFF"/>
                <w:sz w:val="16"/>
              </w:rPr>
              <w:t>Entity group</w:t>
            </w:r>
          </w:p>
        </w:tc>
        <w:tc>
          <w:tcPr>
            <w:tcW w:type="dxa" w:w="7344"/>
            <w:shd w:fill="0B1B3B"/>
          </w:tcPr>
          <w:p>
            <w:pPr>
              <w:spacing w:after="20"/>
            </w:pPr>
            <w:r/>
            <w:r>
              <w:rPr>
                <w:b/>
                <w:color w:val="FFFFFF"/>
                <w:sz w:val="16"/>
              </w:rPr>
              <w:t>Minimum records / links</w:t>
            </w:r>
          </w:p>
        </w:tc>
      </w:tr>
      <w:tr>
        <w:tc>
          <w:tcPr>
            <w:tcW w:type="dxa" w:w="2232"/>
            <w:vAlign w:val="center"/>
          </w:tcPr>
          <w:p>
            <w:pPr>
              <w:spacing w:after="20" w:before="20"/>
            </w:pPr>
            <w:r/>
            <w:r>
              <w:rPr>
                <w:color w:val="202B3C"/>
                <w:sz w:val="15"/>
              </w:rPr>
              <w:t>Access</w:t>
            </w:r>
          </w:p>
        </w:tc>
        <w:tc>
          <w:tcPr>
            <w:tcW w:type="dxa" w:w="7344"/>
            <w:vAlign w:val="center"/>
          </w:tcPr>
          <w:p>
            <w:pPr>
              <w:spacing w:after="20" w:before="20"/>
            </w:pPr>
            <w:r/>
            <w:r>
              <w:rPr>
                <w:color w:val="202B3C"/>
                <w:sz w:val="15"/>
              </w:rPr>
              <w:t>users, roles, permissions, organizations, showrooms, sessions; owner/contact scope per vehicle.</w:t>
            </w:r>
          </w:p>
        </w:tc>
      </w:tr>
      <w:tr>
        <w:tc>
          <w:tcPr>
            <w:tcW w:type="dxa" w:w="2232"/>
            <w:vAlign w:val="center"/>
            <w:shd w:fill="F3F6FA"/>
          </w:tcPr>
          <w:p>
            <w:pPr>
              <w:spacing w:after="20" w:before="20"/>
            </w:pPr>
            <w:r/>
            <w:r>
              <w:rPr>
                <w:color w:val="202B3C"/>
                <w:sz w:val="15"/>
              </w:rPr>
              <w:t>Vehicle &amp; ownership</w:t>
            </w:r>
          </w:p>
        </w:tc>
        <w:tc>
          <w:tcPr>
            <w:tcW w:type="dxa" w:w="7344"/>
            <w:vAlign w:val="center"/>
            <w:shd w:fill="F3F6FA"/>
          </w:tcPr>
          <w:p>
            <w:pPr>
              <w:spacing w:after="20" w:before="20"/>
            </w:pPr>
            <w:r/>
            <w:r>
              <w:rPr>
                <w:color w:val="202B3C"/>
                <w:sz w:val="15"/>
              </w:rPr>
              <w:t>vehicles, verification evidence, ownership history; vehicle and current owner remain separate.</w:t>
            </w:r>
          </w:p>
        </w:tc>
      </w:tr>
      <w:tr>
        <w:tc>
          <w:tcPr>
            <w:tcW w:type="dxa" w:w="2232"/>
            <w:vAlign w:val="center"/>
          </w:tcPr>
          <w:p>
            <w:pPr>
              <w:spacing w:after="20" w:before="20"/>
            </w:pPr>
            <w:r/>
            <w:r>
              <w:rPr>
                <w:color w:val="202B3C"/>
                <w:sz w:val="15"/>
              </w:rPr>
              <w:t>QR supply</w:t>
            </w:r>
          </w:p>
        </w:tc>
        <w:tc>
          <w:tcPr>
            <w:tcW w:type="dxa" w:w="7344"/>
            <w:vAlign w:val="center"/>
          </w:tcPr>
          <w:p>
            <w:pPr>
              <w:spacing w:after="20" w:before="20"/>
            </w:pPr>
            <w:r/>
            <w:r>
              <w:rPr>
                <w:color w:val="202B3C"/>
                <w:sz w:val="15"/>
              </w:rPr>
              <w:t>qr_master, batch, token, print_job, qc_record, inventory_event, allocation, shipment, receipt, discrepancy.</w:t>
            </w:r>
          </w:p>
        </w:tc>
      </w:tr>
      <w:tr>
        <w:tc>
          <w:tcPr>
            <w:tcW w:type="dxa" w:w="2232"/>
            <w:vAlign w:val="center"/>
            <w:shd w:fill="F3F6FA"/>
          </w:tcPr>
          <w:p>
            <w:pPr>
              <w:spacing w:after="20" w:before="20"/>
            </w:pPr>
            <w:r/>
            <w:r>
              <w:rPr>
                <w:color w:val="202B3C"/>
                <w:sz w:val="15"/>
              </w:rPr>
              <w:t>Activation/lifecycle</w:t>
            </w:r>
          </w:p>
        </w:tc>
        <w:tc>
          <w:tcPr>
            <w:tcW w:type="dxa" w:w="7344"/>
            <w:vAlign w:val="center"/>
            <w:shd w:fill="F3F6FA"/>
          </w:tcPr>
          <w:p>
            <w:pPr>
              <w:spacing w:after="20" w:before="20"/>
            </w:pPr>
            <w:r/>
            <w:r>
              <w:rPr>
                <w:color w:val="202B3C"/>
                <w:sz w:val="15"/>
              </w:rPr>
              <w:t>QR-vehicle mapping, installation check, approval, block/deactivation, replacement and transfer.</w:t>
            </w:r>
          </w:p>
        </w:tc>
      </w:tr>
      <w:tr>
        <w:tc>
          <w:tcPr>
            <w:tcW w:type="dxa" w:w="2232"/>
            <w:vAlign w:val="center"/>
          </w:tcPr>
          <w:p>
            <w:pPr>
              <w:spacing w:after="20" w:before="20"/>
            </w:pPr>
            <w:r/>
            <w:r>
              <w:rPr>
                <w:color w:val="202B3C"/>
                <w:sz w:val="15"/>
              </w:rPr>
              <w:t>Communication</w:t>
            </w:r>
          </w:p>
        </w:tc>
        <w:tc>
          <w:tcPr>
            <w:tcW w:type="dxa" w:w="7344"/>
            <w:vAlign w:val="center"/>
          </w:tcPr>
          <w:p>
            <w:pPr>
              <w:spacing w:after="20" w:before="20"/>
            </w:pPr>
            <w:r/>
            <w:r>
              <w:rPr>
                <w:color w:val="202B3C"/>
                <w:sz w:val="15"/>
              </w:rPr>
              <w:t>scan event, conversation, message, category, consent, notification delivery, abuse report.</w:t>
            </w:r>
          </w:p>
        </w:tc>
      </w:tr>
      <w:tr>
        <w:tc>
          <w:tcPr>
            <w:tcW w:type="dxa" w:w="2232"/>
            <w:vAlign w:val="center"/>
            <w:shd w:fill="F3F6FA"/>
          </w:tcPr>
          <w:p>
            <w:pPr>
              <w:spacing w:after="20" w:before="20"/>
            </w:pPr>
            <w:r/>
            <w:r>
              <w:rPr>
                <w:color w:val="202B3C"/>
                <w:sz w:val="15"/>
              </w:rPr>
              <w:t>Commerce/support</w:t>
            </w:r>
          </w:p>
        </w:tc>
        <w:tc>
          <w:tcPr>
            <w:tcW w:type="dxa" w:w="7344"/>
            <w:vAlign w:val="center"/>
            <w:shd w:fill="F3F6FA"/>
          </w:tcPr>
          <w:p>
            <w:pPr>
              <w:spacing w:after="20" w:before="20"/>
            </w:pPr>
            <w:r/>
            <w:r>
              <w:rPr>
                <w:color w:val="202B3C"/>
                <w:sz w:val="15"/>
              </w:rPr>
              <w:t>product, cart, order, payment/webhook, QR reservation, fulfilment/shipment/return, ticket.</w:t>
            </w:r>
          </w:p>
        </w:tc>
      </w:tr>
      <w:tr>
        <w:tc>
          <w:tcPr>
            <w:tcW w:type="dxa" w:w="2232"/>
            <w:vAlign w:val="center"/>
          </w:tcPr>
          <w:p>
            <w:pPr>
              <w:spacing w:after="20" w:before="20"/>
            </w:pPr>
            <w:r/>
            <w:r>
              <w:rPr>
                <w:color w:val="202B3C"/>
                <w:sz w:val="15"/>
              </w:rPr>
              <w:t>Governance</w:t>
            </w:r>
          </w:p>
        </w:tc>
        <w:tc>
          <w:tcPr>
            <w:tcW w:type="dxa" w:w="7344"/>
            <w:vAlign w:val="center"/>
          </w:tcPr>
          <w:p>
            <w:pPr>
              <w:spacing w:after="20" w:before="20"/>
            </w:pPr>
            <w:r/>
            <w:r>
              <w:rPr>
                <w:color w:val="202B3C"/>
                <w:sz w:val="15"/>
              </w:rPr>
              <w:t>append-only audit, policy version, export record, integration event/outbox.</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Data-design note  </w:t>
            </w:r>
            <w:r>
              <w:rPr>
                <w:sz w:val="18"/>
              </w:rPr>
              <w:t>Lifecycle and inventory evidence is durable and append-only. Keep a current-state view for fast screens, but reconcile it to events. Add database uniqueness for public token, QR ID, active mappings and reservations.</w:t>
            </w:r>
          </w:p>
        </w:tc>
      </w:tr>
    </w:tbl>
    <w:p>
      <w:pPr>
        <w:spacing w:after="0"/>
      </w:pPr>
    </w:p>
    <w:p>
      <w:pPr>
        <w:pStyle w:val="Heading1"/>
        <w:keepNext/>
      </w:pPr>
      <w:r>
        <w:t>5. Delivery phases and exit gates</w:t>
      </w:r>
    </w:p>
    <w:p>
      <w:r>
        <w:t>Effort estimates are omitted because team size, technology, actual repository state and product decisions are unknown. Estimate each phase after source access and technical discovery.</w:t>
      </w:r>
    </w:p>
    <w:p>
      <w:pPr>
        <w:pStyle w:val="Heading2"/>
        <w:keepNext/>
      </w:pPr>
      <w:r>
        <w:t>Phase 0 — Product decisions, UX and engineering foundation</w:t>
      </w:r>
    </w:p>
    <w:p>
      <w:pPr>
        <w:pStyle w:val="ListBullet"/>
        <w:spacing w:after="40"/>
      </w:pPr>
      <w:r>
        <w:t>Confirm program authority, vehicle classes, dealer model, D2C scope and pilot geography.</w:t>
      </w:r>
    </w:p>
    <w:p>
      <w:pPr>
        <w:pStyle w:val="ListBullet"/>
        <w:spacing w:after="40"/>
      </w:pPr>
      <w:r>
        <w:t>Approve journeys, role matrix, state transitions, consent matrix, ERD, API patterns and audit events.</w:t>
      </w:r>
    </w:p>
    <w:p>
      <w:pPr>
        <w:pStyle w:val="ListBullet"/>
        <w:spacing w:after="40"/>
      </w:pPr>
      <w:r>
        <w:t>Set architecture, repo baseline, CI/CD, staging, migrations, secrets, observability, backup/restore and synthetic seed data.</w:t>
      </w:r>
    </w:p>
    <w:p>
      <w:pPr>
        <w:pStyle w:val="ListBullet"/>
        <w:spacing w:after="40"/>
      </w:pPr>
      <w:r>
        <w:t>Wireframes for admin, warehouse/QC, showroom, owner, public scan and D2C; mobile-first, Hindi/English plan.</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Exit gate  </w:t>
            </w:r>
            <w:r>
              <w:rPr>
                <w:sz w:val="18"/>
              </w:rPr>
              <w:t>Gate: policy decisions have owners/dates; UX/contracts approved; staging deploys from source; login/RBAC, audit skeleton, health checks and deterministic migrations work.</w:t>
            </w:r>
          </w:p>
        </w:tc>
      </w:tr>
    </w:tbl>
    <w:p>
      <w:pPr>
        <w:spacing w:after="0"/>
      </w:pPr>
    </w:p>
    <w:p>
      <w:pPr>
        <w:pStyle w:val="Heading2"/>
        <w:keepNext/>
      </w:pPr>
      <w:r>
        <w:t>Phase 1 — QR identity, batch and secure generation</w:t>
      </w:r>
    </w:p>
    <w:p>
      <w:pPr>
        <w:pStyle w:val="ListBullet"/>
        <w:spacing w:after="40"/>
      </w:pPr>
      <w:r>
        <w:t>QR master/batch manager, random token, unique readable QR ID, count/range validation and exception handling.</w:t>
      </w:r>
    </w:p>
    <w:p>
      <w:pPr>
        <w:pStyle w:val="ListBullet"/>
        <w:spacing w:after="40"/>
      </w:pPr>
      <w:r>
        <w:t>Controlled GENERATED to PRINT_QUEUED state machine; server-side roles; searchable lifecycle timeline.</w:t>
      </w:r>
    </w:p>
    <w:p>
      <w:pPr>
        <w:pStyle w:val="ListBullet"/>
        <w:spacing w:after="40"/>
      </w:pPr>
      <w:r>
        <w:t>Controlled print manifest with template version and minimum vendor data; no owner PII.</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Exit gate  </w:t>
            </w:r>
            <w:r>
              <w:rPr>
                <w:sz w:val="18"/>
              </w:rPr>
              <w:t>Gate: 10,000-record batch has exact counts, no collisions, complete audit, repeat-safe requests and no transition bypass.</w:t>
            </w:r>
          </w:p>
        </w:tc>
      </w:tr>
    </w:tbl>
    <w:p>
      <w:pPr>
        <w:spacing w:after="0"/>
      </w:pPr>
    </w:p>
    <w:p>
      <w:pPr>
        <w:pStyle w:val="Heading2"/>
        <w:keepNext/>
      </w:pPr>
      <w:r>
        <w:t>Phase 2 — Print, QC, warehouse and showroom stock</w:t>
      </w:r>
    </w:p>
    <w:p>
      <w:pPr>
        <w:pStyle w:val="ListBullet"/>
        <w:spacing w:after="40"/>
      </w:pPr>
      <w:r>
        <w:t>Print job/vendor workflow, scan QC, pass/fail evidence and segregated failed stock.</w:t>
      </w:r>
    </w:p>
    <w:p>
      <w:pPr>
        <w:pStyle w:val="ListBullet"/>
        <w:spacing w:after="40"/>
      </w:pPr>
      <w:r>
        <w:t>Append-only ledger; allocation, dispatch, receipt, partial receipt and discrepancy workflow.</w:t>
      </w:r>
    </w:p>
    <w:p>
      <w:pPr>
        <w:pStyle w:val="ListBullet"/>
        <w:spacing w:after="40"/>
      </w:pPr>
      <w:r>
        <w:t>Reports reconcile physical stock by QR/location; threshold and exception alerts.</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Exit gate  </w:t>
            </w:r>
            <w:r>
              <w:rPr>
                <w:sz w:val="18"/>
              </w:rPr>
              <w:t>Gate: every QC-passed unit traces through print/location; failed QR cannot allocate; variance cannot be silently adjusted.</w:t>
            </w:r>
          </w:p>
        </w:tc>
      </w:tr>
    </w:tbl>
    <w:p>
      <w:pPr>
        <w:spacing w:after="0"/>
      </w:pPr>
    </w:p>
    <w:p>
      <w:pPr>
        <w:pStyle w:val="Heading2"/>
        <w:keepNext/>
      </w:pPr>
      <w:r>
        <w:t>Phase 3 — Showroom, vehicle verification and activation</w:t>
      </w:r>
    </w:p>
    <w:p>
      <w:pPr>
        <w:pStyle w:val="ListBullet"/>
        <w:spacing w:after="40"/>
      </w:pPr>
      <w:r>
        <w:t>Showroom approval/users; scan receipt; eligible vehicle; owner OTP/consent and verification adapter.</w:t>
      </w:r>
    </w:p>
    <w:p>
      <w:pPr>
        <w:pStyle w:val="ListBullet"/>
        <w:spacing w:after="40"/>
      </w:pPr>
      <w:r>
        <w:t>Scan before assignment; enforce uniqueness; installation checklist, final scan and authorized activation.</w:t>
      </w:r>
    </w:p>
    <w:p>
      <w:pPr>
        <w:pStyle w:val="ListBullet"/>
        <w:spacing w:after="40"/>
      </w:pPr>
      <w:r>
        <w:t>Correction, wrong assignment, pending-age alerts, daily stock reconciliation and delivery.</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Exit gate  </w:t>
            </w:r>
            <w:r>
              <w:rPr>
                <w:sz w:val="18"/>
              </w:rPr>
              <w:t>Gate: showroom UAT passes; assignment never activates; only verified/in-stock QR activates after installation; concurrent duplicates rejected.</w:t>
            </w:r>
          </w:p>
        </w:tc>
      </w:tr>
    </w:tbl>
    <w:p>
      <w:pPr>
        <w:spacing w:after="0"/>
      </w:pPr>
    </w:p>
    <w:p>
      <w:pPr>
        <w:pStyle w:val="Heading2"/>
        <w:keepNext/>
      </w:pPr>
      <w:r>
        <w:t>Phase 4 — Owner account and authorized contacts</w:t>
      </w:r>
    </w:p>
    <w:p>
      <w:pPr>
        <w:pStyle w:val="ListBullet"/>
        <w:spacing w:after="40"/>
      </w:pPr>
      <w:r>
        <w:t>OTP account/recovery; multiple vehicles; QR status and lifecycle requests.</w:t>
      </w:r>
    </w:p>
    <w:p>
      <w:pPr>
        <w:pStyle w:val="ListBullet"/>
        <w:spacing w:after="40"/>
      </w:pPr>
      <w:r>
        <w:t>Invited authorized contacts with per-vehicle permissions, revoke/expiry and notification settings.</w:t>
      </w:r>
    </w:p>
    <w:p>
      <w:pPr>
        <w:pStyle w:val="ListBullet"/>
        <w:spacing w:after="40"/>
      </w:pPr>
      <w:r>
        <w:t>Inbox/history, support tickets and ownership-change workflow.</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Exit gate  </w:t>
            </w:r>
            <w:r>
              <w:rPr>
                <w:sz w:val="18"/>
              </w:rPr>
              <w:t>Gate: only verified linked vehicles are visible; permissions are scoped/revocable; transfer preserves history.</w:t>
            </w:r>
          </w:p>
        </w:tc>
      </w:tr>
    </w:tbl>
    <w:p>
      <w:pPr>
        <w:spacing w:after="0"/>
      </w:pPr>
    </w:p>
    <w:p>
      <w:pPr>
        <w:pStyle w:val="Heading2"/>
        <w:keepNext/>
      </w:pPr>
      <w:r>
        <w:t>Phase 5 — Public scan, communication and safety</w:t>
      </w:r>
    </w:p>
    <w:p>
      <w:pPr>
        <w:pStyle w:val="ListBullet"/>
        <w:spacing w:after="40"/>
      </w:pPr>
      <w:r>
        <w:t>App-free accessible mobile web; opaque token; generic inactive/blocked result.</w:t>
      </w:r>
    </w:p>
    <w:p>
      <w:pPr>
        <w:pStyle w:val="ListBullet"/>
        <w:spacing w:after="40"/>
      </w:pPr>
      <w:r>
        <w:t>Reason, minimal form, OTP policy, optional location/photo consent, abuse/rate limits and routing.</w:t>
      </w:r>
    </w:p>
    <w:p>
      <w:pPr>
        <w:pStyle w:val="ListBullet"/>
        <w:spacing w:after="40"/>
      </w:pPr>
      <w:r>
        <w:t>Thread, owner response/close, delivery/retry status and escalation.</w:t>
      </w:r>
    </w:p>
    <w:p>
      <w:pPr>
        <w:pStyle w:val="ListBullet"/>
        <w:spacing w:after="40"/>
      </w:pPr>
      <w:r>
        <w:t>Safety/official guidance only after policy approval; defer medical data unless purpose/access/retention approved.</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Exit gate  </w:t>
            </w:r>
            <w:r>
              <w:rPr>
                <w:sz w:val="18"/>
              </w:rPr>
              <w:t>Gate: phone scan works without app; no PII leaks; consent and category rules enforced; abuse controls isolated.</w:t>
            </w:r>
          </w:p>
        </w:tc>
      </w:tr>
    </w:tbl>
    <w:p>
      <w:pPr>
        <w:spacing w:after="0"/>
      </w:pPr>
    </w:p>
    <w:p>
      <w:pPr>
        <w:pStyle w:val="Heading2"/>
        <w:keepNext/>
      </w:pPr>
      <w:r>
        <w:t>Phase 6 — D2C purchase, payment and fulfilment</w:t>
      </w:r>
    </w:p>
    <w:p>
      <w:pPr>
        <w:pStyle w:val="ListBullet"/>
        <w:spacing w:after="40"/>
      </w:pPr>
      <w:r>
        <w:t>Configurable catalogue/variant/pricing, cart, tax, address and policy consent.</w:t>
      </w:r>
    </w:p>
    <w:p>
      <w:pPr>
        <w:pStyle w:val="ListBullet"/>
        <w:spacing w:after="40"/>
      </w:pPr>
      <w:r>
        <w:t>Verified payment webhook, idempotent order, one QR per paid order reservation.</w:t>
      </w:r>
    </w:p>
    <w:p>
      <w:pPr>
        <w:pStyle w:val="ListBullet"/>
        <w:spacing w:after="40"/>
      </w:pPr>
      <w:r>
        <w:t>Pack, dispatch, delivery, return/cancel/refund and exception queue.</w:t>
      </w:r>
    </w:p>
    <w:p>
      <w:pPr>
        <w:pStyle w:val="ListBullet"/>
        <w:spacing w:after="40"/>
      </w:pPr>
      <w:r>
        <w:t>OTP onboarding, order-linked QR scan, vehicle, installation and final activation.</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Exit gate  </w:t>
            </w:r>
            <w:r>
              <w:rPr>
                <w:sz w:val="18"/>
              </w:rPr>
              <w:t>Gate: repeated webhook creates one order/reservation; return/refund reconciles money and QR stock; delivery does not activate.</w:t>
            </w:r>
          </w:p>
        </w:tc>
      </w:tr>
    </w:tbl>
    <w:p>
      <w:pPr>
        <w:spacing w:after="0"/>
      </w:pPr>
    </w:p>
    <w:p>
      <w:pPr>
        <w:pStyle w:val="Heading2"/>
        <w:keepNext/>
      </w:pPr>
      <w:r>
        <w:t>Phase 7 — Integrations, security, UAT and pilot</w:t>
      </w:r>
    </w:p>
    <w:p>
      <w:pPr>
        <w:pStyle w:val="ListBullet"/>
        <w:spacing w:after="40"/>
      </w:pPr>
      <w:r>
        <w:t>Approved OTP, notification, payment, shipping and vehicle providers; named operational owners.</w:t>
      </w:r>
    </w:p>
    <w:p>
      <w:pPr>
        <w:pStyle w:val="ListBullet"/>
        <w:spacing w:after="40"/>
      </w:pPr>
      <w:r>
        <w:t>Role-based UAT; resolve critical defects; privacy/security and public abuse review.</w:t>
      </w:r>
    </w:p>
    <w:p>
      <w:pPr>
        <w:pStyle w:val="ListBullet"/>
        <w:spacing w:after="40"/>
      </w:pPr>
      <w:r>
        <w:t>Performance/load test, restore, rollback, incident runbook, monitoring and escalation.</w:t>
      </w:r>
    </w:p>
    <w:p>
      <w:pPr>
        <w:pStyle w:val="ListBullet"/>
        <w:spacing w:after="40"/>
      </w:pPr>
      <w:r>
        <w:t>Pilot with named locations and batch sizes; measure scan success, stock, activation, delivery and support.</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Exit gate  </w:t>
            </w:r>
            <w:r>
              <w:rPr>
                <w:sz w:val="18"/>
              </w:rPr>
              <w:t>Gate: signed UAT, SLA/SLO, RPO/RTO, restore proof, rollback and pilot approval.</w:t>
            </w:r>
          </w:p>
        </w:tc>
      </w:tr>
    </w:tbl>
    <w:p>
      <w:pPr>
        <w:spacing w:after="0"/>
      </w:pPr>
    </w:p>
    <w:p>
      <w:pPr>
        <w:pStyle w:val="Heading2"/>
        <w:keepNext/>
      </w:pPr>
      <w:r>
        <w:t>Phase 8 — Measured optimization and expansion</w:t>
      </w:r>
    </w:p>
    <w:p>
      <w:pPr>
        <w:pStyle w:val="ListBullet"/>
        <w:spacing w:after="40"/>
      </w:pPr>
      <w:r>
        <w:t>Optimize measured bottlenecks; avoid speculative service extraction.</w:t>
      </w:r>
    </w:p>
    <w:p>
      <w:pPr>
        <w:pStyle w:val="ListBullet"/>
        <w:spacing w:after="40"/>
      </w:pPr>
      <w:r>
        <w:t>Expand only when training, vendor capacity, stock and support are ready.</w:t>
      </w:r>
    </w:p>
    <w:p>
      <w:pPr>
        <w:pStyle w:val="ListBullet"/>
        <w:spacing w:after="40"/>
      </w:pPr>
      <w:r>
        <w:t>Preserve retention/access rules in archive, analytics and search.</w:t>
      </w: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Exit gate  </w:t>
            </w:r>
            <w:r>
              <w:rPr>
                <w:sz w:val="18"/>
              </w:rPr>
              <w:t>Gate: every change has baseline/target metric, correctness evidence, owner and rollback.</w:t>
            </w:r>
          </w:p>
        </w:tc>
      </w:tr>
    </w:tbl>
    <w:p>
      <w:pPr>
        <w:spacing w:after="0"/>
      </w:pPr>
    </w:p>
    <w:p>
      <w:pPr>
        <w:pStyle w:val="Heading1"/>
        <w:keepNext/>
      </w:pPr>
      <w:r>
        <w:t>6. Cross-cutting acceptance checklist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0B1B3B"/>
          </w:tcPr>
          <w:p>
            <w:pPr>
              <w:spacing w:after="20"/>
            </w:pPr>
            <w:r/>
            <w:r>
              <w:rPr>
                <w:b/>
                <w:color w:val="FFFFFF"/>
                <w:sz w:val="16"/>
              </w:rPr>
              <w:t>Area</w:t>
            </w:r>
          </w:p>
        </w:tc>
        <w:tc>
          <w:tcPr>
            <w:tcW w:type="dxa" w:w="7560"/>
            <w:shd w:fill="0B1B3B"/>
          </w:tcPr>
          <w:p>
            <w:pPr>
              <w:spacing w:after="20"/>
            </w:pPr>
            <w:r/>
            <w:r>
              <w:rPr>
                <w:b/>
                <w:color w:val="FFFFFF"/>
                <w:sz w:val="16"/>
              </w:rPr>
              <w:t>Evidence for sign-off</w:t>
            </w:r>
          </w:p>
        </w:tc>
      </w:tr>
      <w:tr>
        <w:tc>
          <w:tcPr>
            <w:tcW w:type="dxa" w:w="1944"/>
            <w:vAlign w:val="center"/>
          </w:tcPr>
          <w:p>
            <w:pPr>
              <w:spacing w:after="20" w:before="20"/>
            </w:pPr>
            <w:r/>
            <w:r>
              <w:rPr>
                <w:color w:val="202B3C"/>
                <w:sz w:val="15"/>
              </w:rPr>
              <w:t>Identity</w:t>
            </w:r>
          </w:p>
        </w:tc>
        <w:tc>
          <w:tcPr>
            <w:tcW w:type="dxa" w:w="7560"/>
            <w:vAlign w:val="center"/>
          </w:tcPr>
          <w:p>
            <w:pPr>
              <w:spacing w:after="20" w:before="20"/>
            </w:pPr>
            <w:r/>
            <w:r>
              <w:rPr>
                <w:color w:val="202B3C"/>
                <w:sz w:val="15"/>
              </w:rPr>
              <w:t>Unique QR ID/token; unguessable public token; no owner data in QR payload.</w:t>
            </w:r>
          </w:p>
        </w:tc>
      </w:tr>
      <w:tr>
        <w:tc>
          <w:tcPr>
            <w:tcW w:type="dxa" w:w="1944"/>
            <w:vAlign w:val="center"/>
            <w:shd w:fill="F3F6FA"/>
          </w:tcPr>
          <w:p>
            <w:pPr>
              <w:spacing w:after="20" w:before="20"/>
            </w:pPr>
            <w:r/>
            <w:r>
              <w:rPr>
                <w:color w:val="202B3C"/>
                <w:sz w:val="15"/>
              </w:rPr>
              <w:t>State machine</w:t>
            </w:r>
          </w:p>
        </w:tc>
        <w:tc>
          <w:tcPr>
            <w:tcW w:type="dxa" w:w="7560"/>
            <w:vAlign w:val="center"/>
            <w:shd w:fill="F3F6FA"/>
          </w:tcPr>
          <w:p>
            <w:pPr>
              <w:spacing w:after="20" w:before="20"/>
            </w:pPr>
            <w:r/>
            <w:r>
              <w:rPr>
                <w:color w:val="202B3C"/>
                <w:sz w:val="15"/>
              </w:rPr>
              <w:t>Only allowed transitions succeed; roles/state checked server-side; rejection audited.</w:t>
            </w:r>
          </w:p>
        </w:tc>
      </w:tr>
      <w:tr>
        <w:tc>
          <w:tcPr>
            <w:tcW w:type="dxa" w:w="1944"/>
            <w:vAlign w:val="center"/>
          </w:tcPr>
          <w:p>
            <w:pPr>
              <w:spacing w:after="20" w:before="20"/>
            </w:pPr>
            <w:r/>
            <w:r>
              <w:rPr>
                <w:color w:val="202B3C"/>
                <w:sz w:val="15"/>
              </w:rPr>
              <w:t>Inventory</w:t>
            </w:r>
          </w:p>
        </w:tc>
        <w:tc>
          <w:tcPr>
            <w:tcW w:type="dxa" w:w="7560"/>
            <w:vAlign w:val="center"/>
          </w:tcPr>
          <w:p>
            <w:pPr>
              <w:spacing w:after="20" w:before="20"/>
            </w:pPr>
            <w:r/>
            <w:r>
              <w:rPr>
                <w:color w:val="202B3C"/>
                <w:sz w:val="15"/>
              </w:rPr>
              <w:t>Every move is a ledger event; physical/digital count reconciles.</w:t>
            </w:r>
          </w:p>
        </w:tc>
      </w:tr>
      <w:tr>
        <w:tc>
          <w:tcPr>
            <w:tcW w:type="dxa" w:w="1944"/>
            <w:vAlign w:val="center"/>
            <w:shd w:fill="F3F6FA"/>
          </w:tcPr>
          <w:p>
            <w:pPr>
              <w:spacing w:after="20" w:before="20"/>
            </w:pPr>
            <w:r/>
            <w:r>
              <w:rPr>
                <w:color w:val="202B3C"/>
                <w:sz w:val="15"/>
              </w:rPr>
              <w:t>Activation</w:t>
            </w:r>
          </w:p>
        </w:tc>
        <w:tc>
          <w:tcPr>
            <w:tcW w:type="dxa" w:w="7560"/>
            <w:vAlign w:val="center"/>
            <w:shd w:fill="F3F6FA"/>
          </w:tcPr>
          <w:p>
            <w:pPr>
              <w:spacing w:after="20" w:before="20"/>
            </w:pPr>
            <w:r/>
            <w:r>
              <w:rPr>
                <w:color w:val="202B3C"/>
                <w:sz w:val="15"/>
              </w:rPr>
              <w:t>Assignment/reservation/delivery never activates; final scan and approval required.</w:t>
            </w:r>
          </w:p>
        </w:tc>
      </w:tr>
      <w:tr>
        <w:tc>
          <w:tcPr>
            <w:tcW w:type="dxa" w:w="1944"/>
            <w:vAlign w:val="center"/>
          </w:tcPr>
          <w:p>
            <w:pPr>
              <w:spacing w:after="20" w:before="20"/>
            </w:pPr>
            <w:r/>
            <w:r>
              <w:rPr>
                <w:color w:val="202B3C"/>
                <w:sz w:val="15"/>
              </w:rPr>
              <w:t>Privacy</w:t>
            </w:r>
          </w:p>
        </w:tc>
        <w:tc>
          <w:tcPr>
            <w:tcW w:type="dxa" w:w="7560"/>
            <w:vAlign w:val="center"/>
          </w:tcPr>
          <w:p>
            <w:pPr>
              <w:spacing w:after="20" w:before="20"/>
            </w:pPr>
            <w:r/>
            <w:r>
              <w:rPr>
                <w:color w:val="202B3C"/>
                <w:sz w:val="15"/>
              </w:rPr>
              <w:t>Public responses/API/analytics avoid PII; purpose and policy version logged; revocation works.</w:t>
            </w:r>
          </w:p>
        </w:tc>
      </w:tr>
      <w:tr>
        <w:tc>
          <w:tcPr>
            <w:tcW w:type="dxa" w:w="1944"/>
            <w:vAlign w:val="center"/>
            <w:shd w:fill="F3F6FA"/>
          </w:tcPr>
          <w:p>
            <w:pPr>
              <w:spacing w:after="20" w:before="20"/>
            </w:pPr>
            <w:r/>
            <w:r>
              <w:rPr>
                <w:color w:val="202B3C"/>
                <w:sz w:val="15"/>
              </w:rPr>
              <w:t>Commerce</w:t>
            </w:r>
          </w:p>
        </w:tc>
        <w:tc>
          <w:tcPr>
            <w:tcW w:type="dxa" w:w="7560"/>
            <w:vAlign w:val="center"/>
            <w:shd w:fill="F3F6FA"/>
          </w:tcPr>
          <w:p>
            <w:pPr>
              <w:spacing w:after="20" w:before="20"/>
            </w:pPr>
            <w:r/>
            <w:r>
              <w:rPr>
                <w:color w:val="202B3C"/>
                <w:sz w:val="15"/>
              </w:rPr>
              <w:t>Verified webhook/idempotency; one QR per order; return/refund traceable.</w:t>
            </w:r>
          </w:p>
        </w:tc>
      </w:tr>
      <w:tr>
        <w:tc>
          <w:tcPr>
            <w:tcW w:type="dxa" w:w="1944"/>
            <w:vAlign w:val="center"/>
          </w:tcPr>
          <w:p>
            <w:pPr>
              <w:spacing w:after="20" w:before="20"/>
            </w:pPr>
            <w:r/>
            <w:r>
              <w:rPr>
                <w:color w:val="202B3C"/>
                <w:sz w:val="15"/>
              </w:rPr>
              <w:t>Communication</w:t>
            </w:r>
          </w:p>
        </w:tc>
        <w:tc>
          <w:tcPr>
            <w:tcW w:type="dxa" w:w="7560"/>
            <w:vAlign w:val="center"/>
          </w:tcPr>
          <w:p>
            <w:pPr>
              <w:spacing w:after="20" w:before="20"/>
            </w:pPr>
            <w:r/>
            <w:r>
              <w:rPr>
                <w:color w:val="202B3C"/>
                <w:sz w:val="15"/>
              </w:rPr>
              <w:t>Thread, delivery/retry/failure and closure visible; abuse controls exist.</w:t>
            </w:r>
          </w:p>
        </w:tc>
      </w:tr>
      <w:tr>
        <w:tc>
          <w:tcPr>
            <w:tcW w:type="dxa" w:w="1944"/>
            <w:vAlign w:val="center"/>
            <w:shd w:fill="F3F6FA"/>
          </w:tcPr>
          <w:p>
            <w:pPr>
              <w:spacing w:after="20" w:before="20"/>
            </w:pPr>
            <w:r/>
            <w:r>
              <w:rPr>
                <w:color w:val="202B3C"/>
                <w:sz w:val="15"/>
              </w:rPr>
              <w:t>Recovery</w:t>
            </w:r>
          </w:p>
        </w:tc>
        <w:tc>
          <w:tcPr>
            <w:tcW w:type="dxa" w:w="7560"/>
            <w:vAlign w:val="center"/>
            <w:shd w:fill="F3F6FA"/>
          </w:tcPr>
          <w:p>
            <w:pPr>
              <w:spacing w:after="20" w:before="20"/>
            </w:pPr>
            <w:r/>
            <w:r>
              <w:rPr>
                <w:color w:val="202B3C"/>
                <w:sz w:val="15"/>
              </w:rPr>
              <w:t>Encrypted backup restores; agreed load/failure SLO met; public load isolated.</w:t>
            </w:r>
          </w:p>
        </w:tc>
      </w:tr>
    </w:tbl>
    <w:p>
      <w:pPr>
        <w:spacing w:after="0"/>
      </w:pPr>
    </w:p>
    <w:p>
      <w:pPr>
        <w:pStyle w:val="Heading2"/>
        <w:keepNext/>
      </w:pPr>
      <w:r>
        <w:t>Suggested initial UAT scenarios</w:t>
      </w:r>
    </w:p>
    <w:p>
      <w:pPr>
        <w:pStyle w:val="ListNumber"/>
        <w:spacing w:after="40"/>
      </w:pPr>
      <w:r>
        <w:t>Generate 1,000/10,000 QR records; exact count, no duplicate QR ID/token.</w:t>
      </w:r>
    </w:p>
    <w:p>
      <w:pPr>
        <w:pStyle w:val="ListNumber"/>
        <w:spacing w:after="40"/>
      </w:pPr>
      <w:r>
        <w:t>QC valid and mismatched/blurred print; only valid item reaches stock.</w:t>
      </w:r>
    </w:p>
    <w:p>
      <w:pPr>
        <w:pStyle w:val="ListNumber"/>
        <w:spacing w:after="40"/>
      </w:pPr>
      <w:r>
        <w:t>Dispatch 500, receive 490; create ten-item exception without manual stock edit.</w:t>
      </w:r>
    </w:p>
    <w:p>
      <w:pPr>
        <w:pStyle w:val="ListNumber"/>
        <w:spacing w:after="40"/>
      </w:pPr>
      <w:r>
        <w:t>Assign QR; reject activation without final scan.</w:t>
      </w:r>
    </w:p>
    <w:p>
      <w:pPr>
        <w:pStyle w:val="ListNumber"/>
        <w:spacing w:after="40"/>
      </w:pPr>
      <w:r>
        <w:t>Concurrent attempts for second active QR on one vehicle; only one succeeds.</w:t>
      </w:r>
    </w:p>
    <w:p>
      <w:pPr>
        <w:pStyle w:val="ListNumber"/>
        <w:spacing w:after="40"/>
      </w:pPr>
      <w:r>
        <w:t>Scan active, blocked, unknown and inactive QR without an app; confirm generic inactive state and no PII.</w:t>
      </w:r>
    </w:p>
    <w:p>
      <w:pPr>
        <w:pStyle w:val="ListNumber"/>
        <w:spacing w:after="40"/>
      </w:pPr>
      <w:r>
        <w:t>Send approved parking/safety message; verify consent, correct recipient, retries and audit.</w:t>
      </w:r>
    </w:p>
    <w:p>
      <w:pPr>
        <w:pStyle w:val="ListNumber"/>
        <w:spacing w:after="40"/>
      </w:pPr>
      <w:r>
        <w:t>Replay payment webhook; exactly one paid order and reservation.</w:t>
      </w:r>
    </w:p>
    <w:p>
      <w:pPr>
        <w:pStyle w:val="ListNumber"/>
        <w:spacing w:after="40"/>
      </w:pPr>
      <w:r>
        <w:t>Cancel/return, replace damaged QR and transfer owner; verify ledger and history.</w:t>
      </w:r>
    </w:p>
    <w:p>
      <w:pPr>
        <w:pStyle w:val="ListNumber"/>
        <w:spacing w:after="40"/>
      </w:pPr>
      <w:r>
        <w:t>Restore backup to clean environment and follow rollback/incident runbook.</w:t>
      </w:r>
    </w:p>
    <w:p>
      <w:pPr>
        <w:pStyle w:val="Heading1"/>
        <w:keepNext/>
      </w:pPr>
      <w:r>
        <w:t>7. Product comparison and differentiation</w:t>
      </w:r>
    </w:p>
    <w:p>
      <w:r>
        <w:t>Eco Bharat is a useful category benchmark, not an implementation specification. Public pages describe QR sticker purchase/activation, parking contact, emergency/accident assistance, verification and location sharing. HelpOne, DigiVehicle and OpenTag also publicly describe privacy-oriented vehicle contact, emergency/parking reports and owner alerts. These are marketed feature claims, not independent performance/security validation. Do not copy names, visual design, text or proprietary implementation.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72"/>
            <w:shd w:fill="0B1B3B"/>
          </w:tcPr>
          <w:p>
            <w:pPr>
              <w:spacing w:after="20"/>
            </w:pPr>
            <w:r/>
            <w:r>
              <w:rPr>
                <w:b/>
                <w:color w:val="FFFFFF"/>
                <w:sz w:val="16"/>
              </w:rPr>
              <w:t>Category expectation</w:t>
            </w:r>
          </w:p>
        </w:tc>
        <w:tc>
          <w:tcPr>
            <w:tcW w:type="dxa" w:w="5904"/>
            <w:shd w:fill="0B1B3B"/>
          </w:tcPr>
          <w:p>
            <w:pPr>
              <w:spacing w:after="20"/>
            </w:pPr>
            <w:r/>
            <w:r>
              <w:rPr>
                <w:b/>
                <w:color w:val="FFFFFF"/>
                <w:sz w:val="16"/>
              </w:rPr>
              <w:t>Smart Vehicle QR response</w:t>
            </w:r>
          </w:p>
        </w:tc>
      </w:tr>
      <w:tr>
        <w:tc>
          <w:tcPr>
            <w:tcW w:type="dxa" w:w="3672"/>
            <w:vAlign w:val="center"/>
          </w:tcPr>
          <w:p>
            <w:pPr>
              <w:spacing w:after="20" w:before="20"/>
            </w:pPr>
            <w:r/>
            <w:r>
              <w:rPr>
                <w:color w:val="202B3C"/>
                <w:sz w:val="15"/>
              </w:rPr>
              <w:t>Quick scan; visitor may not have app.</w:t>
            </w:r>
          </w:p>
        </w:tc>
        <w:tc>
          <w:tcPr>
            <w:tcW w:type="dxa" w:w="5904"/>
            <w:vAlign w:val="center"/>
          </w:tcPr>
          <w:p>
            <w:pPr>
              <w:spacing w:after="20" w:before="20"/>
            </w:pPr>
            <w:r/>
            <w:r>
              <w:rPr>
                <w:color w:val="202B3C"/>
                <w:sz w:val="15"/>
              </w:rPr>
              <w:t>Native camera opens lightweight bilingual mobile web.</w:t>
            </w:r>
          </w:p>
        </w:tc>
      </w:tr>
      <w:tr>
        <w:tc>
          <w:tcPr>
            <w:tcW w:type="dxa" w:w="3672"/>
            <w:vAlign w:val="center"/>
            <w:shd w:fill="F3F6FA"/>
          </w:tcPr>
          <w:p>
            <w:pPr>
              <w:spacing w:after="20" w:before="20"/>
            </w:pPr>
            <w:r/>
            <w:r>
              <w:rPr>
                <w:color w:val="202B3C"/>
                <w:sz w:val="15"/>
              </w:rPr>
              <w:t>Contact owner about blocked parking/issue.</w:t>
            </w:r>
          </w:p>
        </w:tc>
        <w:tc>
          <w:tcPr>
            <w:tcW w:type="dxa" w:w="5904"/>
            <w:vAlign w:val="center"/>
            <w:shd w:fill="F3F6FA"/>
          </w:tcPr>
          <w:p>
            <w:pPr>
              <w:spacing w:after="20" w:before="20"/>
            </w:pPr>
            <w:r/>
            <w:r>
              <w:rPr>
                <w:color w:val="202B3C"/>
                <w:sz w:val="15"/>
              </w:rPr>
              <w:t>Structured reasons, auditable thread, owner alert and resolution.</w:t>
            </w:r>
          </w:p>
        </w:tc>
      </w:tr>
      <w:tr>
        <w:tc>
          <w:tcPr>
            <w:tcW w:type="dxa" w:w="3672"/>
            <w:vAlign w:val="center"/>
          </w:tcPr>
          <w:p>
            <w:pPr>
              <w:spacing w:after="20" w:before="20"/>
            </w:pPr>
            <w:r/>
            <w:r>
              <w:rPr>
                <w:color w:val="202B3C"/>
                <w:sz w:val="15"/>
              </w:rPr>
              <w:t>Emergency help.</w:t>
            </w:r>
          </w:p>
        </w:tc>
        <w:tc>
          <w:tcPr>
            <w:tcW w:type="dxa" w:w="5904"/>
            <w:vAlign w:val="center"/>
          </w:tcPr>
          <w:p>
            <w:pPr>
              <w:spacing w:after="20" w:before="20"/>
            </w:pPr>
            <w:r/>
            <w:r>
              <w:rPr>
                <w:color w:val="202B3C"/>
                <w:sz w:val="15"/>
              </w:rPr>
              <w:t>Consent/policy-controlled flow, clear limitations and official guidance.</w:t>
            </w:r>
          </w:p>
        </w:tc>
      </w:tr>
      <w:tr>
        <w:tc>
          <w:tcPr>
            <w:tcW w:type="dxa" w:w="3672"/>
            <w:vAlign w:val="center"/>
            <w:shd w:fill="F3F6FA"/>
          </w:tcPr>
          <w:p>
            <w:pPr>
              <w:spacing w:after="20" w:before="20"/>
            </w:pPr>
            <w:r/>
            <w:r>
              <w:rPr>
                <w:color w:val="202B3C"/>
                <w:sz w:val="15"/>
              </w:rPr>
              <w:t>Owner phone privacy.</w:t>
            </w:r>
          </w:p>
        </w:tc>
        <w:tc>
          <w:tcPr>
            <w:tcW w:type="dxa" w:w="5904"/>
            <w:vAlign w:val="center"/>
            <w:shd w:fill="F3F6FA"/>
          </w:tcPr>
          <w:p>
            <w:pPr>
              <w:spacing w:after="20" w:before="20"/>
            </w:pPr>
            <w:r/>
            <w:r>
              <w:rPr>
                <w:color w:val="202B3C"/>
                <w:sz w:val="15"/>
              </w:rPr>
              <w:t>Opaque token and private relay/notification; no raw phone in public API.</w:t>
            </w:r>
          </w:p>
        </w:tc>
      </w:tr>
      <w:tr>
        <w:tc>
          <w:tcPr>
            <w:tcW w:type="dxa" w:w="3672"/>
            <w:vAlign w:val="center"/>
          </w:tcPr>
          <w:p>
            <w:pPr>
              <w:spacing w:after="20" w:before="20"/>
            </w:pPr>
            <w:r/>
            <w:r>
              <w:rPr>
                <w:color w:val="202B3C"/>
                <w:sz w:val="15"/>
              </w:rPr>
              <w:t>Buy online and activate.</w:t>
            </w:r>
          </w:p>
        </w:tc>
        <w:tc>
          <w:tcPr>
            <w:tcW w:type="dxa" w:w="5904"/>
            <w:vAlign w:val="center"/>
          </w:tcPr>
          <w:p>
            <w:pPr>
              <w:spacing w:after="20" w:before="20"/>
            </w:pPr>
            <w:r/>
            <w:r>
              <w:rPr>
                <w:color w:val="202B3C"/>
                <w:sz w:val="15"/>
              </w:rPr>
              <w:t>D2C uses same QR ledger; payment, delivery and activation remain distinct.</w:t>
            </w:r>
          </w:p>
        </w:tc>
      </w:tr>
      <w:tr>
        <w:tc>
          <w:tcPr>
            <w:tcW w:type="dxa" w:w="3672"/>
            <w:vAlign w:val="center"/>
            <w:shd w:fill="F3F6FA"/>
          </w:tcPr>
          <w:p>
            <w:pPr>
              <w:spacing w:after="20" w:before="20"/>
            </w:pPr>
            <w:r/>
            <w:r>
              <w:rPr>
                <w:color w:val="202B3C"/>
                <w:sz w:val="15"/>
              </w:rPr>
              <w:t>Multiple vehicles/fleets.</w:t>
            </w:r>
          </w:p>
        </w:tc>
        <w:tc>
          <w:tcPr>
            <w:tcW w:type="dxa" w:w="5904"/>
            <w:vAlign w:val="center"/>
            <w:shd w:fill="F3F6FA"/>
          </w:tcPr>
          <w:p>
            <w:pPr>
              <w:spacing w:after="20" w:before="20"/>
            </w:pPr>
            <w:r/>
            <w:r>
              <w:rPr>
                <w:color w:val="202B3C"/>
                <w:sz w:val="15"/>
              </w:rPr>
              <w:t>Owner multi-vehicle plus dealer/fleet roles introduced by approval.</w:t>
            </w:r>
          </w:p>
        </w:tc>
      </w:tr>
    </w:tbl>
    <w:p>
      <w:pPr>
        <w:spacing w:after="0"/>
      </w:pPr>
    </w:p>
    <w:tbl>
      <w:tblPr>
        <w:tblStyle w:val="TableGrid"/>
        <w:tblW w:type="auto" w:w="0"/>
        <w:tblLook w:firstColumn="1" w:firstRow="1" w:lastColumn="0" w:lastRow="0" w:noHBand="0" w:noVBand="1" w:val="04A0"/>
      </w:tblPr>
      <w:tblGrid>
        <w:gridCol w:w="10166"/>
      </w:tblGrid>
      <w:tr>
        <w:tc>
          <w:tcPr>
            <w:tcW w:type="dxa" w:w="10166"/>
            <w:shd w:fill="EAF4FF"/>
          </w:tcPr>
          <w:p>
            <w:pPr>
              <w:spacing w:after="40"/>
            </w:pPr>
            <w:r/>
            <w:r>
              <w:rPr>
                <w:b/>
                <w:color w:val="1268E8"/>
                <w:sz w:val="18"/>
              </w:rPr>
              <w:t xml:space="preserve">Product edge  </w:t>
            </w:r>
            <w:r>
              <w:rPr>
                <w:sz w:val="18"/>
              </w:rPr>
              <w:t>Compete on trusted lifecycle and governance: every physical QR traceable, privacy by default, app-free scan, dependable notification closure, bilingual accessibility and reconciled showroom + D2C operations. Prove quality with scan success, notification time, stock accuracy, activation completion and privacy/security metrics.</w:t>
            </w:r>
          </w:p>
        </w:tc>
      </w:tr>
    </w:tbl>
    <w:p>
      <w:pPr>
        <w:spacing w:after="0"/>
      </w:pPr>
    </w:p>
    <w:p>
      <w:pPr>
        <w:pStyle w:val="Heading1"/>
        <w:keepNext/>
      </w:pPr>
      <w:r>
        <w:t>8. Open decisions before production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960"/>
            <w:shd w:fill="0B1B3B"/>
          </w:tcPr>
          <w:p>
            <w:pPr>
              <w:spacing w:after="20"/>
            </w:pPr>
            <w:r/>
            <w:r>
              <w:rPr>
                <w:b/>
                <w:color w:val="FFFFFF"/>
                <w:sz w:val="16"/>
              </w:rPr>
              <w:t>Decision</w:t>
            </w:r>
          </w:p>
        </w:tc>
        <w:tc>
          <w:tcPr>
            <w:tcW w:type="dxa" w:w="2376"/>
            <w:shd w:fill="0B1B3B"/>
          </w:tcPr>
          <w:p>
            <w:pPr>
              <w:spacing w:after="20"/>
            </w:pPr>
            <w:r/>
            <w:r>
              <w:rPr>
                <w:b/>
                <w:color w:val="FFFFFF"/>
                <w:sz w:val="16"/>
              </w:rPr>
              <w:t>Approver</w:t>
            </w:r>
          </w:p>
        </w:tc>
        <w:tc>
          <w:tcPr>
            <w:tcW w:type="dxa" w:w="3168"/>
            <w:shd w:fill="0B1B3B"/>
          </w:tcPr>
          <w:p>
            <w:pPr>
              <w:spacing w:after="20"/>
            </w:pPr>
            <w:r/>
            <w:r>
              <w:rPr>
                <w:b/>
                <w:color w:val="FFFFFF"/>
                <w:sz w:val="16"/>
              </w:rPr>
              <w:t>Impact</w:t>
            </w:r>
          </w:p>
        </w:tc>
      </w:tr>
      <w:tr>
        <w:tc>
          <w:tcPr>
            <w:tcW w:type="dxa" w:w="3960"/>
            <w:vAlign w:val="center"/>
          </w:tcPr>
          <w:p>
            <w:pPr>
              <w:spacing w:after="20" w:before="20"/>
            </w:pPr>
            <w:r/>
            <w:r>
              <w:rPr>
                <w:color w:val="202B3C"/>
                <w:sz w:val="15"/>
              </w:rPr>
              <w:t>Program authority, jurisdiction, official endorsement and public copy</w:t>
            </w:r>
          </w:p>
        </w:tc>
        <w:tc>
          <w:tcPr>
            <w:tcW w:type="dxa" w:w="2376"/>
            <w:vAlign w:val="center"/>
          </w:tcPr>
          <w:p>
            <w:pPr>
              <w:spacing w:after="20" w:before="20"/>
            </w:pPr>
            <w:r/>
            <w:r>
              <w:rPr>
                <w:color w:val="202B3C"/>
                <w:sz w:val="15"/>
              </w:rPr>
              <w:t>Business/legal/program</w:t>
            </w:r>
          </w:p>
        </w:tc>
        <w:tc>
          <w:tcPr>
            <w:tcW w:type="dxa" w:w="3168"/>
            <w:vAlign w:val="center"/>
          </w:tcPr>
          <w:p>
            <w:pPr>
              <w:spacing w:after="20" w:before="20"/>
            </w:pPr>
            <w:r/>
            <w:r>
              <w:rPr>
                <w:color w:val="202B3C"/>
                <w:sz w:val="15"/>
              </w:rPr>
              <w:t>Brand claims and pilot</w:t>
            </w:r>
          </w:p>
        </w:tc>
      </w:tr>
      <w:tr>
        <w:tc>
          <w:tcPr>
            <w:tcW w:type="dxa" w:w="3960"/>
            <w:vAlign w:val="center"/>
            <w:shd w:fill="F3F6FA"/>
          </w:tcPr>
          <w:p>
            <w:pPr>
              <w:spacing w:after="20" w:before="20"/>
            </w:pPr>
            <w:r/>
            <w:r>
              <w:rPr>
                <w:color w:val="202B3C"/>
                <w:sz w:val="15"/>
              </w:rPr>
              <w:t>Vehicle classes, eligibility and verification source/fields</w:t>
            </w:r>
          </w:p>
        </w:tc>
        <w:tc>
          <w:tcPr>
            <w:tcW w:type="dxa" w:w="2376"/>
            <w:vAlign w:val="center"/>
            <w:shd w:fill="F3F6FA"/>
          </w:tcPr>
          <w:p>
            <w:pPr>
              <w:spacing w:after="20" w:before="20"/>
            </w:pPr>
            <w:r/>
            <w:r>
              <w:rPr>
                <w:color w:val="202B3C"/>
                <w:sz w:val="15"/>
              </w:rPr>
              <w:t>Product/integration</w:t>
            </w:r>
          </w:p>
        </w:tc>
        <w:tc>
          <w:tcPr>
            <w:tcW w:type="dxa" w:w="3168"/>
            <w:vAlign w:val="center"/>
            <w:shd w:fill="F3F6FA"/>
          </w:tcPr>
          <w:p>
            <w:pPr>
              <w:spacing w:after="20" w:before="20"/>
            </w:pPr>
            <w:r/>
            <w:r>
              <w:rPr>
                <w:color w:val="202B3C"/>
                <w:sz w:val="15"/>
              </w:rPr>
              <w:t>Assignment and activation</w:t>
            </w:r>
          </w:p>
        </w:tc>
      </w:tr>
      <w:tr>
        <w:tc>
          <w:tcPr>
            <w:tcW w:type="dxa" w:w="3960"/>
            <w:vAlign w:val="center"/>
          </w:tcPr>
          <w:p>
            <w:pPr>
              <w:spacing w:after="20" w:before="20"/>
            </w:pPr>
            <w:r/>
            <w:r>
              <w:rPr>
                <w:color w:val="202B3C"/>
                <w:sz w:val="15"/>
              </w:rPr>
              <w:t>OTP stages; operator vs manager activation</w:t>
            </w:r>
          </w:p>
        </w:tc>
        <w:tc>
          <w:tcPr>
            <w:tcW w:type="dxa" w:w="2376"/>
            <w:vAlign w:val="center"/>
          </w:tcPr>
          <w:p>
            <w:pPr>
              <w:spacing w:after="20" w:before="20"/>
            </w:pPr>
            <w:r/>
            <w:r>
              <w:rPr>
                <w:color w:val="202B3C"/>
                <w:sz w:val="15"/>
              </w:rPr>
              <w:t>Product/security</w:t>
            </w:r>
          </w:p>
        </w:tc>
        <w:tc>
          <w:tcPr>
            <w:tcW w:type="dxa" w:w="3168"/>
            <w:vAlign w:val="center"/>
          </w:tcPr>
          <w:p>
            <w:pPr>
              <w:spacing w:after="20" w:before="20"/>
            </w:pPr>
            <w:r/>
            <w:r>
              <w:rPr>
                <w:color w:val="202B3C"/>
                <w:sz w:val="15"/>
              </w:rPr>
              <w:t>Dealer controls</w:t>
            </w:r>
          </w:p>
        </w:tc>
      </w:tr>
      <w:tr>
        <w:tc>
          <w:tcPr>
            <w:tcW w:type="dxa" w:w="3960"/>
            <w:vAlign w:val="center"/>
            <w:shd w:fill="F3F6FA"/>
          </w:tcPr>
          <w:p>
            <w:pPr>
              <w:spacing w:after="20" w:before="20"/>
            </w:pPr>
            <w:r/>
            <w:r>
              <w:rPr>
                <w:color w:val="202B3C"/>
                <w:sz w:val="15"/>
              </w:rPr>
              <w:t>Citizen identity, anonymous/verified message, photo/location</w:t>
            </w:r>
          </w:p>
        </w:tc>
        <w:tc>
          <w:tcPr>
            <w:tcW w:type="dxa" w:w="2376"/>
            <w:vAlign w:val="center"/>
            <w:shd w:fill="F3F6FA"/>
          </w:tcPr>
          <w:p>
            <w:pPr>
              <w:spacing w:after="20" w:before="20"/>
            </w:pPr>
            <w:r/>
            <w:r>
              <w:rPr>
                <w:color w:val="202B3C"/>
                <w:sz w:val="15"/>
              </w:rPr>
              <w:t>Privacy/legal/product</w:t>
            </w:r>
          </w:p>
        </w:tc>
        <w:tc>
          <w:tcPr>
            <w:tcW w:type="dxa" w:w="3168"/>
            <w:vAlign w:val="center"/>
            <w:shd w:fill="F3F6FA"/>
          </w:tcPr>
          <w:p>
            <w:pPr>
              <w:spacing w:after="20" w:before="20"/>
            </w:pPr>
            <w:r/>
            <w:r>
              <w:rPr>
                <w:color w:val="202B3C"/>
                <w:sz w:val="15"/>
              </w:rPr>
              <w:t>Public forms and retention</w:t>
            </w:r>
          </w:p>
        </w:tc>
      </w:tr>
      <w:tr>
        <w:tc>
          <w:tcPr>
            <w:tcW w:type="dxa" w:w="3960"/>
            <w:vAlign w:val="center"/>
          </w:tcPr>
          <w:p>
            <w:pPr>
              <w:spacing w:after="20" w:before="20"/>
            </w:pPr>
            <w:r/>
            <w:r>
              <w:rPr>
                <w:color w:val="202B3C"/>
                <w:sz w:val="15"/>
              </w:rPr>
              <w:t>Emergency routing, medical fields, disclaimer and SLA</w:t>
            </w:r>
          </w:p>
        </w:tc>
        <w:tc>
          <w:tcPr>
            <w:tcW w:type="dxa" w:w="2376"/>
            <w:vAlign w:val="center"/>
          </w:tcPr>
          <w:p>
            <w:pPr>
              <w:spacing w:after="20" w:before="20"/>
            </w:pPr>
            <w:r/>
            <w:r>
              <w:rPr>
                <w:color w:val="202B3C"/>
                <w:sz w:val="15"/>
              </w:rPr>
              <w:t>Safety/legal/ops</w:t>
            </w:r>
          </w:p>
        </w:tc>
        <w:tc>
          <w:tcPr>
            <w:tcW w:type="dxa" w:w="3168"/>
            <w:vAlign w:val="center"/>
          </w:tcPr>
          <w:p>
            <w:pPr>
              <w:spacing w:after="20" w:before="20"/>
            </w:pPr>
            <w:r/>
            <w:r>
              <w:rPr>
                <w:color w:val="202B3C"/>
                <w:sz w:val="15"/>
              </w:rPr>
              <w:t>Keep gated until approved</w:t>
            </w:r>
          </w:p>
        </w:tc>
      </w:tr>
      <w:tr>
        <w:tc>
          <w:tcPr>
            <w:tcW w:type="dxa" w:w="3960"/>
            <w:vAlign w:val="center"/>
            <w:shd w:fill="F3F6FA"/>
          </w:tcPr>
          <w:p>
            <w:pPr>
              <w:spacing w:after="20" w:before="20"/>
            </w:pPr>
            <w:r/>
            <w:r>
              <w:rPr>
                <w:color w:val="202B3C"/>
                <w:sz w:val="15"/>
              </w:rPr>
              <w:t>D2C price, validity, warranty, shipping, refund and reservation model</w:t>
            </w:r>
          </w:p>
        </w:tc>
        <w:tc>
          <w:tcPr>
            <w:tcW w:type="dxa" w:w="2376"/>
            <w:vAlign w:val="center"/>
            <w:shd w:fill="F3F6FA"/>
          </w:tcPr>
          <w:p>
            <w:pPr>
              <w:spacing w:after="20" w:before="20"/>
            </w:pPr>
            <w:r/>
            <w:r>
              <w:rPr>
                <w:color w:val="202B3C"/>
                <w:sz w:val="15"/>
              </w:rPr>
              <w:t>Commercial/finance</w:t>
            </w:r>
          </w:p>
        </w:tc>
        <w:tc>
          <w:tcPr>
            <w:tcW w:type="dxa" w:w="3168"/>
            <w:vAlign w:val="center"/>
            <w:shd w:fill="F3F6FA"/>
          </w:tcPr>
          <w:p>
            <w:pPr>
              <w:spacing w:after="20" w:before="20"/>
            </w:pPr>
            <w:r/>
            <w:r>
              <w:rPr>
                <w:color w:val="202B3C"/>
                <w:sz w:val="15"/>
              </w:rPr>
              <w:t>Checkout and stock</w:t>
            </w:r>
          </w:p>
        </w:tc>
      </w:tr>
      <w:tr>
        <w:tc>
          <w:tcPr>
            <w:tcW w:type="dxa" w:w="3960"/>
            <w:vAlign w:val="center"/>
          </w:tcPr>
          <w:p>
            <w:pPr>
              <w:spacing w:after="20" w:before="20"/>
            </w:pPr>
            <w:r/>
            <w:r>
              <w:rPr>
                <w:color w:val="202B3C"/>
                <w:sz w:val="15"/>
              </w:rPr>
              <w:t>Sticker material, size, placement, artwork, vendor, reprint</w:t>
            </w:r>
          </w:p>
        </w:tc>
        <w:tc>
          <w:tcPr>
            <w:tcW w:type="dxa" w:w="2376"/>
            <w:vAlign w:val="center"/>
          </w:tcPr>
          <w:p>
            <w:pPr>
              <w:spacing w:after="20" w:before="20"/>
            </w:pPr>
            <w:r/>
            <w:r>
              <w:rPr>
                <w:color w:val="202B3C"/>
                <w:sz w:val="15"/>
              </w:rPr>
              <w:t>Ops/brand/vendor</w:t>
            </w:r>
          </w:p>
        </w:tc>
        <w:tc>
          <w:tcPr>
            <w:tcW w:type="dxa" w:w="3168"/>
            <w:vAlign w:val="center"/>
          </w:tcPr>
          <w:p>
            <w:pPr>
              <w:spacing w:after="20" w:before="20"/>
            </w:pPr>
            <w:r/>
            <w:r>
              <w:rPr>
                <w:color w:val="202B3C"/>
                <w:sz w:val="15"/>
              </w:rPr>
              <w:t>Production/pilot</w:t>
            </w:r>
          </w:p>
        </w:tc>
      </w:tr>
      <w:tr>
        <w:tc>
          <w:tcPr>
            <w:tcW w:type="dxa" w:w="3960"/>
            <w:vAlign w:val="center"/>
            <w:shd w:fill="F3F6FA"/>
          </w:tcPr>
          <w:p>
            <w:pPr>
              <w:spacing w:after="20" w:before="20"/>
            </w:pPr>
            <w:r/>
            <w:r>
              <w:rPr>
                <w:color w:val="202B3C"/>
                <w:sz w:val="15"/>
              </w:rPr>
              <w:t>Transfer evidence, stolen/lost/damaged and no-reuse policy</w:t>
            </w:r>
          </w:p>
        </w:tc>
        <w:tc>
          <w:tcPr>
            <w:tcW w:type="dxa" w:w="2376"/>
            <w:vAlign w:val="center"/>
            <w:shd w:fill="F3F6FA"/>
          </w:tcPr>
          <w:p>
            <w:pPr>
              <w:spacing w:after="20" w:before="20"/>
            </w:pPr>
            <w:r/>
            <w:r>
              <w:rPr>
                <w:color w:val="202B3C"/>
                <w:sz w:val="15"/>
              </w:rPr>
              <w:t>Product/legal/ops</w:t>
            </w:r>
          </w:p>
        </w:tc>
        <w:tc>
          <w:tcPr>
            <w:tcW w:type="dxa" w:w="3168"/>
            <w:vAlign w:val="center"/>
            <w:shd w:fill="F3F6FA"/>
          </w:tcPr>
          <w:p>
            <w:pPr>
              <w:spacing w:after="20" w:before="20"/>
            </w:pPr>
            <w:r/>
            <w:r>
              <w:rPr>
                <w:color w:val="202B3C"/>
                <w:sz w:val="15"/>
              </w:rPr>
              <w:t>Lifecycle</w:t>
            </w:r>
          </w:p>
        </w:tc>
      </w:tr>
      <w:tr>
        <w:tc>
          <w:tcPr>
            <w:tcW w:type="dxa" w:w="3960"/>
            <w:vAlign w:val="center"/>
          </w:tcPr>
          <w:p>
            <w:pPr>
              <w:spacing w:after="20" w:before="20"/>
            </w:pPr>
            <w:r/>
            <w:r>
              <w:rPr>
                <w:color w:val="202B3C"/>
                <w:sz w:val="15"/>
              </w:rPr>
              <w:t>Languages, support SLA, notification and escalation</w:t>
            </w:r>
          </w:p>
        </w:tc>
        <w:tc>
          <w:tcPr>
            <w:tcW w:type="dxa" w:w="2376"/>
            <w:vAlign w:val="center"/>
          </w:tcPr>
          <w:p>
            <w:pPr>
              <w:spacing w:after="20" w:before="20"/>
            </w:pPr>
            <w:r/>
            <w:r>
              <w:rPr>
                <w:color w:val="202B3C"/>
                <w:sz w:val="15"/>
              </w:rPr>
              <w:t>Product/ops</w:t>
            </w:r>
          </w:p>
        </w:tc>
        <w:tc>
          <w:tcPr>
            <w:tcW w:type="dxa" w:w="3168"/>
            <w:vAlign w:val="center"/>
          </w:tcPr>
          <w:p>
            <w:pPr>
              <w:spacing w:after="20" w:before="20"/>
            </w:pPr>
            <w:r/>
            <w:r>
              <w:rPr>
                <w:color w:val="202B3C"/>
                <w:sz w:val="15"/>
              </w:rPr>
              <w:t>Customer readiness</w:t>
            </w:r>
          </w:p>
        </w:tc>
      </w:tr>
      <w:tr>
        <w:tc>
          <w:tcPr>
            <w:tcW w:type="dxa" w:w="3960"/>
            <w:vAlign w:val="center"/>
            <w:shd w:fill="F3F6FA"/>
          </w:tcPr>
          <w:p>
            <w:pPr>
              <w:spacing w:after="20" w:before="20"/>
            </w:pPr>
            <w:r/>
            <w:r>
              <w:rPr>
                <w:color w:val="202B3C"/>
                <w:sz w:val="15"/>
              </w:rPr>
              <w:t>Retention, RPO/RTO, service SLO and 100K traffic profile</w:t>
            </w:r>
          </w:p>
        </w:tc>
        <w:tc>
          <w:tcPr>
            <w:tcW w:type="dxa" w:w="2376"/>
            <w:vAlign w:val="center"/>
            <w:shd w:fill="F3F6FA"/>
          </w:tcPr>
          <w:p>
            <w:pPr>
              <w:spacing w:after="20" w:before="20"/>
            </w:pPr>
            <w:r/>
            <w:r>
              <w:rPr>
                <w:color w:val="202B3C"/>
                <w:sz w:val="15"/>
              </w:rPr>
              <w:t>Security/DevOps/business</w:t>
            </w:r>
          </w:p>
        </w:tc>
        <w:tc>
          <w:tcPr>
            <w:tcW w:type="dxa" w:w="3168"/>
            <w:vAlign w:val="center"/>
            <w:shd w:fill="F3F6FA"/>
          </w:tcPr>
          <w:p>
            <w:pPr>
              <w:spacing w:after="20" w:before="20"/>
            </w:pPr>
            <w:r/>
            <w:r>
              <w:rPr>
                <w:color w:val="202B3C"/>
                <w:sz w:val="15"/>
              </w:rPr>
              <w:t>Production scale gate</w:t>
            </w:r>
          </w:p>
        </w:tc>
      </w:tr>
    </w:tbl>
    <w:p>
      <w:pPr>
        <w:spacing w:after="0"/>
      </w:pPr>
    </w:p>
    <w:p>
      <w:pPr>
        <w:pStyle w:val="Heading1"/>
        <w:keepNext/>
      </w:pPr>
      <w:r>
        <w:t>9. Risks and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744"/>
            <w:shd w:fill="0B1B3B"/>
          </w:tcPr>
          <w:p>
            <w:pPr>
              <w:spacing w:after="20"/>
            </w:pPr>
            <w:r/>
            <w:r>
              <w:rPr>
                <w:b/>
                <w:color w:val="FFFFFF"/>
                <w:sz w:val="16"/>
              </w:rPr>
              <w:t>Risk</w:t>
            </w:r>
          </w:p>
        </w:tc>
        <w:tc>
          <w:tcPr>
            <w:tcW w:type="dxa" w:w="5832"/>
            <w:shd w:fill="0B1B3B"/>
          </w:tcPr>
          <w:p>
            <w:pPr>
              <w:spacing w:after="20"/>
            </w:pPr>
            <w:r/>
            <w:r>
              <w:rPr>
                <w:b/>
                <w:color w:val="FFFFFF"/>
                <w:sz w:val="16"/>
              </w:rPr>
              <w:t>Control</w:t>
            </w:r>
          </w:p>
        </w:tc>
      </w:tr>
      <w:tr>
        <w:tc>
          <w:tcPr>
            <w:tcW w:type="dxa" w:w="3744"/>
            <w:vAlign w:val="center"/>
          </w:tcPr>
          <w:p>
            <w:pPr>
              <w:spacing w:after="20" w:before="20"/>
            </w:pPr>
            <w:r/>
            <w:r>
              <w:rPr>
                <w:color w:val="202B3C"/>
                <w:sz w:val="15"/>
              </w:rPr>
              <w:t>QR cloned or abused</w:t>
            </w:r>
          </w:p>
        </w:tc>
        <w:tc>
          <w:tcPr>
            <w:tcW w:type="dxa" w:w="5832"/>
            <w:vAlign w:val="center"/>
          </w:tcPr>
          <w:p>
            <w:pPr>
              <w:spacing w:after="20" w:before="20"/>
            </w:pPr>
            <w:r/>
            <w:r>
              <w:rPr>
                <w:color w:val="202B3C"/>
                <w:sz w:val="15"/>
              </w:rPr>
              <w:t>Opaque random token, tamper-aware print, rate limits, report/block, no PII.</w:t>
            </w:r>
          </w:p>
        </w:tc>
      </w:tr>
      <w:tr>
        <w:tc>
          <w:tcPr>
            <w:tcW w:type="dxa" w:w="3744"/>
            <w:vAlign w:val="center"/>
            <w:shd w:fill="F3F6FA"/>
          </w:tcPr>
          <w:p>
            <w:pPr>
              <w:spacing w:after="20" w:before="20"/>
            </w:pPr>
            <w:r/>
            <w:r>
              <w:rPr>
                <w:color w:val="202B3C"/>
                <w:sz w:val="15"/>
              </w:rPr>
              <w:t>Unsafe emergency expectations or excess data</w:t>
            </w:r>
          </w:p>
        </w:tc>
        <w:tc>
          <w:tcPr>
            <w:tcW w:type="dxa" w:w="5832"/>
            <w:vAlign w:val="center"/>
            <w:shd w:fill="F3F6FA"/>
          </w:tcPr>
          <w:p>
            <w:pPr>
              <w:spacing w:after="20" w:before="20"/>
            </w:pPr>
            <w:r/>
            <w:r>
              <w:rPr>
                <w:color w:val="202B3C"/>
                <w:sz w:val="15"/>
              </w:rPr>
              <w:t>Policy gate, explicit consent, minimal data, clear guidance; no emergency-dispatch claim.</w:t>
            </w:r>
          </w:p>
        </w:tc>
      </w:tr>
      <w:tr>
        <w:tc>
          <w:tcPr>
            <w:tcW w:type="dxa" w:w="3744"/>
            <w:vAlign w:val="center"/>
          </w:tcPr>
          <w:p>
            <w:pPr>
              <w:spacing w:after="20" w:before="20"/>
            </w:pPr>
            <w:r/>
            <w:r>
              <w:rPr>
                <w:color w:val="202B3C"/>
                <w:sz w:val="15"/>
              </w:rPr>
              <w:t>Physical stock drift</w:t>
            </w:r>
          </w:p>
        </w:tc>
        <w:tc>
          <w:tcPr>
            <w:tcW w:type="dxa" w:w="5832"/>
            <w:vAlign w:val="center"/>
          </w:tcPr>
          <w:p>
            <w:pPr>
              <w:spacing w:after="20" w:before="20"/>
            </w:pPr>
            <w:r/>
            <w:r>
              <w:rPr>
                <w:color w:val="202B3C"/>
                <w:sz w:val="15"/>
              </w:rPr>
              <w:t>Per-QR ledger, scan receipt, independent reconcile, exception queue, role separation.</w:t>
            </w:r>
          </w:p>
        </w:tc>
      </w:tr>
      <w:tr>
        <w:tc>
          <w:tcPr>
            <w:tcW w:type="dxa" w:w="3744"/>
            <w:vAlign w:val="center"/>
            <w:shd w:fill="F3F6FA"/>
          </w:tcPr>
          <w:p>
            <w:pPr>
              <w:spacing w:after="20" w:before="20"/>
            </w:pPr>
            <w:r/>
            <w:r>
              <w:rPr>
                <w:color w:val="202B3C"/>
                <w:sz w:val="15"/>
              </w:rPr>
              <w:t>Duplicate order/QR on webhook retry</w:t>
            </w:r>
          </w:p>
        </w:tc>
        <w:tc>
          <w:tcPr>
            <w:tcW w:type="dxa" w:w="5832"/>
            <w:vAlign w:val="center"/>
            <w:shd w:fill="F3F6FA"/>
          </w:tcPr>
          <w:p>
            <w:pPr>
              <w:spacing w:after="20" w:before="20"/>
            </w:pPr>
            <w:r/>
            <w:r>
              <w:rPr>
                <w:color w:val="202B3C"/>
                <w:sz w:val="15"/>
              </w:rPr>
              <w:t>Signature verification, idempotency, transaction/outbox, unique reservation.</w:t>
            </w:r>
          </w:p>
        </w:tc>
      </w:tr>
      <w:tr>
        <w:tc>
          <w:tcPr>
            <w:tcW w:type="dxa" w:w="3744"/>
            <w:vAlign w:val="center"/>
          </w:tcPr>
          <w:p>
            <w:pPr>
              <w:spacing w:after="20" w:before="20"/>
            </w:pPr>
            <w:r/>
            <w:r>
              <w:rPr>
                <w:color w:val="202B3C"/>
                <w:sz w:val="15"/>
              </w:rPr>
              <w:t>Showroom bypass</w:t>
            </w:r>
          </w:p>
        </w:tc>
        <w:tc>
          <w:tcPr>
            <w:tcW w:type="dxa" w:w="5832"/>
            <w:vAlign w:val="center"/>
          </w:tcPr>
          <w:p>
            <w:pPr>
              <w:spacing w:after="20" w:before="20"/>
            </w:pPr>
            <w:r/>
            <w:r>
              <w:rPr>
                <w:color w:val="202B3C"/>
                <w:sz w:val="15"/>
              </w:rPr>
              <w:t>Server-side state machine, DB constraints, separate activation permission, audit.</w:t>
            </w:r>
          </w:p>
        </w:tc>
      </w:tr>
      <w:tr>
        <w:tc>
          <w:tcPr>
            <w:tcW w:type="dxa" w:w="3744"/>
            <w:vAlign w:val="center"/>
            <w:shd w:fill="F3F6FA"/>
          </w:tcPr>
          <w:p>
            <w:pPr>
              <w:spacing w:after="20" w:before="20"/>
            </w:pPr>
            <w:r/>
            <w:r>
              <w:rPr>
                <w:color w:val="202B3C"/>
                <w:sz w:val="15"/>
              </w:rPr>
              <w:t>Unapproved government endorsement</w:t>
            </w:r>
          </w:p>
        </w:tc>
        <w:tc>
          <w:tcPr>
            <w:tcW w:type="dxa" w:w="5832"/>
            <w:vAlign w:val="center"/>
            <w:shd w:fill="F3F6FA"/>
          </w:tcPr>
          <w:p>
            <w:pPr>
              <w:spacing w:after="20" w:before="20"/>
            </w:pPr>
            <w:r/>
            <w:r>
              <w:rPr>
                <w:color w:val="202B3C"/>
                <w:sz w:val="15"/>
              </w:rPr>
              <w:t>Approval for seals/logos/copy; controlled artwork version.</w:t>
            </w:r>
          </w:p>
        </w:tc>
      </w:tr>
      <w:tr>
        <w:tc>
          <w:tcPr>
            <w:tcW w:type="dxa" w:w="3744"/>
            <w:vAlign w:val="center"/>
          </w:tcPr>
          <w:p>
            <w:pPr>
              <w:spacing w:after="20" w:before="20"/>
            </w:pPr>
            <w:r/>
            <w:r>
              <w:rPr>
                <w:color w:val="202B3C"/>
                <w:sz w:val="15"/>
              </w:rPr>
              <w:t>Scope delays reliable launch</w:t>
            </w:r>
          </w:p>
        </w:tc>
        <w:tc>
          <w:tcPr>
            <w:tcW w:type="dxa" w:w="5832"/>
            <w:vAlign w:val="center"/>
          </w:tcPr>
          <w:p>
            <w:pPr>
              <w:spacing w:after="20" w:before="20"/>
            </w:pPr>
            <w:r/>
            <w:r>
              <w:rPr>
                <w:color w:val="202B3C"/>
                <w:sz w:val="15"/>
              </w:rPr>
              <w:t>Gate releases; build QR supply/activation before advanced analytics; avoid premature microservices.</w:t>
            </w:r>
          </w:p>
        </w:tc>
      </w:tr>
    </w:tbl>
    <w:p>
      <w:pPr>
        <w:spacing w:after="0"/>
      </w:pPr>
    </w:p>
    <w:p>
      <w:pPr>
        <w:pStyle w:val="Heading1"/>
        <w:keepNext/>
      </w:pPr>
      <w:r>
        <w:t>10. Developer handover and definition of done</w:t>
      </w:r>
    </w:p>
    <w:p>
      <w:pPr>
        <w:pStyle w:val="Heading2"/>
        <w:keepNext/>
      </w:pPr>
      <w:r>
        <w:t>Developer must return</w:t>
      </w:r>
    </w:p>
    <w:p>
      <w:pPr>
        <w:pStyle w:val="ListBullet"/>
        <w:spacing w:after="40"/>
      </w:pPr>
      <w:r>
        <w:t>Repository map and implementation inventory: present/partial/missing, file path, evidence and gap.</w:t>
      </w:r>
    </w:p>
    <w:p>
      <w:pPr>
        <w:pStyle w:val="ListBullet"/>
        <w:spacing w:after="40"/>
      </w:pPr>
      <w:r>
        <w:t>Approved UX, screen/navigation/error/loading states and responsive behavior.</w:t>
      </w:r>
    </w:p>
    <w:p>
      <w:pPr>
        <w:pStyle w:val="ListBullet"/>
        <w:spacing w:after="40"/>
      </w:pPr>
      <w:r>
        <w:t>Architecture decision record, ERD, QR transition map, role matrix, API contracts and integration register.</w:t>
      </w:r>
    </w:p>
    <w:p>
      <w:pPr>
        <w:pStyle w:val="ListBullet"/>
        <w:spacing w:after="40"/>
      </w:pPr>
      <w:r>
        <w:t>Incremental working software, migrations, environment/config list, operational docs and provider sandbox/live separation.</w:t>
      </w:r>
    </w:p>
    <w:p>
      <w:pPr>
        <w:pStyle w:val="ListBullet"/>
        <w:spacing w:after="40"/>
      </w:pPr>
      <w:r>
        <w:t>UAT mapped to acceptance criteria; security/privacy, load and restore evidence; known gaps and release runbook.</w:t>
      </w:r>
    </w:p>
    <w:p>
      <w:pPr>
        <w:pStyle w:val="ListBullet"/>
        <w:spacing w:after="40"/>
      </w:pPr>
      <w:r>
        <w:t>Synthetic demo data; no production secrets or real personal data.</w:t>
      </w:r>
    </w:p>
    <w:p>
      <w:pPr>
        <w:pStyle w:val="Heading2"/>
        <w:keepNext/>
      </w:pPr>
      <w:r>
        <w:t>Definition of done</w:t>
      </w:r>
    </w:p>
    <w:p>
      <w:pPr>
        <w:pStyle w:val="ListBullet"/>
        <w:spacing w:after="40"/>
      </w:pPr>
      <w:r>
        <w:t>Approved requirements map to screen/API/data and acceptance criteria.</w:t>
      </w:r>
    </w:p>
    <w:p>
      <w:pPr>
        <w:pStyle w:val="ListBullet"/>
        <w:spacing w:after="40"/>
      </w:pPr>
      <w:r>
        <w:t>Normal and exception routes work; no fake production payments/integrations.</w:t>
      </w:r>
    </w:p>
    <w:p>
      <w:pPr>
        <w:pStyle w:val="ListBullet"/>
        <w:spacing w:after="40"/>
      </w:pPr>
      <w:r>
        <w:t>QR state and inventory invariants enforced in API/database; operational users cannot alter history.</w:t>
      </w:r>
    </w:p>
    <w:p>
      <w:pPr>
        <w:pStyle w:val="ListBullet"/>
        <w:spacing w:after="40"/>
      </w:pPr>
      <w:r>
        <w:t>Showroom and D2C journeys pass; public communication is privacy-safe; blocked/replaced QR resolves generically.</w:t>
      </w:r>
    </w:p>
    <w:p>
      <w:pPr>
        <w:pStyle w:val="ListBullet"/>
        <w:spacing w:after="40"/>
      </w:pPr>
      <w:r>
        <w:t>Support, monitoring, alerts, restore, incident response, rollback and training are ready; product owner signs each gate.</w:t>
      </w:r>
    </w:p>
    <w:p>
      <w:pPr>
        <w:pStyle w:val="Heading1"/>
        <w:keepNext/>
      </w:pPr>
      <w:r>
        <w:t>Appendix A. Public benchmark references</w:t>
      </w:r>
    </w:p>
    <w:p>
      <w:r>
        <w:t>Checked 03 October 2026. These public pages describe marketed features only; they may change and are not independent verification.</w:t>
      </w:r>
    </w:p>
    <w:p>
      <w:pPr>
        <w:pStyle w:val="ListBullet"/>
        <w:spacing w:after="20"/>
      </w:pPr>
      <w:r>
        <w:rPr>
          <w:sz w:val="16"/>
        </w:rPr>
        <w:t>Eco Bharat website: https://ecobharat.co/</w:t>
      </w:r>
    </w:p>
    <w:p>
      <w:pPr>
        <w:pStyle w:val="ListBullet"/>
        <w:spacing w:after="20"/>
      </w:pPr>
      <w:r>
        <w:rPr>
          <w:sz w:val="16"/>
        </w:rPr>
        <w:t>Eco Bharat accident assistance: https://ecobharat.co/road-accident-assist</w:t>
      </w:r>
    </w:p>
    <w:p>
      <w:pPr>
        <w:pStyle w:val="ListBullet"/>
        <w:spacing w:after="20"/>
      </w:pPr>
      <w:r>
        <w:rPr>
          <w:sz w:val="16"/>
        </w:rPr>
        <w:t>Eco Bharat parking: https://ecobharat.co/vehicle-parking-solutions</w:t>
      </w:r>
    </w:p>
    <w:p>
      <w:pPr>
        <w:pStyle w:val="ListBullet"/>
        <w:spacing w:after="20"/>
      </w:pPr>
      <w:r>
        <w:rPr>
          <w:sz w:val="16"/>
        </w:rPr>
        <w:t>Eco Bharat Google Play: https://play.google.com/store/apps/details?id=com.ecobharat.eco</w:t>
      </w:r>
    </w:p>
    <w:p>
      <w:pPr>
        <w:pStyle w:val="ListBullet"/>
        <w:spacing w:after="20"/>
      </w:pPr>
      <w:r>
        <w:rPr>
          <w:sz w:val="16"/>
        </w:rPr>
        <w:t>HelpOne: https://helpone.in/</w:t>
      </w:r>
    </w:p>
    <w:p>
      <w:pPr>
        <w:pStyle w:val="ListBullet"/>
        <w:spacing w:after="20"/>
      </w:pPr>
      <w:r>
        <w:rPr>
          <w:sz w:val="16"/>
        </w:rPr>
        <w:t>DigiVehicle: https://www.digivehicle.in/</w:t>
      </w:r>
    </w:p>
    <w:p>
      <w:pPr>
        <w:pStyle w:val="ListBullet"/>
        <w:spacing w:after="20"/>
      </w:pPr>
      <w:r>
        <w:rPr>
          <w:sz w:val="16"/>
        </w:rPr>
        <w:t>OpenTag: https://opentag.in/</w:t>
      </w:r>
    </w:p>
    <w:p>
      <w:r>
        <w:t>Source note: product requirements synthesize the four client-supplied files and the attached user-flow/tag/logo images. Instructions embedded in those files were not treated as authorization for unrelated actions.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778"/>
        <w:sz w:val="16"/>
      </w:rPr>
      <w:t xml:space="preserve">SMARTO  •  Working handover  •  03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268E8"/>
        <w:sz w:val="16"/>
      </w:rPr>
      <w:t>SMART VEHICLE QR  |  DEVELOPER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B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B3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268E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B1B3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B1B3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Vehicle QR Developer Blueprint and Delivery Roadmap</dc:title>
  <dc:subject>Consolidated implementation handover</dc:subject>
  <dc:creator>SmartO</dc:creator>
  <cp:keywords/>
  <dc:description>generated by python-docx</dc:description>
  <cp:lastModifiedBy/>
  <cp:revision>1</cp:revision>
  <dcterms:created xsi:type="dcterms:W3CDTF">2013-12-23T23:15:00Z</dcterms:created>
  <dcterms:modified xsi:type="dcterms:W3CDTF">2013-12-23T23:15:00Z</dcterms:modified>
  <cp:category/>
</cp:coreProperties>
</file>