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4293D"/>
          <w:sz w:val="56"/>
          <w:szCs w:val="56"/>
        </w:rPr>
        <w:t xml:space="preserve">E-COMMERCE SALES</w:t>
      </w:r>
    </w:p>
    <w:p>
      <w:pPr>
        <w:spacing w:after="300"/>
        <w:jc w:val="center"/>
      </w:pPr>
      <w:r>
        <w:rPr>
          <w:b/>
          <w:bCs/>
          <w:color w:val="1F9D77"/>
          <w:sz w:val="56"/>
          <w:szCs w:val="56"/>
        </w:rPr>
        <w:t xml:space="preserve">&amp; PROFITABILITY REPORT</w:t>
      </w:r>
    </w:p>
    <w:p>
      <w:pPr>
        <w:spacing w:after="100" w:before="300"/>
        <w:jc w:val="center"/>
      </w:pPr>
      <w:r>
        <w:rPr>
          <w:i/>
          <w:iCs/>
          <w:color w:val="595959"/>
          <w:sz w:val="24"/>
          <w:szCs w:val="24"/>
        </w:rPr>
        <w:t xml:space="preserve">A data-driven analysis of sales trends, product performance, and customer segment profitability</w:t>
      </w:r>
    </w:p>
    <w:p>
      <w:pPr>
        <w:pBdr>
          <w:top w:val="single" w:color="1F9D77" w:sz="8" w:space="8"/>
        </w:pBdr>
        <w:spacing w:before="800"/>
        <w:jc w:val="center"/>
      </w:pPr>
    </w:p>
    <w:p>
      <w:pPr>
        <w:spacing w:before="200"/>
        <w:jc w:val="center"/>
      </w:pPr>
      <w:r>
        <w:rPr>
          <w:color w:val="595959"/>
          <w:sz w:val="22"/>
          <w:szCs w:val="22"/>
        </w:rPr>
        <w:t xml:space="preserve">Prepared for Stakeholder Review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July 5, 2026</w:t>
      </w:r>
    </w:p>
    <w:p>
      <w:r>
        <w:br w:type="page"/>
      </w:r>
    </w:p>
    <w:p>
      <w:pPr>
        <w:pStyle w:val="Heading1"/>
        <w:keepNext/>
        <w:pBdr>
          <w:bottom w:val="single" w:color="1F9D77" w:sz="12" w:space="6"/>
        </w:pBdr>
        <w:spacing w:after="200" w:before="0"/>
      </w:pPr>
      <w:r>
        <w:rPr>
          <w:b/>
          <w:bCs/>
          <w:color w:val="14293D"/>
        </w:rPr>
        <w:t xml:space="preserve">Executive Summary</w:t>
      </w:r>
    </w:p>
    <w:p>
      <w:pPr>
        <w:keepNext/>
        <w:spacing w:after="70" w:line="268"/>
        <w:ind w:left="360"/>
      </w:pPr>
      <w:r>
        <w:rPr>
          <w:color w:val="262626"/>
          <w:sz w:val="21"/>
          <w:szCs w:val="21"/>
        </w:rPr>
        <w:t xml:space="preserve">This report analyzes e-commerce performance across time, product categories, subcategories, and customer segments to surface the key drivers of sales and profit. The analysis reveals a timing gap between peak sales and peak profit, a clear category leader, and one customer segment that outperforms all others on every measure that matters.</w:t>
      </w:r>
    </w:p>
    <w:p>
      <w:pPr>
        <w:keepNext/>
        <w:spacing w:after="30" w:before="110"/>
        <w:ind w:left="100"/>
      </w:pPr>
      <w:r>
        <w:rPr>
          <w:b/>
          <w:bCs/>
          <w:color w:val="14293D"/>
          <w:sz w:val="21"/>
          <w:szCs w:val="21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50" w:line="268"/>
        <w:ind w:left="460" w:hanging="190"/>
      </w:pPr>
      <w:r>
        <w:rPr>
          <w:b w:val="false"/>
          <w:bCs w:val="false"/>
          <w:color w:val="262626"/>
          <w:sz w:val="21"/>
          <w:szCs w:val="21"/>
        </w:rPr>
        <w:t xml:space="preserve">Sales peak in November, but profit peaks in December — indicating a lag between holiday purchasing and profit realization.</w:t>
      </w:r>
    </w:p>
    <w:p>
      <w:pPr>
        <w:pStyle w:val="ListParagraph"/>
        <w:numPr>
          <w:ilvl w:val="0"/>
          <w:numId w:val="1"/>
        </w:numPr>
        <w:spacing w:after="50" w:line="268"/>
        <w:ind w:left="460" w:hanging="190"/>
      </w:pPr>
      <w:r>
        <w:rPr>
          <w:b w:val="false"/>
          <w:bCs w:val="false"/>
          <w:color w:val="262626"/>
          <w:sz w:val="21"/>
          <w:szCs w:val="21"/>
        </w:rPr>
        <w:t xml:space="preserve">Technology is the leading category in both sales and profit, driven primarily by the Phones subcategory.</w:t>
      </w:r>
    </w:p>
    <w:p>
      <w:pPr>
        <w:pStyle w:val="ListParagraph"/>
        <w:numPr>
          <w:ilvl w:val="0"/>
          <w:numId w:val="1"/>
        </w:numPr>
        <w:spacing w:after="50" w:line="268"/>
        <w:ind w:left="460" w:hanging="190"/>
      </w:pPr>
      <w:r>
        <w:rPr>
          <w:b w:val="false"/>
          <w:bCs w:val="false"/>
          <w:color w:val="262626"/>
          <w:sz w:val="21"/>
          <w:szCs w:val="21"/>
        </w:rPr>
        <w:t xml:space="preserve">Furniture generates solid sales but the lowest profit of any category, pointing to margin pressure that warrants review.</w:t>
      </w:r>
    </w:p>
    <w:p>
      <w:pPr>
        <w:pStyle w:val="ListParagraph"/>
        <w:numPr>
          <w:ilvl w:val="0"/>
          <w:numId w:val="1"/>
        </w:numPr>
        <w:spacing w:after="50" w:line="268"/>
        <w:ind w:left="460" w:hanging="190"/>
      </w:pPr>
      <w:r>
        <w:rPr>
          <w:b w:val="false"/>
          <w:bCs w:val="false"/>
          <w:color w:val="262626"/>
          <w:sz w:val="21"/>
          <w:szCs w:val="21"/>
        </w:rPr>
        <w:t xml:space="preserve">Office Supplies and the Envelopes subcategory are the weakest performers by sales and may benefit from bundling or repositioning.</w:t>
      </w:r>
    </w:p>
    <w:p>
      <w:pPr>
        <w:pStyle w:val="ListParagraph"/>
        <w:numPr>
          <w:ilvl w:val="0"/>
          <w:numId w:val="1"/>
        </w:numPr>
        <w:spacing w:after="50" w:line="268"/>
        <w:ind w:left="460" w:hanging="190"/>
      </w:pPr>
      <w:r>
        <w:rPr>
          <w:b w:val="false"/>
          <w:bCs w:val="false"/>
          <w:color w:val="262626"/>
          <w:sz w:val="21"/>
          <w:szCs w:val="21"/>
        </w:rPr>
        <w:t xml:space="preserve">The Consumer segment leads on every metric — highest total sales, highest total profit, and the most efficient sales-to-profit ratio — making it the top priority for retention and growth investment.</w:t>
      </w:r>
    </w:p>
    <w:p>
      <w:pPr>
        <w:pStyle w:val="Heading1"/>
        <w:keepNext/>
        <w:pageBreakBefore/>
        <w:pBdr>
          <w:bottom w:val="single" w:color="1F9D77" w:sz="12" w:space="6"/>
        </w:pBdr>
        <w:spacing w:after="200" w:before="0"/>
      </w:pPr>
      <w:r>
        <w:rPr>
          <w:b/>
          <w:bCs/>
          <w:color w:val="14293D"/>
        </w:rPr>
        <w:t xml:space="preserve">Detailed Analysis</w:t>
      </w:r>
    </w:p>
    <w:p>
      <w:pPr>
        <w:pStyle w:val="Heading2"/>
        <w:keepNext/>
        <w:shd w:fill="E8F5F0" w:val="clear"/>
        <w:spacing w:after="100" w:before="260"/>
      </w:pPr>
      <w:r>
        <w:rPr>
          <w:b/>
          <w:bCs/>
          <w:color w:val="14293D"/>
          <w:sz w:val="26"/>
          <w:szCs w:val="26"/>
        </w:rPr>
        <w:t xml:space="preserve">Q1. </w:t>
      </w:r>
      <w:r>
        <w:rPr>
          <w:b/>
          <w:bCs/>
          <w:color w:val="14293D"/>
          <w:sz w:val="26"/>
          <w:szCs w:val="26"/>
        </w:rPr>
        <w:t xml:space="preserve">What are the monthly sales trends, and which months recorded the highest and lowest sales?</w:t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Guidelines</w:t>
      </w:r>
      <w:r>
        <w:br/>
        <w:t xml:space="preserve"/>
      </w:r>
      <w:r>
        <w:rPr>
          <w:color w:val="262626"/>
          <w:sz w:val="21"/>
          <w:szCs w:val="21"/>
        </w:rPr>
        <w:t xml:space="preserve">Aggregated total sales for each month and plotted a line chart to identify the months with the highest and lowest sales.</w:t>
      </w:r>
    </w:p>
    <w:p>
      <w:pPr>
        <w:keepNext/>
        <w:spacing w:after="30" w:before="110"/>
        <w:ind w:left="100"/>
      </w:pPr>
      <w:r>
        <w:rPr>
          <w:b/>
          <w:bCs/>
          <w:color w:val="14293D"/>
          <w:sz w:val="21"/>
          <w:szCs w:val="21"/>
        </w:rPr>
        <w:t xml:space="preserve">Visualization</w:t>
      </w:r>
    </w:p>
    <w:p>
      <w:pPr>
        <w:keepNext/>
        <w:keepLines/>
        <w:spacing w:after="120" w:before="60"/>
        <w:jc w:val="center"/>
      </w:pPr>
      <w:r>
        <w:drawing>
          <wp:inline distT="0" distB="0" distL="0" distR="0">
            <wp:extent cx="54864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Observation</w:t>
      </w:r>
      <w:r>
        <w:br/>
        <w:t xml:space="preserve"/>
      </w:r>
      <w:r>
        <w:rPr>
          <w:color w:val="262626"/>
          <w:sz w:val="21"/>
          <w:szCs w:val="21"/>
        </w:rPr>
        <w:t xml:space="preserve">November recorded the highest monthly sales, while February recorded the lowest.</w:t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Business Insight</w:t>
      </w:r>
      <w:r>
        <w:br/>
        <w:t xml:space="preserve"/>
      </w:r>
      <w:r>
        <w:rPr>
          <w:color w:val="262626"/>
          <w:sz w:val="21"/>
          <w:szCs w:val="21"/>
        </w:rPr>
        <w:t xml:space="preserve">Sales peak sharply in November, likely driven by holiday-season shopping such as Black Friday and Cyber Monday, while February marks the seasonal low point — an opportunity for targeted promotions during slower months.</w:t>
      </w:r>
    </w:p>
    <w:p>
      <w:pPr>
        <w:pStyle w:val="Heading2"/>
        <w:keepNext/>
        <w:shd w:fill="E8F5F0" w:val="clear"/>
        <w:spacing w:after="100" w:before="260"/>
      </w:pPr>
      <w:r>
        <w:rPr>
          <w:b/>
          <w:bCs/>
          <w:color w:val="14293D"/>
          <w:sz w:val="26"/>
          <w:szCs w:val="26"/>
        </w:rPr>
        <w:t xml:space="preserve">Q2. </w:t>
      </w:r>
      <w:r>
        <w:rPr>
          <w:b/>
          <w:bCs/>
          <w:color w:val="14293D"/>
          <w:sz w:val="26"/>
          <w:szCs w:val="26"/>
        </w:rPr>
        <w:t xml:space="preserve">How do sales vary across product categories, and which categories generate the highest and lowest sales?</w:t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Guidelines</w:t>
      </w:r>
      <w:r>
        <w:br/>
        <w:t xml:space="preserve"/>
      </w:r>
      <w:r>
        <w:rPr>
          <w:color w:val="262626"/>
          <w:sz w:val="21"/>
          <w:szCs w:val="21"/>
        </w:rPr>
        <w:t xml:space="preserve">Calculated total sales for each product category and plotted a pie chart to visualize each category's contribution to overall sales.</w:t>
      </w:r>
    </w:p>
    <w:p>
      <w:pPr>
        <w:keepNext/>
        <w:spacing w:after="30" w:before="110"/>
        <w:ind w:left="100"/>
      </w:pPr>
      <w:r>
        <w:rPr>
          <w:b/>
          <w:bCs/>
          <w:color w:val="14293D"/>
          <w:sz w:val="21"/>
          <w:szCs w:val="21"/>
        </w:rPr>
        <w:t xml:space="preserve">Visualization</w:t>
      </w:r>
    </w:p>
    <w:p>
      <w:pPr>
        <w:keepNext/>
        <w:keepLines/>
        <w:spacing w:after="120" w:before="60"/>
        <w:jc w:val="center"/>
      </w:pPr>
      <w:r>
        <w:drawing>
          <wp:inline distT="0" distB="0" distL="0" distR="0">
            <wp:extent cx="54864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Observation</w:t>
      </w:r>
      <w:r>
        <w:br/>
        <w:t xml:space="preserve"/>
      </w:r>
      <w:r>
        <w:rPr>
          <w:color w:val="262626"/>
          <w:sz w:val="21"/>
          <w:szCs w:val="21"/>
        </w:rPr>
        <w:t xml:space="preserve">The Technology category generated the highest sales, while Office Supplies generated the lowest.</w:t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Business Insight</w:t>
      </w:r>
      <w:r>
        <w:br/>
        <w:t xml:space="preserve"/>
      </w:r>
      <w:r>
        <w:rPr>
          <w:color w:val="262626"/>
          <w:sz w:val="21"/>
          <w:szCs w:val="21"/>
        </w:rPr>
        <w:t xml:space="preserve">Technology products are the primary sales driver and merit continued investment, while Office Supplies may benefit from bundling or promotional strategies to boost demand.</w:t>
      </w:r>
    </w:p>
    <w:p>
      <w:pPr>
        <w:pStyle w:val="Heading2"/>
        <w:keepNext/>
        <w:shd w:fill="E8F5F0" w:val="clear"/>
        <w:spacing w:after="100" w:before="260"/>
      </w:pPr>
      <w:r>
        <w:rPr>
          <w:b/>
          <w:bCs/>
          <w:color w:val="14293D"/>
          <w:sz w:val="26"/>
          <w:szCs w:val="26"/>
        </w:rPr>
        <w:t xml:space="preserve">Q3. </w:t>
      </w:r>
      <w:r>
        <w:rPr>
          <w:b/>
          <w:bCs/>
          <w:color w:val="14293D"/>
          <w:sz w:val="26"/>
          <w:szCs w:val="26"/>
        </w:rPr>
        <w:t xml:space="preserve">How do sales vary across product subcategories?</w:t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Guidelines</w:t>
      </w:r>
      <w:r>
        <w:br/>
        <w:t xml:space="preserve"/>
      </w:r>
      <w:r>
        <w:rPr>
          <w:color w:val="262626"/>
          <w:sz w:val="21"/>
          <w:szCs w:val="21"/>
        </w:rPr>
        <w:t xml:space="preserve">Calculated total sales for each subcategory and plotted a bar chart to compare performance across all subcategories.</w:t>
      </w:r>
    </w:p>
    <w:p>
      <w:pPr>
        <w:keepNext/>
        <w:spacing w:after="30" w:before="110"/>
        <w:ind w:left="100"/>
      </w:pPr>
      <w:r>
        <w:rPr>
          <w:b/>
          <w:bCs/>
          <w:color w:val="14293D"/>
          <w:sz w:val="21"/>
          <w:szCs w:val="21"/>
        </w:rPr>
        <w:t xml:space="preserve">Visualization</w:t>
      </w:r>
    </w:p>
    <w:p>
      <w:pPr>
        <w:keepNext/>
        <w:keepLines/>
        <w:spacing w:after="120" w:before="60"/>
        <w:jc w:val="center"/>
      </w:pPr>
      <w:r>
        <w:drawing>
          <wp:inline distT="0" distB="0" distL="0" distR="0">
            <wp:extent cx="54864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Observation</w:t>
      </w:r>
      <w:r>
        <w:br/>
        <w:t xml:space="preserve"/>
      </w:r>
      <w:r>
        <w:rPr>
          <w:color w:val="262626"/>
          <w:sz w:val="21"/>
          <w:szCs w:val="21"/>
        </w:rPr>
        <w:t xml:space="preserve">The Phones subcategory recorded the highest total sales, while Envelopes recorded the lowest.</w:t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Business Insight</w:t>
      </w:r>
      <w:r>
        <w:br/>
        <w:t xml:space="preserve"/>
      </w:r>
      <w:r>
        <w:rPr>
          <w:color w:val="262626"/>
          <w:sz w:val="21"/>
          <w:szCs w:val="21"/>
        </w:rPr>
        <w:t xml:space="preserve">Phones are the strongest-performing subcategory and a key revenue contributor within Technology, while consistently low performers such as Envelopes warrant a review of pricing, placement, or continued stocking.</w:t>
      </w:r>
    </w:p>
    <w:p>
      <w:pPr>
        <w:pStyle w:val="Heading2"/>
        <w:keepNext/>
        <w:shd w:fill="E8F5F0" w:val="clear"/>
        <w:spacing w:after="100" w:before="260"/>
      </w:pPr>
      <w:r>
        <w:rPr>
          <w:b/>
          <w:bCs/>
          <w:color w:val="14293D"/>
          <w:sz w:val="26"/>
          <w:szCs w:val="26"/>
        </w:rPr>
        <w:t xml:space="preserve">Q4. </w:t>
      </w:r>
      <w:r>
        <w:rPr>
          <w:b/>
          <w:bCs/>
          <w:color w:val="14293D"/>
          <w:sz w:val="26"/>
          <w:szCs w:val="26"/>
        </w:rPr>
        <w:t xml:space="preserve">What is the monthly profit trend, and which months generated the highest and lowest profit?</w:t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Guidelines</w:t>
      </w:r>
      <w:r>
        <w:br/>
        <w:t xml:space="preserve"/>
      </w:r>
      <w:r>
        <w:rPr>
          <w:color w:val="262626"/>
          <w:sz w:val="21"/>
          <w:szCs w:val="21"/>
        </w:rPr>
        <w:t xml:space="preserve">Calculated total profit for each month and plotted a line chart to identify the months with the highest and lowest profit.</w:t>
      </w:r>
    </w:p>
    <w:p>
      <w:pPr>
        <w:keepNext/>
        <w:spacing w:after="30" w:before="110"/>
        <w:ind w:left="100"/>
      </w:pPr>
      <w:r>
        <w:rPr>
          <w:b/>
          <w:bCs/>
          <w:color w:val="14293D"/>
          <w:sz w:val="21"/>
          <w:szCs w:val="21"/>
        </w:rPr>
        <w:t xml:space="preserve">Visualization</w:t>
      </w:r>
    </w:p>
    <w:p>
      <w:pPr>
        <w:keepNext/>
        <w:keepLines/>
        <w:spacing w:after="120" w:before="60"/>
        <w:jc w:val="center"/>
      </w:pPr>
      <w:r>
        <w:drawing>
          <wp:inline distT="0" distB="0" distL="0" distR="0">
            <wp:extent cx="54864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Observation</w:t>
      </w:r>
      <w:r>
        <w:br/>
        <w:t xml:space="preserve"/>
      </w:r>
      <w:r>
        <w:rPr>
          <w:color w:val="262626"/>
          <w:sz w:val="21"/>
          <w:szCs w:val="21"/>
        </w:rPr>
        <w:t xml:space="preserve">December generated the highest profit, while January generated the lowest.</w:t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Business Insight</w:t>
      </w:r>
      <w:r>
        <w:br/>
        <w:t xml:space="preserve"/>
      </w:r>
      <w:r>
        <w:rPr>
          <w:color w:val="262626"/>
          <w:sz w:val="21"/>
          <w:szCs w:val="21"/>
        </w:rPr>
        <w:t xml:space="preserve">Profit peaks in December align with year-end and holiday purchasing, while the January decline suggests a post-holiday slowdown that could be offset with early-year promotional campaigns.</w:t>
      </w:r>
    </w:p>
    <w:p>
      <w:pPr>
        <w:pStyle w:val="Heading2"/>
        <w:keepNext/>
        <w:shd w:fill="E8F5F0" w:val="clear"/>
        <w:spacing w:after="100" w:before="260"/>
      </w:pPr>
      <w:r>
        <w:rPr>
          <w:b/>
          <w:bCs/>
          <w:color w:val="14293D"/>
          <w:sz w:val="26"/>
          <w:szCs w:val="26"/>
        </w:rPr>
        <w:t xml:space="preserve">Q5. </w:t>
      </w:r>
      <w:r>
        <w:rPr>
          <w:b/>
          <w:bCs/>
          <w:color w:val="14293D"/>
          <w:sz w:val="26"/>
          <w:szCs w:val="26"/>
        </w:rPr>
        <w:t xml:space="preserve">How does profit vary by category, and which categories are the most and least profitable?</w:t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Guidelines</w:t>
      </w:r>
      <w:r>
        <w:br/>
        <w:t xml:space="preserve"/>
      </w:r>
      <w:r>
        <w:rPr>
          <w:color w:val="262626"/>
          <w:sz w:val="21"/>
          <w:szCs w:val="21"/>
        </w:rPr>
        <w:t xml:space="preserve">Calculated total profit for each product category and plotted a pie chart to visualize each category's share of overall profit.</w:t>
      </w:r>
    </w:p>
    <w:p>
      <w:pPr>
        <w:keepNext/>
        <w:spacing w:after="30" w:before="110"/>
        <w:ind w:left="100"/>
      </w:pPr>
      <w:r>
        <w:rPr>
          <w:b/>
          <w:bCs/>
          <w:color w:val="14293D"/>
          <w:sz w:val="21"/>
          <w:szCs w:val="21"/>
        </w:rPr>
        <w:t xml:space="preserve">Visualization</w:t>
      </w:r>
    </w:p>
    <w:p>
      <w:pPr>
        <w:keepNext/>
        <w:keepLines/>
        <w:spacing w:after="120" w:before="60"/>
        <w:jc w:val="center"/>
      </w:pPr>
      <w:r>
        <w:drawing>
          <wp:inline distT="0" distB="0" distL="0" distR="0">
            <wp:extent cx="54864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Observation</w:t>
      </w:r>
      <w:r>
        <w:br/>
        <w:t xml:space="preserve"/>
      </w:r>
      <w:r>
        <w:rPr>
          <w:color w:val="262626"/>
          <w:sz w:val="21"/>
          <w:szCs w:val="21"/>
        </w:rPr>
        <w:t xml:space="preserve">The Technology category generated the highest profit, while Furniture generated the lowest.</w:t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Business Insight</w:t>
      </w:r>
      <w:r>
        <w:br/>
        <w:t xml:space="preserve"/>
      </w:r>
      <w:r>
        <w:rPr>
          <w:color w:val="262626"/>
          <w:sz w:val="21"/>
          <w:szCs w:val="21"/>
        </w:rPr>
        <w:t xml:space="preserve">Furniture's comparatively low profit despite meaningful sales volume points to thin margins, indicating a need to review pricing or cost structure for this category.</w:t>
      </w:r>
    </w:p>
    <w:p>
      <w:pPr>
        <w:pStyle w:val="Heading2"/>
        <w:keepNext/>
        <w:shd w:fill="E8F5F0" w:val="clear"/>
        <w:spacing w:after="100" w:before="260"/>
      </w:pPr>
      <w:r>
        <w:rPr>
          <w:b/>
          <w:bCs/>
          <w:color w:val="14293D"/>
          <w:sz w:val="26"/>
          <w:szCs w:val="26"/>
        </w:rPr>
        <w:t xml:space="preserve">Q6. </w:t>
      </w:r>
      <w:r>
        <w:rPr>
          <w:b/>
          <w:bCs/>
          <w:color w:val="14293D"/>
          <w:sz w:val="26"/>
          <w:szCs w:val="26"/>
        </w:rPr>
        <w:t xml:space="preserve">How do sales and profit compare across customer segments?</w:t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Guidelines</w:t>
      </w:r>
      <w:r>
        <w:br/>
        <w:t xml:space="preserve"/>
      </w:r>
      <w:r>
        <w:rPr>
          <w:color w:val="262626"/>
          <w:sz w:val="21"/>
          <w:szCs w:val="21"/>
        </w:rPr>
        <w:t xml:space="preserve">Calculated total sales and total profit for each customer segment and plotted a stacked column chart comparing both metrics across segments.</w:t>
      </w:r>
    </w:p>
    <w:p>
      <w:pPr>
        <w:keepNext/>
        <w:spacing w:after="30" w:before="110"/>
        <w:ind w:left="100"/>
      </w:pPr>
      <w:r>
        <w:rPr>
          <w:b/>
          <w:bCs/>
          <w:color w:val="14293D"/>
          <w:sz w:val="21"/>
          <w:szCs w:val="21"/>
        </w:rPr>
        <w:t xml:space="preserve">Visualization</w:t>
      </w:r>
    </w:p>
    <w:p>
      <w:pPr>
        <w:keepNext/>
        <w:keepLines/>
        <w:spacing w:after="120" w:before="60"/>
        <w:jc w:val="center"/>
      </w:pPr>
      <w:r>
        <w:drawing>
          <wp:inline distT="0" distB="0" distL="0" distR="0">
            <wp:extent cx="54864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Observation</w:t>
      </w:r>
      <w:r>
        <w:br/>
        <w:t xml:space="preserve"/>
      </w:r>
      <w:r>
        <w:rPr>
          <w:color w:val="262626"/>
          <w:sz w:val="21"/>
          <w:szCs w:val="21"/>
        </w:rPr>
        <w:t xml:space="preserve">The Consumer segment generated the highest total sales and total profit among all customer segments.</w:t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Business Insight</w:t>
      </w:r>
      <w:r>
        <w:br/>
        <w:t xml:space="preserve"/>
      </w:r>
      <w:r>
        <w:rPr>
          <w:color w:val="262626"/>
          <w:sz w:val="21"/>
          <w:szCs w:val="21"/>
        </w:rPr>
        <w:t xml:space="preserve">The Consumer segment is the most valuable customer group by both revenue and profit, making it the top priority for retention and loyalty initiatives.</w:t>
      </w:r>
    </w:p>
    <w:p>
      <w:pPr>
        <w:pStyle w:val="Heading2"/>
        <w:keepNext/>
        <w:shd w:fill="E8F5F0" w:val="clear"/>
        <w:spacing w:after="100" w:before="260"/>
      </w:pPr>
      <w:r>
        <w:rPr>
          <w:b/>
          <w:bCs/>
          <w:color w:val="14293D"/>
          <w:sz w:val="26"/>
          <w:szCs w:val="26"/>
        </w:rPr>
        <w:t xml:space="preserve">Q7. </w:t>
      </w:r>
      <w:r>
        <w:rPr>
          <w:b/>
          <w:bCs/>
          <w:color w:val="14293D"/>
          <w:sz w:val="26"/>
          <w:szCs w:val="26"/>
        </w:rPr>
        <w:t xml:space="preserve">How does the sales-to-profit ratio compare across customer segments?</w:t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Guidelines</w:t>
      </w:r>
      <w:r>
        <w:br/>
        <w:t xml:space="preserve"/>
      </w:r>
      <w:r>
        <w:rPr>
          <w:color w:val="262626"/>
          <w:sz w:val="21"/>
          <w:szCs w:val="21"/>
        </w:rPr>
        <w:t xml:space="preserve">Calculated the sales-to-profit ratio for each customer segment and plotted a bar chart to compare efficiency across segments.</w:t>
      </w:r>
    </w:p>
    <w:p>
      <w:pPr>
        <w:keepNext/>
        <w:spacing w:after="30" w:before="110"/>
        <w:ind w:left="100"/>
      </w:pPr>
      <w:r>
        <w:rPr>
          <w:b/>
          <w:bCs/>
          <w:color w:val="14293D"/>
          <w:sz w:val="21"/>
          <w:szCs w:val="21"/>
        </w:rPr>
        <w:t xml:space="preserve">Visualization</w:t>
      </w:r>
    </w:p>
    <w:p>
      <w:pPr>
        <w:keepNext/>
        <w:keepLines/>
        <w:spacing w:after="120" w:before="60"/>
        <w:jc w:val="center"/>
      </w:pPr>
      <w:r>
        <w:drawing>
          <wp:inline distT="0" distB="0" distL="0" distR="0">
            <wp:extent cx="54864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Observation</w:t>
      </w:r>
      <w:r>
        <w:br/>
        <w:t xml:space="preserve"/>
      </w:r>
      <w:r>
        <w:rPr>
          <w:color w:val="262626"/>
          <w:sz w:val="21"/>
          <w:szCs w:val="21"/>
        </w:rPr>
        <w:t xml:space="preserve">The Consumer segment has the highest sales-to-profit ratio among all customer segments.</w:t>
      </w:r>
    </w:p>
    <w:p>
      <w:pPr>
        <w:keepLines/>
        <w:spacing w:after="70" w:before="110" w:line="268"/>
        <w:ind w:left="100"/>
      </w:pPr>
      <w:r>
        <w:rPr>
          <w:b/>
          <w:bCs/>
          <w:color w:val="14293D"/>
          <w:sz w:val="21"/>
          <w:szCs w:val="21"/>
        </w:rPr>
        <w:t xml:space="preserve">Business Insight</w:t>
      </w:r>
      <w:r>
        <w:br/>
        <w:t xml:space="preserve"/>
      </w:r>
      <w:r>
        <w:rPr>
          <w:color w:val="262626"/>
          <w:sz w:val="21"/>
          <w:szCs w:val="21"/>
        </w:rPr>
        <w:t xml:space="preserve">Beyond generating the most revenue, the Consumer segment also converts sales into profit most efficiently — reinforcing it as the most strategically important segment for marketing and retention investment.</w:t>
      </w:r>
    </w:p>
    <w:p>
      <w:pPr>
        <w:pStyle w:val="Heading1"/>
        <w:keepNext/>
        <w:pageBreakBefore/>
        <w:pBdr>
          <w:bottom w:val="single" w:color="1F9D77" w:sz="12" w:space="6"/>
        </w:pBdr>
        <w:spacing w:after="200" w:before="0"/>
      </w:pPr>
      <w:r>
        <w:rPr>
          <w:b/>
          <w:bCs/>
          <w:color w:val="14293D"/>
        </w:rPr>
        <w:t xml:space="preserve">Key Takeaways &amp; Recommendations</w:t>
      </w:r>
    </w:p>
    <w:p>
      <w:pPr>
        <w:keepNext/>
        <w:spacing w:after="30" w:before="110"/>
        <w:ind w:left="100"/>
      </w:pPr>
      <w:r>
        <w:rPr>
          <w:b/>
          <w:bCs/>
          <w:color w:val="14293D"/>
          <w:sz w:val="21"/>
          <w:szCs w:val="21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50" w:line="268"/>
        <w:ind w:left="460" w:hanging="190"/>
      </w:pPr>
      <w:r>
        <w:rPr>
          <w:b w:val="false"/>
          <w:bCs w:val="false"/>
          <w:color w:val="262626"/>
          <w:sz w:val="21"/>
          <w:szCs w:val="21"/>
        </w:rPr>
        <w:t xml:space="preserve">Launch early-year (January–February) promotional campaigns to offset the post-holiday sales and profit slowdown.</w:t>
      </w:r>
    </w:p>
    <w:p>
      <w:pPr>
        <w:pStyle w:val="ListParagraph"/>
        <w:numPr>
          <w:ilvl w:val="0"/>
          <w:numId w:val="1"/>
        </w:numPr>
        <w:spacing w:after="50" w:line="268"/>
        <w:ind w:left="460" w:hanging="190"/>
      </w:pPr>
      <w:r>
        <w:rPr>
          <w:b w:val="false"/>
          <w:bCs w:val="false"/>
          <w:color w:val="262626"/>
          <w:sz w:val="21"/>
          <w:szCs w:val="21"/>
        </w:rPr>
        <w:t xml:space="preserve">Continue prioritizing investment in the Technology category, particularly Phones, as the strongest sales and profit driver.</w:t>
      </w:r>
    </w:p>
    <w:p>
      <w:pPr>
        <w:pStyle w:val="ListParagraph"/>
        <w:numPr>
          <w:ilvl w:val="0"/>
          <w:numId w:val="1"/>
        </w:numPr>
        <w:spacing w:after="50" w:line="268"/>
        <w:ind w:left="460" w:hanging="190"/>
      </w:pPr>
      <w:r>
        <w:rPr>
          <w:b w:val="false"/>
          <w:bCs w:val="false"/>
          <w:color w:val="262626"/>
          <w:sz w:val="21"/>
          <w:szCs w:val="21"/>
        </w:rPr>
        <w:t xml:space="preserve">Review pricing and cost structure for Furniture to address its disproportionately low profit margin relative to its sales volume.</w:t>
      </w:r>
    </w:p>
    <w:p>
      <w:pPr>
        <w:pStyle w:val="ListParagraph"/>
        <w:numPr>
          <w:ilvl w:val="0"/>
          <w:numId w:val="1"/>
        </w:numPr>
        <w:spacing w:after="50" w:line="268"/>
        <w:ind w:left="460" w:hanging="190"/>
      </w:pPr>
      <w:r>
        <w:rPr>
          <w:b w:val="false"/>
          <w:bCs w:val="false"/>
          <w:color w:val="262626"/>
          <w:sz w:val="21"/>
          <w:szCs w:val="21"/>
        </w:rPr>
        <w:t xml:space="preserve">Evaluate bundling, repositioning, or phase-out for consistently low performers such as Office Supplies and Envelopes.</w:t>
      </w:r>
    </w:p>
    <w:p>
      <w:pPr>
        <w:pStyle w:val="ListParagraph"/>
        <w:numPr>
          <w:ilvl w:val="0"/>
          <w:numId w:val="1"/>
        </w:numPr>
        <w:spacing w:after="50" w:line="268"/>
        <w:ind w:left="460" w:hanging="190"/>
      </w:pPr>
      <w:r>
        <w:rPr>
          <w:b w:val="false"/>
          <w:bCs w:val="false"/>
          <w:color w:val="262626"/>
          <w:sz w:val="21"/>
          <w:szCs w:val="21"/>
        </w:rPr>
        <w:t xml:space="preserve">Prioritize retention and loyalty programs for the Consumer segment, given its leadership in sales, profit, and profit efficiency.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E-Commerce Sales &amp; Profitability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4293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429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27e8abb5a946c163092e54d1c262342a92ca22.png"/><Relationship Id="rId10" Type="http://schemas.openxmlformats.org/officeDocument/2006/relationships/image" Target="media/6aae521ca680333fbe8446295e85ec32d874ef04.png"/><Relationship Id="rId11" Type="http://schemas.openxmlformats.org/officeDocument/2006/relationships/image" Target="media/0fc86960c4da4827cc0badd599c230d05be3e9e4.png"/><Relationship Id="rId12" Type="http://schemas.openxmlformats.org/officeDocument/2006/relationships/image" Target="media/4005c76b90fb1bb6d210327a024294f39c6b8520.png"/><Relationship Id="rId13" Type="http://schemas.openxmlformats.org/officeDocument/2006/relationships/image" Target="media/9dd68f71b7d5b9469e5d860e2110a06d3cb8c98d.png"/><Relationship Id="rId14" Type="http://schemas.openxmlformats.org/officeDocument/2006/relationships/image" Target="media/619b6de52257bc662ffa79d2e226b3f2ea95e751.png"/><Relationship Id="rId15" Type="http://schemas.openxmlformats.org/officeDocument/2006/relationships/image" Target="media/2d4f92d92ac28410b4c103198183b864a79203d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2026-07-05T16:06:21.202Z</dcterms:created>
  <dcterms:modified xsi:type="dcterms:W3CDTF">2026-07-05T16:06:21.202Z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