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FaceEval-X</w:t>
      </w:r>
    </w:p>
    <w:p>
      <w:pPr>
        <w:spacing w:after="240"/>
        <w:jc w:val="center"/>
      </w:pPr>
      <w:r>
        <w:rPr>
          <w:rFonts w:ascii="Calibri" w:cs="Calibri" w:eastAsia="Calibri" w:hAnsi="Calibri"/>
          <w:b/>
          <w:bCs/>
          <w:color w:val="2E5395"/>
          <w:sz w:val="26"/>
          <w:szCs w:val="26"/>
        </w:rPr>
        <w:t xml:space="preserve">A Multi-Dimensional Benchmarking Framework for Face Recognition Systems Under Distribution Shift</w:t>
      </w:r>
    </w:p>
    <w:p>
      <w:pPr>
        <w:spacing w:after="400"/>
        <w:jc w:val="center"/>
      </w:pPr>
      <w:r>
        <w:rPr>
          <w:rFonts w:ascii="Calibri" w:cs="Calibri" w:eastAsia="Calibri" w:hAnsi="Calibri"/>
          <w:i/>
          <w:iCs/>
          <w:color w:val="555555"/>
          <w:sz w:val="22"/>
          <w:szCs w:val="22"/>
        </w:rPr>
        <w:t xml:space="preserve">Project Proposal</w:t>
      </w:r>
    </w:p>
    <w:p>
      <w:pPr>
        <w:pStyle w:val="Heading1"/>
        <w:spacing w:after="160" w:before="320"/>
      </w:pPr>
      <w:r>
        <w:rPr>
          <w:rFonts w:ascii="Calibri" w:cs="Calibri" w:eastAsia="Calibri" w:hAnsi="Calibri"/>
          <w:b/>
          <w:bCs/>
          <w:color w:val="1F3864"/>
          <w:sz w:val="28"/>
          <w:szCs w:val="28"/>
        </w:rPr>
        <w:t xml:space="preserve">1. Introduction and Background</w:t>
      </w:r>
    </w:p>
    <w:p>
      <w:pPr>
        <w:spacing w:after="160" w:line="276"/>
        <w:jc w:val="both"/>
      </w:pPr>
      <w:r>
        <w:rPr>
          <w:rFonts w:ascii="Calibri" w:cs="Calibri" w:eastAsia="Calibri" w:hAnsi="Calibri"/>
          <w:sz w:val="22"/>
          <w:szCs w:val="22"/>
        </w:rPr>
        <w:t xml:space="preserve">Face recognition systems are now deployed across border control, mobile authentication, surveillance, and access-control settings, yet the models underlying these deployments are typically evaluated on clean, curated benchmark datasets that do not reflect the degraded, variable conditions encountered in the field. Blur from motion or poor focus, sensor noise, lighting changes, pose variation, partial occlusion, and compression artifacts are all common in real deployments, but standard accuracy metrics reported on datasets such as Labeled Faces in the Wild (LFW) rarely characterize how a model degrades as these conditions worsen.</w:t>
      </w:r>
    </w:p>
    <w:p>
      <w:pPr>
        <w:spacing w:after="160" w:line="276"/>
        <w:jc w:val="both"/>
      </w:pPr>
      <w:r>
        <w:rPr>
          <w:rFonts w:ascii="Calibri" w:cs="Calibri" w:eastAsia="Calibri" w:hAnsi="Calibri"/>
          <w:sz w:val="22"/>
          <w:szCs w:val="22"/>
        </w:rPr>
        <w:t xml:space="preserve">A further gap exists between traditional machine learning approaches to face recognition (Eigenfaces, Fisherfaces, LBPH, and classical feature-plus-classifier pipelines) and modern deep learning approaches (FaceNet, ArcFace, InsightFace, and related embedding models). These two families are rarely benchmarked side by side under a common, controlled evaluation protocol, making it difficult for practitioners to make evidence-based deployment decisions — particularly in resource-constrained settings where a lighter traditional model may be preferable to a deep model if the accuracy gap under realistic conditions is small.</w:t>
      </w:r>
    </w:p>
    <w:p>
      <w:pPr>
        <w:spacing w:after="160" w:line="276"/>
        <w:jc w:val="both"/>
      </w:pPr>
      <w:r>
        <w:rPr>
          <w:rFonts w:ascii="Calibri" w:cs="Calibri" w:eastAsia="Calibri" w:hAnsi="Calibri"/>
          <w:sz w:val="22"/>
          <w:szCs w:val="22"/>
        </w:rPr>
        <w:t xml:space="preserve">This proposal describes FaceEval-X, a modular and reproducible software framework for multi-dimensional benchmarking of face recognition systems under systematically controlled distribution shift. Rather than proposing a new recognition algorithm, the contribution of this work is the benchmarking instrument itself: a reusable framework that quantifies robustness, calibration, fairness, and deployment readiness across models from both paradigms.</w:t>
      </w:r>
    </w:p>
    <w:p>
      <w:pPr>
        <w:pStyle w:val="Heading1"/>
        <w:spacing w:after="160" w:before="320"/>
      </w:pPr>
      <w:r>
        <w:rPr>
          <w:rFonts w:ascii="Calibri" w:cs="Calibri" w:eastAsia="Calibri" w:hAnsi="Calibri"/>
          <w:b/>
          <w:bCs/>
          <w:color w:val="1F3864"/>
          <w:sz w:val="28"/>
          <w:szCs w:val="28"/>
        </w:rPr>
        <w:t xml:space="preserve">2. Problem Statement</w:t>
      </w:r>
    </w:p>
    <w:p>
      <w:pPr>
        <w:spacing w:after="160" w:line="276"/>
        <w:jc w:val="both"/>
      </w:pPr>
      <w:r>
        <w:rPr>
          <w:rFonts w:ascii="Calibri" w:cs="Calibri" w:eastAsia="Calibri" w:hAnsi="Calibri"/>
          <w:sz w:val="22"/>
          <w:szCs w:val="22"/>
        </w:rPr>
        <w:t xml:space="preserve">Existing face recognition evaluation practice suffers from three related shortcomings that this project addresses directly:</w:t>
      </w:r>
    </w:p>
    <w:p>
      <w:pPr>
        <w:pStyle w:val="ListParagraph"/>
        <w:numPr>
          <w:ilvl w:val="0"/>
          <w:numId w:val="2"/>
        </w:numPr>
        <w:spacing w:after="80"/>
      </w:pPr>
      <w:r>
        <w:rPr>
          <w:rFonts w:ascii="Calibri" w:cs="Calibri" w:eastAsia="Calibri" w:hAnsi="Calibri"/>
          <w:sz w:val="22"/>
          <w:szCs w:val="22"/>
        </w:rPr>
        <w:t xml:space="preserve">Accuracy-only reporting: most published comparisons report a single accuracy or verification rate on clean data, with no systematic account of how performance degrades under blur, noise, lighting, pose, occlusion, or compression.</w:t>
      </w:r>
    </w:p>
    <w:p>
      <w:pPr>
        <w:pStyle w:val="ListParagraph"/>
        <w:numPr>
          <w:ilvl w:val="0"/>
          <w:numId w:val="2"/>
        </w:numPr>
        <w:spacing w:after="80"/>
      </w:pPr>
      <w:r>
        <w:rPr>
          <w:rFonts w:ascii="Calibri" w:cs="Calibri" w:eastAsia="Calibri" w:hAnsi="Calibri"/>
          <w:sz w:val="22"/>
          <w:szCs w:val="22"/>
        </w:rPr>
        <w:t xml:space="preserve">Cross-paradigm blind spots: traditional ML and deep learning face recognition models are evaluated in separate literatures with different protocols, preventing direct, apples-to-apples comparison.</w:t>
      </w:r>
    </w:p>
    <w:p>
      <w:pPr>
        <w:pStyle w:val="ListParagraph"/>
        <w:numPr>
          <w:ilvl w:val="0"/>
          <w:numId w:val="2"/>
        </w:numPr>
        <w:spacing w:after="80"/>
      </w:pPr>
      <w:r>
        <w:rPr>
          <w:rFonts w:ascii="Calibri" w:cs="Calibri" w:eastAsia="Calibri" w:hAnsi="Calibri"/>
          <w:sz w:val="22"/>
          <w:szCs w:val="22"/>
        </w:rPr>
        <w:t xml:space="preserve">Deployment-blind evaluation: accuracy alone does not capture the calibration quality, demographic fairness, inference latency, and memory footprint that actually determine whether a model is suitable for a given deployment scenario (e.g., mobile authentication versus large-scale surveillance).</w:t>
      </w:r>
    </w:p>
    <w:p>
      <w:pPr>
        <w:spacing w:after="160" w:line="276"/>
        <w:jc w:val="both"/>
      </w:pPr>
      <w:r>
        <w:rPr>
          <w:rFonts w:ascii="Calibri" w:cs="Calibri" w:eastAsia="Calibri" w:hAnsi="Calibri"/>
          <w:sz w:val="22"/>
          <w:szCs w:val="22"/>
        </w:rPr>
        <w:t xml:space="preserve">FaceEval-X is designed to close these gaps by providing a single, extensible framework that trains and evaluates models from both paradigms under an identical, parameterized perturbation protocol, and that reports results along axes that map directly onto deployment decisions.</w:t>
      </w:r>
    </w:p>
    <w:p>
      <w:pPr>
        <w:pStyle w:val="Heading1"/>
        <w:spacing w:after="160" w:before="320"/>
      </w:pPr>
      <w:r>
        <w:rPr>
          <w:rFonts w:ascii="Calibri" w:cs="Calibri" w:eastAsia="Calibri" w:hAnsi="Calibri"/>
          <w:b/>
          <w:bCs/>
          <w:color w:val="1F3864"/>
          <w:sz w:val="28"/>
          <w:szCs w:val="28"/>
        </w:rPr>
        <w:t xml:space="preserve">3. Objectives</w:t>
      </w:r>
    </w:p>
    <w:p>
      <w:pPr>
        <w:pStyle w:val="ListParagraph"/>
        <w:numPr>
          <w:ilvl w:val="0"/>
          <w:numId w:val="2"/>
        </w:numPr>
        <w:spacing w:after="80"/>
      </w:pPr>
      <w:r>
        <w:rPr>
          <w:rFonts w:ascii="Calibri" w:cs="Calibri" w:eastAsia="Calibri" w:hAnsi="Calibri"/>
          <w:sz w:val="22"/>
          <w:szCs w:val="22"/>
        </w:rPr>
        <w:t xml:space="preserve">Design and implement a unified evaluation pipeline capable of benchmarking traditional ML and deep learning face recognition models under identical experimental conditions.</w:t>
      </w:r>
    </w:p>
    <w:p>
      <w:pPr>
        <w:pStyle w:val="ListParagraph"/>
        <w:numPr>
          <w:ilvl w:val="0"/>
          <w:numId w:val="2"/>
        </w:numPr>
        <w:spacing w:after="80"/>
      </w:pPr>
      <w:r>
        <w:rPr>
          <w:rFonts w:ascii="Calibri" w:cs="Calibri" w:eastAsia="Calibri" w:hAnsi="Calibri"/>
          <w:sz w:val="22"/>
          <w:szCs w:val="22"/>
        </w:rPr>
        <w:t xml:space="preserve">Implement a sixteen-type perturbation engine spanning blur, noise, photometric, geometric, occlusion, and compression categories, each parameterized by a continuous severity value, to enable systematic robustness testing.</w:t>
      </w:r>
    </w:p>
    <w:p>
      <w:pPr>
        <w:pStyle w:val="ListParagraph"/>
        <w:numPr>
          <w:ilvl w:val="0"/>
          <w:numId w:val="2"/>
        </w:numPr>
        <w:spacing w:after="80"/>
      </w:pPr>
      <w:r>
        <w:rPr>
          <w:rFonts w:ascii="Calibri" w:cs="Calibri" w:eastAsia="Calibri" w:hAnsi="Calibri"/>
          <w:sz w:val="22"/>
          <w:szCs w:val="22"/>
        </w:rPr>
        <w:t xml:space="preserve">Introduce a Behavioral Fingerprint construct — a fixed twenty-one-dimensional descriptor summarizing a model's robustness, calibration, fairness, and efficiency profile — to allow models from different paradigms to be compared on a common scale.</w:t>
      </w:r>
    </w:p>
    <w:p>
      <w:pPr>
        <w:pStyle w:val="ListParagraph"/>
        <w:numPr>
          <w:ilvl w:val="0"/>
          <w:numId w:val="2"/>
        </w:numPr>
        <w:spacing w:after="80"/>
      </w:pPr>
      <w:r>
        <w:rPr>
          <w:rFonts w:ascii="Calibri" w:cs="Calibri" w:eastAsia="Calibri" w:hAnsi="Calibri"/>
          <w:sz w:val="22"/>
          <w:szCs w:val="22"/>
        </w:rPr>
        <w:t xml:space="preserve">Build a failure analysis module that clusters and characterizes misclassifications by failure mode (false accept, false reject, high-confidence-wrong, low-confidence-correct).</w:t>
      </w:r>
    </w:p>
    <w:p>
      <w:pPr>
        <w:pStyle w:val="ListParagraph"/>
        <w:numPr>
          <w:ilvl w:val="0"/>
          <w:numId w:val="2"/>
        </w:numPr>
        <w:spacing w:after="80"/>
      </w:pPr>
      <w:r>
        <w:rPr>
          <w:rFonts w:ascii="Calibri" w:cs="Calibri" w:eastAsia="Calibri" w:hAnsi="Calibri"/>
          <w:sz w:val="22"/>
          <w:szCs w:val="22"/>
        </w:rPr>
        <w:t xml:space="preserve">Develop a context-weighted deployment scoring engine that combines accuracy, robustness, calibration, fairness, latency, memory, and computational cost into a single composite score, configurable per deployment scenario.</w:t>
      </w:r>
    </w:p>
    <w:p>
      <w:pPr>
        <w:pStyle w:val="ListParagraph"/>
        <w:numPr>
          <w:ilvl w:val="0"/>
          <w:numId w:val="2"/>
        </w:numPr>
        <w:spacing w:after="80"/>
      </w:pPr>
      <w:r>
        <w:rPr>
          <w:rFonts w:ascii="Calibri" w:cs="Calibri" w:eastAsia="Calibri" w:hAnsi="Calibri"/>
          <w:sz w:val="22"/>
          <w:szCs w:val="22"/>
        </w:rPr>
        <w:t xml:space="preserve">Provide a working software artifact — backend, dashboard, and reporting layer — that is reusable and extensible beyond the scope of this project.</w:t>
      </w:r>
    </w:p>
    <w:p>
      <w:pPr>
        <w:pStyle w:val="Heading1"/>
        <w:spacing w:after="160" w:before="320"/>
      </w:pPr>
      <w:r>
        <w:rPr>
          <w:rFonts w:ascii="Calibri" w:cs="Calibri" w:eastAsia="Calibri" w:hAnsi="Calibri"/>
          <w:b/>
          <w:bCs/>
          <w:color w:val="1F3864"/>
          <w:sz w:val="28"/>
          <w:szCs w:val="28"/>
        </w:rPr>
        <w:t xml:space="preserve">4. System Overview</w:t>
      </w:r>
    </w:p>
    <w:p>
      <w:pPr>
        <w:spacing w:after="160" w:line="276"/>
        <w:jc w:val="both"/>
      </w:pPr>
      <w:r>
        <w:rPr>
          <w:rFonts w:ascii="Calibri" w:cs="Calibri" w:eastAsia="Calibri" w:hAnsi="Calibri"/>
          <w:sz w:val="22"/>
          <w:szCs w:val="22"/>
        </w:rPr>
        <w:t xml:space="preserve">FaceEval-X is implemented as a modular Python package organized into layers that mirror the evaluation pipeline: data ingestion, preprocessing, model training, controlled perturbation, evaluation, and reporting. The system supports ten registered recognition models: six traditional approaches (Eigenfaces, Fisherfaces, LBPH, PCA+SVM, HOG+SVM, and KNN) and four deep learning approaches (FaceNet, ArcFace, InsightFace, and Dlib FR), with deterministic stub fallbacks so the pipeline remains runnable in environments where a given deep learning dependency is unavailable.</w:t>
      </w:r>
    </w:p>
    <w:p>
      <w:pPr>
        <w:pStyle w:val="Heading2"/>
        <w:spacing w:after="120" w:before="240"/>
      </w:pPr>
      <w:r>
        <w:rPr>
          <w:rFonts w:ascii="Calibri" w:cs="Calibri" w:eastAsia="Calibri" w:hAnsi="Calibri"/>
          <w:b/>
          <w:bCs/>
          <w:color w:val="2E5395"/>
          <w:sz w:val="24"/>
          <w:szCs w:val="24"/>
        </w:rPr>
        <w:t xml:space="preserve">4.1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65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layer</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Loads and organizes face image datasets, manages subject-disjoint train/test splits for closed-set identification.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Preprocessing</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Face detection, alignment, and normalization prior to model input.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 layer</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Ten registered recognition models across traditional ML and deep learning paradigms, behind a common interface.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Perturbation engine</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Sixteen perturbation types across six categories, each parameterized by severity in [0, 1].</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Evaluation engine</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Computes accuracy, calibration, fairness, and efficiency metrics; builds Accuracy-Degradation Curves.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Behavioral fingerprint</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Aggregates results into a 21-dimensional per-model robustness profile.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Failure analysis</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Clusters and characterizes misclassifications by failure mode.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Deployment scoring</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Context-weighted composite score for scenario-specific deployment recommendations.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Reporting / dashboard</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FastAPI backend with SQLite result store; React/Vite dashboard for interactive exploration.</w:t>
            </w:r>
          </w:p>
        </w:tc>
      </w:tr>
    </w:tbl>
    <w:p>
      <w:pPr>
        <w:spacing w:after="160"/>
      </w:pPr>
    </w:p>
    <w:p>
      <w:pPr>
        <w:pStyle w:val="Heading2"/>
        <w:spacing w:after="120" w:before="240"/>
      </w:pPr>
      <w:r>
        <w:rPr>
          <w:rFonts w:ascii="Calibri" w:cs="Calibri" w:eastAsia="Calibri" w:hAnsi="Calibri"/>
          <w:b/>
          <w:bCs/>
          <w:color w:val="2E5395"/>
          <w:sz w:val="24"/>
          <w:szCs w:val="24"/>
        </w:rPr>
        <w:t xml:space="preserve">4.2 Perturbation Engine</w:t>
      </w:r>
    </w:p>
    <w:p>
      <w:pPr>
        <w:spacing w:after="160" w:line="276"/>
        <w:jc w:val="both"/>
      </w:pPr>
      <w:r>
        <w:rPr>
          <w:rFonts w:ascii="Calibri" w:cs="Calibri" w:eastAsia="Calibri" w:hAnsi="Calibri"/>
          <w:sz w:val="22"/>
          <w:szCs w:val="22"/>
        </w:rPr>
        <w:t xml:space="preserve">The perturbation engine applies sixteen distinct, parameterized transformations spanning six categories: blur, noise, photometric, geometric, occlusion, and compression. Each perturbation is controlled by a normalized severity value in the range [0, 1], allowing any recognition model to be evaluated across a continuous degradation curve rather than a single fixed condition. Applying every model to every perturbation type at multiple severities produces the Accuracy-Degradation Curve (ADC), the core robustness artifact of the framework.</w:t>
      </w:r>
    </w:p>
    <w:p>
      <w:pPr>
        <w:pStyle w:val="Heading2"/>
        <w:spacing w:after="120" w:before="240"/>
      </w:pPr>
      <w:r>
        <w:rPr>
          <w:rFonts w:ascii="Calibri" w:cs="Calibri" w:eastAsia="Calibri" w:hAnsi="Calibri"/>
          <w:b/>
          <w:bCs/>
          <w:color w:val="2E5395"/>
          <w:sz w:val="24"/>
          <w:szCs w:val="24"/>
        </w:rPr>
        <w:t xml:space="preserve">4.3 Behavioral Fingerprint</w:t>
      </w:r>
    </w:p>
    <w:p>
      <w:pPr>
        <w:spacing w:after="160" w:line="276"/>
        <w:jc w:val="both"/>
      </w:pPr>
      <w:r>
        <w:rPr>
          <w:rFonts w:ascii="Calibri" w:cs="Calibri" w:eastAsia="Calibri" w:hAnsi="Calibri"/>
          <w:sz w:val="22"/>
          <w:szCs w:val="22"/>
        </w:rPr>
        <w:t xml:space="preserve">To allow direct comparison between models built on fundamentally different algorithms, FaceEval-X introduces the Behavioral Fingerprint: a fixed twenty-one-dimensional descriptor per model, combining robustness scores across all sixteen perturbation types with calibration quality, demographic fairness, inference speed, and memory efficiency. This descriptor places traditional ML and deep learning models on a common, interpretable scale, independent of the internal mechanics of each model.</w:t>
      </w:r>
    </w:p>
    <w:p>
      <w:pPr>
        <w:pStyle w:val="Heading2"/>
        <w:spacing w:after="120" w:before="240"/>
      </w:pPr>
      <w:r>
        <w:rPr>
          <w:rFonts w:ascii="Calibri" w:cs="Calibri" w:eastAsia="Calibri" w:hAnsi="Calibri"/>
          <w:b/>
          <w:bCs/>
          <w:color w:val="2E5395"/>
          <w:sz w:val="24"/>
          <w:szCs w:val="24"/>
        </w:rPr>
        <w:t xml:space="preserve">4.4 Failure Analysis and Deployment Scoring</w:t>
      </w:r>
    </w:p>
    <w:p>
      <w:pPr>
        <w:spacing w:after="160" w:line="276"/>
        <w:jc w:val="both"/>
      </w:pPr>
      <w:r>
        <w:rPr>
          <w:rFonts w:ascii="Calibri" w:cs="Calibri" w:eastAsia="Calibri" w:hAnsi="Calibri"/>
          <w:sz w:val="22"/>
          <w:szCs w:val="22"/>
        </w:rPr>
        <w:t xml:space="preserve">Beyond aggregate metrics, the framework extracts, clusters, and characterizes individual misclassifications into four failure modes: false accept, false reject, high-confidence-wrong, and low-confidence-correct. This granularity supports diagnosis of why a model fails, not just how often. These failure statistics feed into a context-weighted deployment scoring engine, which combines accuracy, robustness, calibration, fairness, latency, memory, and computational cost into a single composite score. Weights are configurable per deployment scenario — for example, false rejects may be weighted heavily for border control, while latency and memory dominate for mobile authentication.</w:t>
      </w:r>
    </w:p>
    <w:p>
      <w:pPr>
        <w:pStyle w:val="Heading1"/>
        <w:spacing w:after="160" w:before="320"/>
      </w:pPr>
      <w:r>
        <w:rPr>
          <w:rFonts w:ascii="Calibri" w:cs="Calibri" w:eastAsia="Calibri" w:hAnsi="Calibri"/>
          <w:b/>
          <w:bCs/>
          <w:color w:val="1F3864"/>
          <w:sz w:val="28"/>
          <w:szCs w:val="28"/>
        </w:rPr>
        <w:t xml:space="preserve">5. Methodology</w:t>
      </w:r>
    </w:p>
    <w:p>
      <w:pPr>
        <w:spacing w:after="160" w:line="276"/>
        <w:jc w:val="both"/>
      </w:pPr>
      <w:r>
        <w:rPr>
          <w:rFonts w:ascii="Calibri" w:cs="Calibri" w:eastAsia="Calibri" w:hAnsi="Calibri"/>
          <w:sz w:val="22"/>
          <w:szCs w:val="22"/>
        </w:rPr>
        <w:t xml:space="preserve">The project will proceed through the following stages, each independently verifiable before moving to the next:</w:t>
      </w:r>
    </w:p>
    <w:p>
      <w:pPr>
        <w:pStyle w:val="ListParagraph"/>
        <w:numPr>
          <w:ilvl w:val="0"/>
          <w:numId w:val="2"/>
        </w:numPr>
        <w:spacing w:after="80"/>
      </w:pPr>
      <w:r>
        <w:rPr>
          <w:rFonts w:ascii="Calibri" w:cs="Calibri" w:eastAsia="Calibri" w:hAnsi="Calibri"/>
          <w:sz w:val="22"/>
          <w:szCs w:val="22"/>
        </w:rPr>
        <w:t xml:space="preserve">Core types, configuration schema, and the data layer, including subject-disjoint splitting logic for closed-set identification.</w:t>
      </w:r>
    </w:p>
    <w:p>
      <w:pPr>
        <w:pStyle w:val="ListParagraph"/>
        <w:numPr>
          <w:ilvl w:val="0"/>
          <w:numId w:val="2"/>
        </w:numPr>
        <w:spacing w:after="80"/>
      </w:pPr>
      <w:r>
        <w:rPr>
          <w:rFonts w:ascii="Calibri" w:cs="Calibri" w:eastAsia="Calibri" w:hAnsi="Calibri"/>
          <w:sz w:val="22"/>
          <w:szCs w:val="22"/>
        </w:rPr>
        <w:t xml:space="preserve">Preprocessing pipeline: face detection, alignment, and normalization.</w:t>
      </w:r>
    </w:p>
    <w:p>
      <w:pPr>
        <w:pStyle w:val="ListParagraph"/>
        <w:numPr>
          <w:ilvl w:val="0"/>
          <w:numId w:val="2"/>
        </w:numPr>
        <w:spacing w:after="80"/>
      </w:pPr>
      <w:r>
        <w:rPr>
          <w:rFonts w:ascii="Calibri" w:cs="Calibri" w:eastAsia="Calibri" w:hAnsi="Calibri"/>
          <w:sz w:val="22"/>
          <w:szCs w:val="22"/>
        </w:rPr>
        <w:t xml:space="preserve">Implementation of six traditional ML models (Eigenfaces, Fisherfaces, LBPH, PCA+SVM, HOG+SVM, KNN) and four deep learning models (FaceNet, ArcFace, InsightFace, Dlib FR), each behind a common evaluation interface with deterministic stub fallbacks.</w:t>
      </w:r>
    </w:p>
    <w:p>
      <w:pPr>
        <w:pStyle w:val="ListParagraph"/>
        <w:numPr>
          <w:ilvl w:val="0"/>
          <w:numId w:val="2"/>
        </w:numPr>
        <w:spacing w:after="80"/>
      </w:pPr>
      <w:r>
        <w:rPr>
          <w:rFonts w:ascii="Calibri" w:cs="Calibri" w:eastAsia="Calibri" w:hAnsi="Calibri"/>
          <w:sz w:val="22"/>
          <w:szCs w:val="22"/>
        </w:rPr>
        <w:t xml:space="preserve">Implementation and validation of the sixteen-type perturbation engine.</w:t>
      </w:r>
    </w:p>
    <w:p>
      <w:pPr>
        <w:pStyle w:val="ListParagraph"/>
        <w:numPr>
          <w:ilvl w:val="0"/>
          <w:numId w:val="2"/>
        </w:numPr>
        <w:spacing w:after="80"/>
      </w:pPr>
      <w:r>
        <w:rPr>
          <w:rFonts w:ascii="Calibri" w:cs="Calibri" w:eastAsia="Calibri" w:hAnsi="Calibri"/>
          <w:sz w:val="22"/>
          <w:szCs w:val="22"/>
        </w:rPr>
        <w:t xml:space="preserve">Evaluation engine: metrics computation, calibration analysis, latency/memory profiling, and fairness analysis.</w:t>
      </w:r>
    </w:p>
    <w:p>
      <w:pPr>
        <w:pStyle w:val="ListParagraph"/>
        <w:numPr>
          <w:ilvl w:val="0"/>
          <w:numId w:val="2"/>
        </w:numPr>
        <w:spacing w:after="80"/>
      </w:pPr>
      <w:r>
        <w:rPr>
          <w:rFonts w:ascii="Calibri" w:cs="Calibri" w:eastAsia="Calibri" w:hAnsi="Calibri"/>
          <w:sz w:val="22"/>
          <w:szCs w:val="22"/>
        </w:rPr>
        <w:t xml:space="preserve">Behavioral fingerprint construction and Accuracy-Degradation Curve generation.</w:t>
      </w:r>
    </w:p>
    <w:p>
      <w:pPr>
        <w:pStyle w:val="ListParagraph"/>
        <w:numPr>
          <w:ilvl w:val="0"/>
          <w:numId w:val="2"/>
        </w:numPr>
        <w:spacing w:after="80"/>
      </w:pPr>
      <w:r>
        <w:rPr>
          <w:rFonts w:ascii="Calibri" w:cs="Calibri" w:eastAsia="Calibri" w:hAnsi="Calibri"/>
          <w:sz w:val="22"/>
          <w:szCs w:val="22"/>
        </w:rPr>
        <w:t xml:space="preserve">Failure analysis module and context-weighted deployment scoring engine.</w:t>
      </w:r>
    </w:p>
    <w:p>
      <w:pPr>
        <w:pStyle w:val="ListParagraph"/>
        <w:numPr>
          <w:ilvl w:val="0"/>
          <w:numId w:val="2"/>
        </w:numPr>
        <w:spacing w:after="80"/>
      </w:pPr>
      <w:r>
        <w:rPr>
          <w:rFonts w:ascii="Calibri" w:cs="Calibri" w:eastAsia="Calibri" w:hAnsi="Calibri"/>
          <w:sz w:val="22"/>
          <w:szCs w:val="22"/>
        </w:rPr>
        <w:t xml:space="preserve">Visualization layer, orchestration and reporting, FastAPI backend with SQLite result storage, and a React-based interactive dashboard.</w:t>
      </w:r>
    </w:p>
    <w:p>
      <w:pPr>
        <w:pStyle w:val="ListParagraph"/>
        <w:numPr>
          <w:ilvl w:val="0"/>
          <w:numId w:val="2"/>
        </w:numPr>
        <w:spacing w:after="80"/>
      </w:pPr>
      <w:r>
        <w:rPr>
          <w:rFonts w:ascii="Calibri" w:cs="Calibri" w:eastAsia="Calibri" w:hAnsi="Calibri"/>
          <w:sz w:val="22"/>
          <w:szCs w:val="22"/>
        </w:rPr>
        <w:t xml:space="preserve">End-to-end pipeline validation on a full benchmark run over the Labeled Faces in the Wild (LFW) dataset.</w:t>
      </w:r>
    </w:p>
    <w:p>
      <w:pPr>
        <w:spacing w:after="160" w:line="276"/>
        <w:jc w:val="both"/>
      </w:pPr>
      <w:r>
        <w:rPr>
          <w:rFonts w:ascii="Calibri" w:cs="Calibri" w:eastAsia="Calibri" w:hAnsi="Calibri"/>
          <w:sz w:val="22"/>
          <w:szCs w:val="22"/>
        </w:rPr>
        <w:t xml:space="preserve">Each stage will be validated with executable checks before the next is started, ensuring that the full pipeline — from raw images through preprocessing, training, perturbation, and metric computation to deployment-ready recommendations — is verified incrementally rather than only at the end.</w:t>
      </w:r>
    </w:p>
    <w:p>
      <w:pPr>
        <w:pStyle w:val="Heading1"/>
        <w:spacing w:after="160" w:before="320"/>
      </w:pPr>
      <w:r>
        <w:rPr>
          <w:rFonts w:ascii="Calibri" w:cs="Calibri" w:eastAsia="Calibri" w:hAnsi="Calibri"/>
          <w:b/>
          <w:bCs/>
          <w:color w:val="1F3864"/>
          <w:sz w:val="28"/>
          <w:szCs w:val="28"/>
        </w:rPr>
        <w:t xml:space="preserve">6. Implementation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5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 framework</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package (data layer, preprocessing, models, perturbation, evaluation, scoring).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API</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FastAPI, with a SQLite database for experiment result storage.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with Vite for a live, interactive benchmark exploration interface.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Traditional ML models</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scikit-learn / scikit-image based implementations (Eigenfaces, Fisherfaces, LBPH, PCA+SVM, HOG+SVM, KNN).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 learning models</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FaceNet, ArcFace, InsightFace, Dlib FR, with deterministic stub fallbacks where a dependency is unavailable.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Dataset</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Labeled Faces in the Wild (LFW) for the full benchmark run.</w:t>
            </w:r>
          </w:p>
        </w:tc>
      </w:tr>
    </w:tbl>
    <w:p>
      <w:pPr>
        <w:spacing w:after="160"/>
      </w:pPr>
    </w:p>
    <w:p>
      <w:pPr>
        <w:pStyle w:val="Heading1"/>
        <w:spacing w:after="160" w:before="320"/>
      </w:pPr>
      <w:r>
        <w:rPr>
          <w:rFonts w:ascii="Calibri" w:cs="Calibri" w:eastAsia="Calibri" w:hAnsi="Calibri"/>
          <w:b/>
          <w:bCs/>
          <w:color w:val="1F3864"/>
          <w:sz w:val="28"/>
          <w:szCs w:val="28"/>
        </w:rPr>
        <w:t xml:space="preserve">7. Expected Outcomes and Contribution</w:t>
      </w:r>
    </w:p>
    <w:p>
      <w:pPr>
        <w:spacing w:after="160" w:line="276"/>
        <w:jc w:val="both"/>
      </w:pPr>
      <w:r>
        <w:rPr>
          <w:rFonts w:ascii="Calibri" w:cs="Calibri" w:eastAsia="Calibri" w:hAnsi="Calibri"/>
          <w:sz w:val="22"/>
          <w:szCs w:val="22"/>
        </w:rPr>
        <w:t xml:space="preserve">The primary deliverable of this project is the FaceEval-X framework itself: a reusable, extensible benchmarking instrument rather than a novel recognition algorithm. Concretely, the project is expected to produce:</w:t>
      </w:r>
    </w:p>
    <w:p>
      <w:pPr>
        <w:pStyle w:val="ListParagraph"/>
        <w:numPr>
          <w:ilvl w:val="0"/>
          <w:numId w:val="2"/>
        </w:numPr>
        <w:spacing w:after="80"/>
      </w:pPr>
      <w:r>
        <w:rPr>
          <w:rFonts w:ascii="Calibri" w:cs="Calibri" w:eastAsia="Calibri" w:hAnsi="Calibri"/>
          <w:sz w:val="22"/>
          <w:szCs w:val="22"/>
        </w:rPr>
        <w:t xml:space="preserve">A working, installable software package implementing the full pipeline described above, validated end-to-end on a real dataset.</w:t>
      </w:r>
    </w:p>
    <w:p>
      <w:pPr>
        <w:pStyle w:val="ListParagraph"/>
        <w:numPr>
          <w:ilvl w:val="0"/>
          <w:numId w:val="2"/>
        </w:numPr>
        <w:spacing w:after="80"/>
      </w:pPr>
      <w:r>
        <w:rPr>
          <w:rFonts w:ascii="Calibri" w:cs="Calibri" w:eastAsia="Calibri" w:hAnsi="Calibri"/>
          <w:sz w:val="22"/>
          <w:szCs w:val="22"/>
        </w:rPr>
        <w:t xml:space="preserve">A sixteen-type perturbation engine and associated Accuracy-Degradation Curves, usable for robustness analysis of any registered model.</w:t>
      </w:r>
    </w:p>
    <w:p>
      <w:pPr>
        <w:pStyle w:val="ListParagraph"/>
        <w:numPr>
          <w:ilvl w:val="0"/>
          <w:numId w:val="2"/>
        </w:numPr>
        <w:spacing w:after="80"/>
      </w:pPr>
      <w:r>
        <w:rPr>
          <w:rFonts w:ascii="Calibri" w:cs="Calibri" w:eastAsia="Calibri" w:hAnsi="Calibri"/>
          <w:sz w:val="22"/>
          <w:szCs w:val="22"/>
        </w:rPr>
        <w:t xml:space="preserve">A twenty-one-dimensional Behavioral Fingerprint per model, enabling direct comparison across traditional ML and deep learning paradigms on a common scale.</w:t>
      </w:r>
    </w:p>
    <w:p>
      <w:pPr>
        <w:pStyle w:val="ListParagraph"/>
        <w:numPr>
          <w:ilvl w:val="0"/>
          <w:numId w:val="2"/>
        </w:numPr>
        <w:spacing w:after="80"/>
      </w:pPr>
      <w:r>
        <w:rPr>
          <w:rFonts w:ascii="Calibri" w:cs="Calibri" w:eastAsia="Calibri" w:hAnsi="Calibri"/>
          <w:sz w:val="22"/>
          <w:szCs w:val="22"/>
        </w:rPr>
        <w:t xml:space="preserve">A failure analysis module and context-weighted deployment scoring engine, producing scenario-specific deployment recommendations (e.g., for border control, mobile authentication, or surveillance).</w:t>
      </w:r>
    </w:p>
    <w:p>
      <w:pPr>
        <w:pStyle w:val="ListParagraph"/>
        <w:numPr>
          <w:ilvl w:val="0"/>
          <w:numId w:val="2"/>
        </w:numPr>
        <w:spacing w:after="80"/>
      </w:pPr>
      <w:r>
        <w:rPr>
          <w:rFonts w:ascii="Calibri" w:cs="Calibri" w:eastAsia="Calibri" w:hAnsi="Calibri"/>
          <w:sz w:val="22"/>
          <w:szCs w:val="22"/>
        </w:rPr>
        <w:t xml:space="preserve">An interactive FastAPI/React dashboard for exploring results, alongside a publication-quality visualization layer for static reporting.</w:t>
      </w:r>
    </w:p>
    <w:p>
      <w:pPr>
        <w:spacing w:after="160" w:line="276"/>
        <w:jc w:val="both"/>
      </w:pPr>
      <w:r>
        <w:rPr>
          <w:rFonts w:ascii="Calibri" w:cs="Calibri" w:eastAsia="Calibri" w:hAnsi="Calibri"/>
          <w:sz w:val="22"/>
          <w:szCs w:val="22"/>
        </w:rPr>
        <w:t xml:space="preserve">Beyond the immediate deliverable, the framework is intended to remain useful after the project concludes: its modular design allows additional recognition models, perturbation types, or deployment scenarios to be registered without modifying the core evaluation logic, making it a lasting instrument for future robustness studies rather than a one-off benchmark script.</w:t>
      </w:r>
    </w:p>
    <w:p>
      <w:pPr>
        <w:pStyle w:val="Heading1"/>
        <w:spacing w:after="160" w:before="320"/>
      </w:pPr>
      <w:r>
        <w:rPr>
          <w:rFonts w:ascii="Calibri" w:cs="Calibri" w:eastAsia="Calibri" w:hAnsi="Calibri"/>
          <w:b/>
          <w:bCs/>
          <w:color w:val="1F3864"/>
          <w:sz w:val="28"/>
          <w:szCs w:val="28"/>
        </w:rPr>
        <w:t xml:space="preserve">8. Conclusion</w:t>
      </w:r>
    </w:p>
    <w:p>
      <w:pPr>
        <w:spacing w:after="160" w:line="276"/>
        <w:jc w:val="both"/>
      </w:pPr>
      <w:r>
        <w:rPr>
          <w:rFonts w:ascii="Calibri" w:cs="Calibri" w:eastAsia="Calibri" w:hAnsi="Calibri"/>
          <w:sz w:val="22"/>
          <w:szCs w:val="22"/>
        </w:rPr>
        <w:t xml:space="preserve">FaceEval-X addresses a concrete and underserved gap in face recognition evaluation practice: the absence of a unified, reproducible framework for comparing traditional and deep learning models under controlled, realistic distribution shift, along axes that map directly onto deployment decisions. By combining a parameterized perturbation engine, a cross-paradigm behavioral fingerprint, failure-mode analysis, and context-weighted deployment scoring within a single extensible framework, this project delivers both a rigorous evaluation methodology and a practical software artifact that can inform real-world face recognition deployment choices.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FaceEval-X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2026-07-02T06:12:38.612Z</dcterms:created>
  <dcterms:modified xsi:type="dcterms:W3CDTF">2026-07-02T06:12:38.612Z</dcterms:modified>
</cp:coreProperties>
</file>

<file path=docProps/custom.xml><?xml version="1.0" encoding="utf-8"?>
<Properties xmlns="http://schemas.openxmlformats.org/officeDocument/2006/custom-properties" xmlns:vt="http://schemas.openxmlformats.org/officeDocument/2006/docPropsVTypes"/>
</file>