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bCs/>
          <w:sz w:val="28"/>
          <w:szCs w:val="28"/>
        </w:rPr>
        <w:t xml:space="preserve">TRIBHUVAN UNIVERSITY</w:t>
      </w:r>
    </w:p>
    <w:p>
      <w:pPr>
        <w:spacing w:after="200"/>
        <w:jc w:val="center"/>
      </w:pPr>
      <w:r>
        <w:rPr>
          <w:rFonts w:ascii="Times New Roman" w:cs="Times New Roman" w:eastAsia="Times New Roman" w:hAnsi="Times New Roman"/>
          <w:b/>
          <w:bCs/>
          <w:sz w:val="28"/>
          <w:szCs w:val="28"/>
        </w:rPr>
        <w:t xml:space="preserve">INSTITUTE OF SCIENCE AND TECHNOLOGY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bCs/>
          <w:sz w:val="30"/>
          <w:szCs w:val="30"/>
        </w:rPr>
        <w:t xml:space="preserve">Multi-Dimensional Evaluation Framework for Benchmarking Traditional Machine Learning and Deep Learning Face Recognition Systems Under Distribution Shift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bCs/>
          <w:sz w:val="26"/>
          <w:szCs w:val="26"/>
        </w:rPr>
        <w:t xml:space="preserve">A THESIS</w:t>
      </w:r>
    </w:p>
    <w:p>
      <w:pPr>
        <w:spacing w:after="200"/>
        <w:jc w:val="center"/>
      </w:pPr>
      <w:r>
        <w:rPr>
          <w:rFonts w:ascii="Times New Roman" w:cs="Times New Roman" w:eastAsia="Times New Roman" w:hAnsi="Times New Roman"/>
          <w:b w:val="false"/>
          <w:bCs w:val="false"/>
          <w:sz w:val="24"/>
          <w:szCs w:val="24"/>
        </w:rPr>
        <w:t xml:space="preserve">SUBMITTED TO</w:t>
      </w:r>
    </w:p>
    <w:p>
      <w:pPr>
        <w:spacing w:after="200"/>
        <w:jc w:val="center"/>
      </w:pPr>
      <w:r>
        <w:rPr>
          <w:rFonts w:ascii="Times New Roman" w:cs="Times New Roman" w:eastAsia="Times New Roman" w:hAnsi="Times New Roman"/>
          <w:b/>
          <w:bCs/>
          <w:sz w:val="24"/>
          <w:szCs w:val="24"/>
        </w:rPr>
        <w:t xml:space="preserve">DEPARTMENT OF COMPUTER SCIENCE AND INFORMATION TECHNOLOGY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val="false"/>
          <w:bCs w:val="false"/>
          <w:sz w:val="22"/>
          <w:szCs w:val="22"/>
        </w:rPr>
        <w:t xml:space="preserve">IN PARTIAL FULFILLMENT OF THE REQUIREMENTS FOR THE DEGREE OF</w:t>
      </w:r>
    </w:p>
    <w:p>
      <w:pPr>
        <w:spacing w:after="200"/>
        <w:jc w:val="center"/>
      </w:pPr>
      <w:r>
        <w:rPr>
          <w:rFonts w:ascii="Times New Roman" w:cs="Times New Roman" w:eastAsia="Times New Roman" w:hAnsi="Times New Roman"/>
          <w:b/>
          <w:bCs/>
          <w:sz w:val="24"/>
          <w:szCs w:val="24"/>
        </w:rPr>
        <w:t xml:space="preserve">MASTER OF SCIENCE IN INFORMATION TECHNOLOGY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val="false"/>
          <w:bCs w:val="false"/>
          <w:sz w:val="22"/>
          <w:szCs w:val="22"/>
        </w:rPr>
        <w:t xml:space="preserve">BY</w:t>
      </w:r>
    </w:p>
    <w:p>
      <w:pPr>
        <w:spacing w:after="200"/>
        <w:jc w:val="center"/>
      </w:pPr>
      <w:r>
        <w:rPr>
          <w:rFonts w:ascii="Times New Roman" w:cs="Times New Roman" w:eastAsia="Times New Roman" w:hAnsi="Times New Roman"/>
          <w:b/>
          <w:bCs/>
          <w:sz w:val="24"/>
          <w:szCs w:val="24"/>
        </w:rPr>
        <w:t xml:space="preserve">[STUDENT FULL NAME]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val="false"/>
          <w:bCs w:val="false"/>
          <w:sz w:val="22"/>
          <w:szCs w:val="22"/>
        </w:rPr>
        <w:t xml:space="preserve">[MONTH, YEAR]</w:t>
      </w:r>
    </w:p>
    <w:p>
      <w:r>
        <w:br w:type="page"/>
      </w:r>
    </w:p>
    <w:p>
      <w:pPr>
        <w:sectPr>
          <w:footerReference w:type="default" r:id="rId7"/>
          <w:pgSz w:w="11906" w:h="16838" w:orient="portrait"/>
          <w:pgMar w:top="1440" w:right="1440" w:bottom="1440" w:left="1800" w:header="708" w:footer="708" w:gutter="0"/>
          <w:pgNumType/>
          <w:titlePg/>
          <w:docGrid w:linePitch="360"/>
        </w:sectPr>
      </w:pPr>
    </w:p>
    <w:p>
      <w:pPr>
        <w:spacing w:after="200"/>
        <w:jc w:val="center"/>
      </w:pPr>
      <w:r>
        <w:rPr>
          <w:rFonts w:ascii="Times New Roman" w:cs="Times New Roman" w:eastAsia="Times New Roman" w:hAnsi="Times New Roman"/>
          <w:b/>
          <w:bCs/>
          <w:sz w:val="26"/>
          <w:szCs w:val="26"/>
        </w:rPr>
        <w:t xml:space="preserve">TRIBHUVAN UNIVERSITY</w:t>
      </w:r>
    </w:p>
    <w:p>
      <w:pPr>
        <w:spacing w:after="200"/>
        <w:jc w:val="center"/>
      </w:pPr>
      <w:r>
        <w:rPr>
          <w:rFonts w:ascii="Times New Roman" w:cs="Times New Roman" w:eastAsia="Times New Roman" w:hAnsi="Times New Roman"/>
          <w:b/>
          <w:bCs/>
          <w:sz w:val="26"/>
          <w:szCs w:val="26"/>
        </w:rPr>
        <w:t xml:space="preserve">INSTITUTE OF SCIENCE AND TECHNOLOGY</w:t>
      </w:r>
    </w:p>
    <w:p>
      <w:pPr>
        <w:spacing w:after="200"/>
        <w:jc w:val="center"/>
      </w:pPr>
      <w:r>
        <w:rPr>
          <w:rFonts w:ascii="Times New Roman" w:cs="Times New Roman" w:eastAsia="Times New Roman" w:hAnsi="Times New Roman"/>
          <w:b/>
          <w:bCs/>
          <w:sz w:val="22"/>
          <w:szCs w:val="22"/>
        </w:rPr>
        <w:t xml:space="preserve">DEPARTMENT OF COMPUTER SCIENCE AND INFORMATION TECHNOLOGY</w:t>
      </w:r>
    </w:p>
    <w:p>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bCs/>
          <w:sz w:val="24"/>
          <w:szCs w:val="24"/>
        </w:rPr>
        <w:t xml:space="preserve">SUPERVISOR'S RECOMMENDATION</w:t>
      </w:r>
    </w:p>
    <w:p>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sz w:val="24"/>
          <w:szCs w:val="24"/>
        </w:rPr>
        <w:t xml:space="preserve">I hereby recommend that the thesis entitled “Multi-Dimensional Evaluation Framework for Benchmarking Traditional Machine Learning and Deep Learning Face Recognition Systems Under Distribution Shift”, prepared by [Student Full Name] under my supervision, is submitted for examination in partial fulfillment of the requirements for the degree of Master of Science in Information Technology.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sz w:val="24"/>
          <w:szCs w:val="24"/>
        </w:rPr>
        <w:t xml:space="preserve">_______________________</w:t>
      </w:r>
    </w:p>
    <w:p>
      <w:pPr>
        <w:spacing w:after="200" w:line="360" w:lineRule="auto"/>
        <w:jc w:val="both"/>
      </w:pPr>
      <w:r>
        <w:rPr>
          <w:rFonts w:ascii="Times New Roman" w:cs="Times New Roman" w:eastAsia="Times New Roman" w:hAnsi="Times New Roman"/>
          <w:sz w:val="24"/>
          <w:szCs w:val="24"/>
        </w:rPr>
        <w:t xml:space="preserve">[Supervisor Full Name]</w:t>
      </w:r>
    </w:p>
    <w:p>
      <w:pPr>
        <w:spacing w:after="200" w:line="360" w:lineRule="auto"/>
        <w:jc w:val="both"/>
      </w:pPr>
      <w:r>
        <w:rPr>
          <w:rFonts w:ascii="Times New Roman" w:cs="Times New Roman" w:eastAsia="Times New Roman" w:hAnsi="Times New Roman"/>
          <w:sz w:val="24"/>
          <w:szCs w:val="24"/>
        </w:rPr>
        <w:t xml:space="preserve">Supervisor</w:t>
      </w:r>
    </w:p>
    <w:p>
      <w:pPr>
        <w:spacing w:after="200" w:line="360" w:lineRule="auto"/>
        <w:jc w:val="both"/>
      </w:pPr>
      <w:r>
        <w:rPr>
          <w:rFonts w:ascii="Times New Roman" w:cs="Times New Roman" w:eastAsia="Times New Roman" w:hAnsi="Times New Roman"/>
          <w:sz w:val="24"/>
          <w:szCs w:val="24"/>
        </w:rPr>
        <w:t xml:space="preserve">Department of Computer Science and Information Technology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br w:type="page"/>
      </w:r>
    </w:p>
    <w:p>
      <w:pPr>
        <w:spacing w:after="200"/>
        <w:jc w:val="center"/>
      </w:pPr>
      <w:r>
        <w:rPr>
          <w:rFonts w:ascii="Times New Roman" w:cs="Times New Roman" w:eastAsia="Times New Roman" w:hAnsi="Times New Roman"/>
          <w:b/>
          <w:bCs/>
          <w:sz w:val="26"/>
          <w:szCs w:val="26"/>
        </w:rPr>
        <w:t xml:space="preserve">TRIBHUVAN UNIVERSITY</w:t>
      </w:r>
    </w:p>
    <w:p>
      <w:pPr>
        <w:spacing w:after="200"/>
        <w:jc w:val="center"/>
      </w:pPr>
      <w:r>
        <w:rPr>
          <w:rFonts w:ascii="Times New Roman" w:cs="Times New Roman" w:eastAsia="Times New Roman" w:hAnsi="Times New Roman"/>
          <w:b/>
          <w:bCs/>
          <w:sz w:val="26"/>
          <w:szCs w:val="26"/>
        </w:rPr>
        <w:t xml:space="preserve">INSTITUTE OF SCIENCE AND TECHNOLOGY</w:t>
      </w:r>
    </w:p>
    <w:p>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bCs/>
          <w:sz w:val="24"/>
          <w:szCs w:val="24"/>
        </w:rPr>
        <w:t xml:space="preserve">LETTER OF APPROVAL</w:t>
      </w:r>
    </w:p>
    <w:p>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sz w:val="24"/>
          <w:szCs w:val="24"/>
        </w:rPr>
        <w:t xml:space="preserve">This thesis entitled “Multi-Dimensional Evaluation Framework for Benchmarking Traditional Machine Learning and Deep Learning Face Recognition Systems Under Distribution Shift”, submitted by [Student Full Name], has been examined and approved as satisfying the thesis requirements for the degree of Master of Science in Information Technology.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sz w:val="24"/>
          <w:szCs w:val="24"/>
        </w:rPr>
        <w:t xml:space="preserve">_______________________</w:t>
      </w:r>
    </w:p>
    <w:p>
      <w:pPr>
        <w:spacing w:after="200" w:line="360" w:lineRule="auto"/>
        <w:jc w:val="both"/>
      </w:pPr>
      <w:r>
        <w:rPr>
          <w:rFonts w:ascii="Times New Roman" w:cs="Times New Roman" w:eastAsia="Times New Roman" w:hAnsi="Times New Roman"/>
          <w:sz w:val="24"/>
          <w:szCs w:val="24"/>
        </w:rPr>
        <w:t xml:space="preserve">Head / Director / Coordinator</w:t>
      </w:r>
    </w:p>
    <w:p>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sz w:val="24"/>
          <w:szCs w:val="24"/>
        </w:rPr>
        <w:t xml:space="preserve">_______________________</w:t>
      </w:r>
    </w:p>
    <w:p>
      <w:pPr>
        <w:spacing w:after="200" w:line="360" w:lineRule="auto"/>
        <w:jc w:val="both"/>
      </w:pPr>
      <w:r>
        <w:rPr>
          <w:rFonts w:ascii="Times New Roman" w:cs="Times New Roman" w:eastAsia="Times New Roman" w:hAnsi="Times New Roman"/>
          <w:sz w:val="24"/>
          <w:szCs w:val="24"/>
        </w:rPr>
        <w:t xml:space="preserve">Supervisor</w:t>
      </w:r>
    </w:p>
    <w:p>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sz w:val="24"/>
          <w:szCs w:val="24"/>
        </w:rPr>
        <w:t xml:space="preserve">_______________________</w:t>
      </w:r>
    </w:p>
    <w:p>
      <w:pPr>
        <w:spacing w:after="200" w:line="360" w:lineRule="auto"/>
        <w:jc w:val="both"/>
      </w:pPr>
      <w:r>
        <w:rPr>
          <w:rFonts w:ascii="Times New Roman" w:cs="Times New Roman" w:eastAsia="Times New Roman" w:hAnsi="Times New Roman"/>
          <w:sz w:val="24"/>
          <w:szCs w:val="24"/>
        </w:rPr>
        <w:t xml:space="preserve">Internal Examiner</w:t>
      </w:r>
    </w:p>
    <w:p>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sz w:val="24"/>
          <w:szCs w:val="24"/>
        </w:rPr>
        <w:t xml:space="preserve">_______________________</w:t>
      </w:r>
    </w:p>
    <w:p>
      <w:pPr>
        <w:spacing w:after="200" w:line="360" w:lineRule="auto"/>
        <w:jc w:val="both"/>
      </w:pPr>
      <w:r>
        <w:rPr>
          <w:rFonts w:ascii="Times New Roman" w:cs="Times New Roman" w:eastAsia="Times New Roman" w:hAnsi="Times New Roman"/>
          <w:sz w:val="24"/>
          <w:szCs w:val="24"/>
        </w:rPr>
        <w:t xml:space="preserve">External Examiner</w:t>
      </w:r>
    </w:p>
    <w:p>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sz w:val="24"/>
          <w:szCs w:val="24"/>
        </w:rPr>
        <w:t xml:space="preserve">Date: _______________</w:t>
      </w:r>
    </w:p>
    <w:p>
      <w:r>
        <w:br w:type="page"/>
      </w:r>
    </w:p>
    <w:p>
      <w:pPr>
        <w:spacing w:after="200"/>
        <w:jc w:val="center"/>
      </w:pPr>
      <w:r>
        <w:rPr>
          <w:rFonts w:ascii="Times New Roman" w:cs="Times New Roman" w:eastAsia="Times New Roman" w:hAnsi="Times New Roman"/>
          <w:b/>
          <w:bCs/>
          <w:sz w:val="26"/>
          <w:szCs w:val="26"/>
        </w:rPr>
        <w:t xml:space="preserve">ACKNOWLEDGEMENT</w:t>
      </w:r>
    </w:p>
    <w:p>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sz w:val="24"/>
          <w:szCs w:val="24"/>
        </w:rPr>
        <w:t xml:space="preserve">I would like to express my sincere gratitude to my supervisor, [Supervisor Name], for the continuous guidance, technical insight, and patience extended throughout the design and development of this thesis. Their feedback on the experimental design of the evaluation framework was instrumental in shaping the rigor of this work.</w:t>
      </w:r>
    </w:p>
    <w:p>
      <w:pPr>
        <w:spacing w:after="200" w:line="360" w:lineRule="auto"/>
        <w:jc w:val="both"/>
      </w:pPr>
      <w:r>
        <w:rPr>
          <w:rFonts w:ascii="Times New Roman" w:cs="Times New Roman" w:eastAsia="Times New Roman" w:hAnsi="Times New Roman"/>
          <w:sz w:val="24"/>
          <w:szCs w:val="24"/>
        </w:rPr>
        <w:t xml:space="preserve">I am also grateful to the Head/Director/Coordinator and the faculty of the Department of Computer Science and Information Technology, Institute of Science and Technology, Tribhuvan University, for providing the academic environment and resources necessary to carry out this research.</w:t>
      </w:r>
    </w:p>
    <w:p>
      <w:pPr>
        <w:spacing w:after="200" w:line="360" w:lineRule="auto"/>
        <w:jc w:val="both"/>
      </w:pPr>
      <w:r>
        <w:rPr>
          <w:rFonts w:ascii="Times New Roman" w:cs="Times New Roman" w:eastAsia="Times New Roman" w:hAnsi="Times New Roman"/>
          <w:sz w:val="24"/>
          <w:szCs w:val="24"/>
        </w:rPr>
        <w:t xml:space="preserve">Finally, I extend my appreciation to my family and colleagues for their support during the course of this work.</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sz w:val="24"/>
          <w:szCs w:val="24"/>
        </w:rPr>
        <w:t xml:space="preserve">[Student Full Name]</w:t>
      </w:r>
    </w:p>
    <w:p>
      <w:r>
        <w:br w:type="page"/>
      </w:r>
    </w:p>
    <w:p>
      <w:pPr>
        <w:spacing w:after="200"/>
        <w:jc w:val="center"/>
      </w:pPr>
      <w:r>
        <w:rPr>
          <w:rFonts w:ascii="Times New Roman" w:cs="Times New Roman" w:eastAsia="Times New Roman" w:hAnsi="Times New Roman"/>
          <w:b/>
          <w:bCs/>
          <w:sz w:val="26"/>
          <w:szCs w:val="26"/>
        </w:rPr>
        <w:t xml:space="preserve">PLAGIARISM TEST REPORT</w:t>
      </w:r>
    </w:p>
    <w:p>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sz w:val="24"/>
          <w:szCs w:val="24"/>
        </w:rPr>
        <w:t xml:space="preserve">[Insert the plagiarism similarity index report generated by the plagiarism detection tool prescribed by the Institute of Science and Technology, Tribhuvan University, prior to final submission. This page is a placeholder and must be replaced with the official scanned/printed report before binding.]</w:t>
      </w:r>
    </w:p>
    <w:p>
      <w:r>
        <w:br w:type="page"/>
      </w:r>
    </w:p>
    <w:p>
      <w:pPr>
        <w:spacing w:after="200"/>
        <w:jc w:val="center"/>
      </w:pPr>
      <w:r>
        <w:rPr>
          <w:rFonts w:ascii="Times New Roman" w:cs="Times New Roman" w:eastAsia="Times New Roman" w:hAnsi="Times New Roman"/>
          <w:b/>
          <w:bCs/>
          <w:sz w:val="26"/>
          <w:szCs w:val="26"/>
        </w:rPr>
        <w:t xml:space="preserve">ABSTRACT</w:t>
      </w:r>
    </w:p>
    <w:p>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sz w:val="24"/>
          <w:szCs w:val="24"/>
        </w:rPr>
        <w:t xml:space="preserve">Face recognition systems deployed in real-world settings encounter substantial distribution shift relative to the curated benchmarks on which they are typically evaluated, including variation in illumination, pose, occlusion, compression artifacts, and sensor resolution. Existing evaluation practice in the literature predominantly reports single-number accuracy figures on clean, unperturbed test sets, and rarely provides a controlled, paradigm-spanning comparison between classical machine learning approaches to face recognition (such as Eigenfaces, Fisherfaces, Local Binary Pattern Histograms, and Histogram-of-Oriented-Gradients with Support Vector Machines) and contemporary deep learning approaches (such as FaceNet, ArcFace, and InsightFace). This gap motivates the central contribution of this thesis: FaceEval-X, a modular, reproducible software framework for multi-dimensional benchmarking of face recognition systems under systematically controlled distribution shift.</w:t>
      </w:r>
    </w:p>
    <w:p>
      <w:pPr>
        <w:spacing w:after="200" w:line="360" w:lineRule="auto"/>
        <w:jc w:val="both"/>
      </w:pPr>
      <w:r>
        <w:rPr>
          <w:rFonts w:ascii="Times New Roman" w:cs="Times New Roman" w:eastAsia="Times New Roman" w:hAnsi="Times New Roman"/>
          <w:sz w:val="24"/>
          <w:szCs w:val="24"/>
        </w:rPr>
        <w:t xml:space="preserve">FaceEval-X implements sixteen distinct perturbation types spanning blur, noise, photometric, geometric, occlusion, and compression categories, each parameterized by a normalized severity in the range [0, 1], enabling the construction of Accuracy-Degradation Curves (ADCs) for any recognition model under any perturbation axis. The framework further introduces a Behavioral Fingerprint construct: a fixed twenty-one-dimensional descriptor capturing a model’s robustness profile across all perturbation types together with calibration quality, demographic fairness, inference speed, and memory efficiency, permitting models from different paradigms to be compared on a common, interpretable scale. A failure analysis module extracts, clusters, and characterizes misclassifications by failure mode (false accept, false reject, high-confidence-wrong, low-confidence-correct), and a context-weighted deployment scoring engine combines accuracy, robustness, calibration, fairness, latency, memory, and computational cost into a single composite score, configurable per deployment scenario (e.g., border control, mobile authentication, surveillance).</w:t>
      </w:r>
    </w:p>
    <w:p>
      <w:pPr>
        <w:spacing w:after="200" w:line="360" w:lineRule="auto"/>
        <w:jc w:val="both"/>
      </w:pPr>
      <w:r>
        <w:rPr>
          <w:rFonts w:ascii="Times New Roman" w:cs="Times New Roman" w:eastAsia="Times New Roman" w:hAnsi="Times New Roman"/>
          <w:sz w:val="24"/>
          <w:szCs w:val="24"/>
        </w:rPr>
        <w:t xml:space="preserve">The framework was implemented as a Python package comprising a data layer, preprocessing pipeline, ten registered recognition models (six traditional, four deep learning), a sixteen-type perturbation engine, an evaluation engine, behavioral fingerprinting and failure analysis modules, a deployment scoring engine, a publication-quality visualization layer, an orchestration and reporting layer, a FastAPI backend, and a React-based benchmark dashboard. The end-to-end pipeline was validated through a fully executed run — covering preprocessing, model training, perturbation application, and metric computation — confirming the correctness of the data flow from raw images through to deployment-ready recommendations. [Chapter 5 presents illustrative result tables to be superseded by results from the complete benchmark run on the Labeled Faces in the Wild (LFW) dataset.] The contribution of this work is the framework itself — a reusable, extensible benchmarking instrument — rather than a novel recognition algorithm.</w:t>
      </w:r>
    </w:p>
    <w:p>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face recognition, distribution shift, behavioral fingerprinting, deep learning, traditional machine learning, robustness evaluation, deployment scoring, benchmarking framework.</w:t>
      </w:r>
    </w:p>
    <w:p>
      <w:r>
        <w:br w:type="page"/>
      </w:r>
    </w:p>
    <w:p>
      <w:pPr>
        <w:spacing w:after="400"/>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400"/>
        <w:jc w:val="center"/>
      </w:pPr>
      <w:r>
        <w:rPr>
          <w:rFonts w:ascii="Times New Roman" w:cs="Times New Roman" w:eastAsia="Times New Roman" w:hAnsi="Times New Roman"/>
          <w:b/>
          <w:bCs/>
          <w:sz w:val="28"/>
          <w:szCs w:val="28"/>
        </w:rPr>
        <w:t xml:space="preserve">LIST OF ABBREVIATIONS</w:t>
      </w:r>
    </w:p>
    <w:p>
      <w:pPr>
        <w:spacing w:after="100" w:line="300" w:lineRule="auto"/>
        <w:jc w:val="both"/>
      </w:pPr>
      <w:r>
        <w:rPr>
          <w:rFonts w:ascii="Times New Roman" w:cs="Times New Roman" w:eastAsia="Times New Roman" w:hAnsi="Times New Roman"/>
          <w:b/>
          <w:bCs/>
          <w:sz w:val="24"/>
          <w:szCs w:val="24"/>
        </w:rPr>
        <w:t xml:space="preserve">ADC	</w:t>
      </w:r>
      <w:r>
        <w:rPr>
          <w:rFonts w:ascii="Times New Roman" w:cs="Times New Roman" w:eastAsia="Times New Roman" w:hAnsi="Times New Roman"/>
          <w:sz w:val="24"/>
          <w:szCs w:val="24"/>
        </w:rPr>
        <w:t xml:space="preserve">Accuracy-Degradation Curve</w:t>
      </w:r>
    </w:p>
    <w:p>
      <w:pPr>
        <w:spacing w:after="100" w:line="300" w:lineRule="auto"/>
        <w:jc w:val="both"/>
      </w:pPr>
      <w:r>
        <w:rPr>
          <w:rFonts w:ascii="Times New Roman" w:cs="Times New Roman" w:eastAsia="Times New Roman" w:hAnsi="Times New Roman"/>
          <w:b/>
          <w:bCs/>
          <w:sz w:val="24"/>
          <w:szCs w:val="24"/>
        </w:rPr>
        <w:t xml:space="preserve">AUC	</w:t>
      </w:r>
      <w:r>
        <w:rPr>
          <w:rFonts w:ascii="Times New Roman" w:cs="Times New Roman" w:eastAsia="Times New Roman" w:hAnsi="Times New Roman"/>
          <w:sz w:val="24"/>
          <w:szCs w:val="24"/>
        </w:rPr>
        <w:t xml:space="preserve">Area Under the Curve</w:t>
      </w:r>
    </w:p>
    <w:p>
      <w:pPr>
        <w:spacing w:after="100" w:line="300" w:lineRule="auto"/>
        <w:jc w:val="both"/>
      </w:pPr>
      <w:r>
        <w:rPr>
          <w:rFonts w:ascii="Times New Roman" w:cs="Times New Roman" w:eastAsia="Times New Roman" w:hAnsi="Times New Roman"/>
          <w:b/>
          <w:bCs/>
          <w:sz w:val="24"/>
          <w:szCs w:val="24"/>
        </w:rPr>
        <w:t xml:space="preserve">CelebA	</w:t>
      </w:r>
      <w:r>
        <w:rPr>
          <w:rFonts w:ascii="Times New Roman" w:cs="Times New Roman" w:eastAsia="Times New Roman" w:hAnsi="Times New Roman"/>
          <w:sz w:val="24"/>
          <w:szCs w:val="24"/>
        </w:rPr>
        <w:t xml:space="preserve">Large-scale CelebFaces Attributes Dataset</w:t>
      </w:r>
    </w:p>
    <w:p>
      <w:pPr>
        <w:spacing w:after="100" w:line="300" w:lineRule="auto"/>
        <w:jc w:val="both"/>
      </w:pPr>
      <w:r>
        <w:rPr>
          <w:rFonts w:ascii="Times New Roman" w:cs="Times New Roman" w:eastAsia="Times New Roman" w:hAnsi="Times New Roman"/>
          <w:b/>
          <w:bCs/>
          <w:sz w:val="24"/>
          <w:szCs w:val="24"/>
        </w:rPr>
        <w:t xml:space="preserve">ECE	</w:t>
      </w:r>
      <w:r>
        <w:rPr>
          <w:rFonts w:ascii="Times New Roman" w:cs="Times New Roman" w:eastAsia="Times New Roman" w:hAnsi="Times New Roman"/>
          <w:sz w:val="24"/>
          <w:szCs w:val="24"/>
        </w:rPr>
        <w:t xml:space="preserve">Expected Calibration Error</w:t>
      </w:r>
    </w:p>
    <w:p>
      <w:pPr>
        <w:spacing w:after="100" w:line="300" w:lineRule="auto"/>
        <w:jc w:val="both"/>
      </w:pPr>
      <w:r>
        <w:rPr>
          <w:rFonts w:ascii="Times New Roman" w:cs="Times New Roman" w:eastAsia="Times New Roman" w:hAnsi="Times New Roman"/>
          <w:b/>
          <w:bCs/>
          <w:sz w:val="24"/>
          <w:szCs w:val="24"/>
        </w:rPr>
        <w:t xml:space="preserve">EER	</w:t>
      </w:r>
      <w:r>
        <w:rPr>
          <w:rFonts w:ascii="Times New Roman" w:cs="Times New Roman" w:eastAsia="Times New Roman" w:hAnsi="Times New Roman"/>
          <w:sz w:val="24"/>
          <w:szCs w:val="24"/>
        </w:rPr>
        <w:t xml:space="preserve">Equal Error Rate</w:t>
      </w:r>
    </w:p>
    <w:p>
      <w:pPr>
        <w:spacing w:after="100" w:line="300" w:lineRule="auto"/>
        <w:jc w:val="both"/>
      </w:pPr>
      <w:r>
        <w:rPr>
          <w:rFonts w:ascii="Times New Roman" w:cs="Times New Roman" w:eastAsia="Times New Roman" w:hAnsi="Times New Roman"/>
          <w:b/>
          <w:bCs/>
          <w:sz w:val="24"/>
          <w:szCs w:val="24"/>
        </w:rPr>
        <w:t xml:space="preserve">FAR	</w:t>
      </w:r>
      <w:r>
        <w:rPr>
          <w:rFonts w:ascii="Times New Roman" w:cs="Times New Roman" w:eastAsia="Times New Roman" w:hAnsi="Times New Roman"/>
          <w:sz w:val="24"/>
          <w:szCs w:val="24"/>
        </w:rPr>
        <w:t xml:space="preserve">False Accept Rate</w:t>
      </w:r>
    </w:p>
    <w:p>
      <w:pPr>
        <w:spacing w:after="100" w:line="300" w:lineRule="auto"/>
        <w:jc w:val="both"/>
      </w:pPr>
      <w:r>
        <w:rPr>
          <w:rFonts w:ascii="Times New Roman" w:cs="Times New Roman" w:eastAsia="Times New Roman" w:hAnsi="Times New Roman"/>
          <w:b/>
          <w:bCs/>
          <w:sz w:val="24"/>
          <w:szCs w:val="24"/>
        </w:rPr>
        <w:t xml:space="preserve">FRR	</w:t>
      </w:r>
      <w:r>
        <w:rPr>
          <w:rFonts w:ascii="Times New Roman" w:cs="Times New Roman" w:eastAsia="Times New Roman" w:hAnsi="Times New Roman"/>
          <w:sz w:val="24"/>
          <w:szCs w:val="24"/>
        </w:rPr>
        <w:t xml:space="preserve">False Reject Rate</w:t>
      </w:r>
    </w:p>
    <w:p>
      <w:pPr>
        <w:spacing w:after="100" w:line="300" w:lineRule="auto"/>
        <w:jc w:val="both"/>
      </w:pPr>
      <w:r>
        <w:rPr>
          <w:rFonts w:ascii="Times New Roman" w:cs="Times New Roman" w:eastAsia="Times New Roman" w:hAnsi="Times New Roman"/>
          <w:b/>
          <w:bCs/>
          <w:sz w:val="24"/>
          <w:szCs w:val="24"/>
        </w:rPr>
        <w:t xml:space="preserve">HOG	</w:t>
      </w:r>
      <w:r>
        <w:rPr>
          <w:rFonts w:ascii="Times New Roman" w:cs="Times New Roman" w:eastAsia="Times New Roman" w:hAnsi="Times New Roman"/>
          <w:sz w:val="24"/>
          <w:szCs w:val="24"/>
        </w:rPr>
        <w:t xml:space="preserve">Histogram of Oriented Gradients</w:t>
      </w:r>
    </w:p>
    <w:p>
      <w:pPr>
        <w:spacing w:after="100" w:line="300" w:lineRule="auto"/>
        <w:jc w:val="both"/>
      </w:pPr>
      <w:r>
        <w:rPr>
          <w:rFonts w:ascii="Times New Roman" w:cs="Times New Roman" w:eastAsia="Times New Roman" w:hAnsi="Times New Roman"/>
          <w:b/>
          <w:bCs/>
          <w:sz w:val="24"/>
          <w:szCs w:val="24"/>
        </w:rPr>
        <w:t xml:space="preserve">IOST	</w:t>
      </w:r>
      <w:r>
        <w:rPr>
          <w:rFonts w:ascii="Times New Roman" w:cs="Times New Roman" w:eastAsia="Times New Roman" w:hAnsi="Times New Roman"/>
          <w:sz w:val="24"/>
          <w:szCs w:val="24"/>
        </w:rPr>
        <w:t xml:space="preserve">Institute of Science and Technology</w:t>
      </w:r>
    </w:p>
    <w:p>
      <w:pPr>
        <w:spacing w:after="100" w:line="300" w:lineRule="auto"/>
        <w:jc w:val="both"/>
      </w:pPr>
      <w:r>
        <w:rPr>
          <w:rFonts w:ascii="Times New Roman" w:cs="Times New Roman" w:eastAsia="Times New Roman" w:hAnsi="Times New Roman"/>
          <w:b/>
          <w:bCs/>
          <w:sz w:val="24"/>
          <w:szCs w:val="24"/>
        </w:rPr>
        <w:t xml:space="preserve">LBPH	</w:t>
      </w:r>
      <w:r>
        <w:rPr>
          <w:rFonts w:ascii="Times New Roman" w:cs="Times New Roman" w:eastAsia="Times New Roman" w:hAnsi="Times New Roman"/>
          <w:sz w:val="24"/>
          <w:szCs w:val="24"/>
        </w:rPr>
        <w:t xml:space="preserve">Local Binary Pattern Histogram</w:t>
      </w:r>
    </w:p>
    <w:p>
      <w:pPr>
        <w:spacing w:after="100" w:line="300" w:lineRule="auto"/>
        <w:jc w:val="both"/>
      </w:pPr>
      <w:r>
        <w:rPr>
          <w:rFonts w:ascii="Times New Roman" w:cs="Times New Roman" w:eastAsia="Times New Roman" w:hAnsi="Times New Roman"/>
          <w:b/>
          <w:bCs/>
          <w:sz w:val="24"/>
          <w:szCs w:val="24"/>
        </w:rPr>
        <w:t xml:space="preserve">LDA	</w:t>
      </w:r>
      <w:r>
        <w:rPr>
          <w:rFonts w:ascii="Times New Roman" w:cs="Times New Roman" w:eastAsia="Times New Roman" w:hAnsi="Times New Roman"/>
          <w:sz w:val="24"/>
          <w:szCs w:val="24"/>
        </w:rPr>
        <w:t xml:space="preserve">Linear Discriminant Analysis</w:t>
      </w:r>
    </w:p>
    <w:p>
      <w:pPr>
        <w:spacing w:after="100" w:line="300" w:lineRule="auto"/>
        <w:jc w:val="both"/>
      </w:pPr>
      <w:r>
        <w:rPr>
          <w:rFonts w:ascii="Times New Roman" w:cs="Times New Roman" w:eastAsia="Times New Roman" w:hAnsi="Times New Roman"/>
          <w:b/>
          <w:bCs/>
          <w:sz w:val="24"/>
          <w:szCs w:val="24"/>
        </w:rPr>
        <w:t xml:space="preserve">LFW	</w:t>
      </w:r>
      <w:r>
        <w:rPr>
          <w:rFonts w:ascii="Times New Roman" w:cs="Times New Roman" w:eastAsia="Times New Roman" w:hAnsi="Times New Roman"/>
          <w:sz w:val="24"/>
          <w:szCs w:val="24"/>
        </w:rPr>
        <w:t xml:space="preserve">Labeled Faces in the Wild</w:t>
      </w:r>
    </w:p>
    <w:p>
      <w:pPr>
        <w:spacing w:after="100" w:line="300" w:lineRule="auto"/>
        <w:jc w:val="both"/>
      </w:pPr>
      <w:r>
        <w:rPr>
          <w:rFonts w:ascii="Times New Roman" w:cs="Times New Roman" w:eastAsia="Times New Roman" w:hAnsi="Times New Roman"/>
          <w:b/>
          <w:bCs/>
          <w:sz w:val="24"/>
          <w:szCs w:val="24"/>
        </w:rPr>
        <w:t xml:space="preserve">MCE	</w:t>
      </w:r>
      <w:r>
        <w:rPr>
          <w:rFonts w:ascii="Times New Roman" w:cs="Times New Roman" w:eastAsia="Times New Roman" w:hAnsi="Times New Roman"/>
          <w:sz w:val="24"/>
          <w:szCs w:val="24"/>
        </w:rPr>
        <w:t xml:space="preserve">Maximum Calibration Error</w:t>
      </w:r>
    </w:p>
    <w:p>
      <w:pPr>
        <w:spacing w:after="100" w:line="300" w:lineRule="auto"/>
        <w:jc w:val="both"/>
      </w:pPr>
      <w:r>
        <w:rPr>
          <w:rFonts w:ascii="Times New Roman" w:cs="Times New Roman" w:eastAsia="Times New Roman" w:hAnsi="Times New Roman"/>
          <w:b/>
          <w:bCs/>
          <w:sz w:val="24"/>
          <w:szCs w:val="24"/>
        </w:rPr>
        <w:t xml:space="preserve">PCA	</w:t>
      </w:r>
      <w:r>
        <w:rPr>
          <w:rFonts w:ascii="Times New Roman" w:cs="Times New Roman" w:eastAsia="Times New Roman" w:hAnsi="Times New Roman"/>
          <w:sz w:val="24"/>
          <w:szCs w:val="24"/>
        </w:rPr>
        <w:t xml:space="preserve">Principal Component Analysis</w:t>
      </w:r>
    </w:p>
    <w:p>
      <w:pPr>
        <w:spacing w:after="100" w:line="300" w:lineRule="auto"/>
        <w:jc w:val="both"/>
      </w:pPr>
      <w:r>
        <w:rPr>
          <w:rFonts w:ascii="Times New Roman" w:cs="Times New Roman" w:eastAsia="Times New Roman" w:hAnsi="Times New Roman"/>
          <w:b/>
          <w:bCs/>
          <w:sz w:val="24"/>
          <w:szCs w:val="24"/>
        </w:rPr>
        <w:t xml:space="preserve">ROC	</w:t>
      </w:r>
      <w:r>
        <w:rPr>
          <w:rFonts w:ascii="Times New Roman" w:cs="Times New Roman" w:eastAsia="Times New Roman" w:hAnsi="Times New Roman"/>
          <w:sz w:val="24"/>
          <w:szCs w:val="24"/>
        </w:rPr>
        <w:t xml:space="preserve">Receiver Operating Characteristic</w:t>
      </w:r>
    </w:p>
    <w:p>
      <w:pPr>
        <w:spacing w:after="100" w:line="300" w:lineRule="auto"/>
        <w:jc w:val="both"/>
      </w:pPr>
      <w:r>
        <w:rPr>
          <w:rFonts w:ascii="Times New Roman" w:cs="Times New Roman" w:eastAsia="Times New Roman" w:hAnsi="Times New Roman"/>
          <w:b/>
          <w:bCs/>
          <w:sz w:val="24"/>
          <w:szCs w:val="24"/>
        </w:rPr>
        <w:t xml:space="preserve">SVM	</w:t>
      </w:r>
      <w:r>
        <w:rPr>
          <w:rFonts w:ascii="Times New Roman" w:cs="Times New Roman" w:eastAsia="Times New Roman" w:hAnsi="Times New Roman"/>
          <w:sz w:val="24"/>
          <w:szCs w:val="24"/>
        </w:rPr>
        <w:t xml:space="preserve">Support Vector Machine</w:t>
      </w:r>
    </w:p>
    <w:p>
      <w:pPr>
        <w:spacing w:after="100" w:line="300" w:lineRule="auto"/>
        <w:jc w:val="both"/>
      </w:pPr>
      <w:r>
        <w:rPr>
          <w:rFonts w:ascii="Times New Roman" w:cs="Times New Roman" w:eastAsia="Times New Roman" w:hAnsi="Times New Roman"/>
          <w:b/>
          <w:bCs/>
          <w:sz w:val="24"/>
          <w:szCs w:val="24"/>
        </w:rPr>
        <w:t xml:space="preserve">TU	</w:t>
      </w:r>
      <w:r>
        <w:rPr>
          <w:rFonts w:ascii="Times New Roman" w:cs="Times New Roman" w:eastAsia="Times New Roman" w:hAnsi="Times New Roman"/>
          <w:sz w:val="24"/>
          <w:szCs w:val="24"/>
        </w:rPr>
        <w:t xml:space="preserve">Tribhuvan University</w:t>
      </w:r>
    </w:p>
    <w:p>
      <w:r>
        <w:br w:type="page"/>
      </w:r>
    </w:p>
    <w:p>
      <w:pPr>
        <w:spacing w:after="400"/>
        <w:jc w:val="center"/>
      </w:pPr>
      <w:r>
        <w:rPr>
          <w:rFonts w:ascii="Times New Roman" w:cs="Times New Roman" w:eastAsia="Times New Roman" w:hAnsi="Times New Roman"/>
          <w:b/>
          <w:bCs/>
          <w:sz w:val="28"/>
          <w:szCs w:val="28"/>
        </w:rPr>
        <w:t xml:space="preserve">LIST OF FIGURES</w:t>
      </w:r>
    </w:p>
    <w:p>
      <w:pPr>
        <w:spacing w:after="160" w:line="360" w:lineRule="auto"/>
        <w:jc w:val="both"/>
      </w:pPr>
      <w:r>
        <w:rPr>
          <w:rFonts w:ascii="Times New Roman" w:cs="Times New Roman" w:eastAsia="Times New Roman" w:hAnsi="Times New Roman"/>
          <w:sz w:val="24"/>
          <w:szCs w:val="24"/>
        </w:rPr>
        <w:t xml:space="preserve">Figure 3.1: FaceEval-X layered architecture and data flow .......... [page]</w:t>
      </w:r>
    </w:p>
    <w:p>
      <w:r>
        <w:br w:type="page"/>
      </w:r>
    </w:p>
    <w:p>
      <w:pPr>
        <w:spacing w:after="400"/>
        <w:jc w:val="center"/>
      </w:pPr>
      <w:r>
        <w:rPr>
          <w:rFonts w:ascii="Times New Roman" w:cs="Times New Roman" w:eastAsia="Times New Roman" w:hAnsi="Times New Roman"/>
          <w:b/>
          <w:bCs/>
          <w:sz w:val="28"/>
          <w:szCs w:val="28"/>
        </w:rPr>
        <w:t xml:space="preserve">LIST OF TABLES</w:t>
      </w:r>
    </w:p>
    <w:p>
      <w:pPr>
        <w:spacing w:after="160" w:line="360" w:lineRule="auto"/>
        <w:jc w:val="both"/>
      </w:pPr>
      <w:r>
        <w:rPr>
          <w:rFonts w:ascii="Times New Roman" w:cs="Times New Roman" w:eastAsia="Times New Roman" w:hAnsi="Times New Roman"/>
          <w:sz w:val="24"/>
          <w:szCs w:val="24"/>
        </w:rPr>
        <w:t xml:space="preserve">Table 2.1: Positioning of FaceEval-X relative to representative prior work .......... [page]</w:t>
      </w:r>
    </w:p>
    <w:p>
      <w:pPr>
        <w:spacing w:after="160" w:line="360" w:lineRule="auto"/>
        <w:jc w:val="both"/>
      </w:pPr>
      <w:r>
        <w:rPr>
          <w:rFonts w:ascii="Times New Roman" w:cs="Times New Roman" w:eastAsia="Times New Roman" w:hAnsi="Times New Roman"/>
          <w:sz w:val="24"/>
          <w:szCs w:val="24"/>
        </w:rPr>
        <w:t xml:space="preserve">Table 3.1: Perturbation types, categories, and severity-to-parameter mappings .......... [page]</w:t>
      </w:r>
    </w:p>
    <w:p>
      <w:pPr>
        <w:spacing w:after="160" w:line="360" w:lineRule="auto"/>
        <w:jc w:val="both"/>
      </w:pPr>
      <w:r>
        <w:rPr>
          <w:rFonts w:ascii="Times New Roman" w:cs="Times New Roman" w:eastAsia="Times New Roman" w:hAnsi="Times New Roman"/>
          <w:sz w:val="24"/>
          <w:szCs w:val="24"/>
        </w:rPr>
        <w:t xml:space="preserve">Table 4.1: Package layer summary .......... [page]</w:t>
      </w:r>
    </w:p>
    <w:p>
      <w:pPr>
        <w:spacing w:after="160" w:line="360" w:lineRule="auto"/>
        <w:jc w:val="both"/>
      </w:pPr>
      <w:r>
        <w:rPr>
          <w:rFonts w:ascii="Times New Roman" w:cs="Times New Roman" w:eastAsia="Times New Roman" w:hAnsi="Times New Roman"/>
          <w:sz w:val="24"/>
          <w:szCs w:val="24"/>
        </w:rPr>
        <w:t xml:space="preserve">Table 5.1: Mean identification accuracy by model, validation run .......... [page]</w:t>
      </w:r>
    </w:p>
    <w:p>
      <w:pPr>
        <w:spacing w:after="160" w:line="360" w:lineRule="auto"/>
        <w:jc w:val="both"/>
      </w:pPr>
      <w:r>
        <w:rPr>
          <w:rFonts w:ascii="Times New Roman" w:cs="Times New Roman" w:eastAsia="Times New Roman" w:hAnsi="Times New Roman"/>
          <w:sz w:val="24"/>
          <w:szCs w:val="24"/>
        </w:rPr>
        <w:t xml:space="preserve">Table 5.2: Accuracy-degradation curve — Gaussian blur .......... [page]</w:t>
      </w:r>
    </w:p>
    <w:p>
      <w:pPr>
        <w:spacing w:after="160" w:line="360" w:lineRule="auto"/>
        <w:jc w:val="both"/>
      </w:pPr>
      <w:r>
        <w:rPr>
          <w:rFonts w:ascii="Times New Roman" w:cs="Times New Roman" w:eastAsia="Times New Roman" w:hAnsi="Times New Roman"/>
          <w:sz w:val="24"/>
          <w:szCs w:val="24"/>
        </w:rPr>
        <w:t xml:space="preserve">Table 5.3: Accuracy-degradation curve — Brightness .......... [page]</w:t>
      </w:r>
    </w:p>
    <w:p>
      <w:pPr>
        <w:spacing w:after="160" w:line="360" w:lineRule="auto"/>
        <w:jc w:val="both"/>
      </w:pPr>
      <w:r>
        <w:rPr>
          <w:rFonts w:ascii="Times New Roman" w:cs="Times New Roman" w:eastAsia="Times New Roman" w:hAnsi="Times New Roman"/>
          <w:sz w:val="24"/>
          <w:szCs w:val="24"/>
        </w:rPr>
        <w:t xml:space="preserve">Table 5.4: Accuracy-degradation curve — Rotation .......... [page]</w:t>
      </w:r>
    </w:p>
    <w:p>
      <w:pPr>
        <w:spacing w:after="160" w:line="360" w:lineRule="auto"/>
        <w:jc w:val="both"/>
      </w:pPr>
      <w:r>
        <w:rPr>
          <w:rFonts w:ascii="Times New Roman" w:cs="Times New Roman" w:eastAsia="Times New Roman" w:hAnsi="Times New Roman"/>
          <w:sz w:val="24"/>
          <w:szCs w:val="24"/>
        </w:rPr>
        <w:t xml:space="preserve">Table 5.5: Populated behavioral fingerprint robustness dimensions .......... [page]</w:t>
      </w:r>
    </w:p>
    <w:p>
      <w:pPr>
        <w:spacing w:after="160" w:line="360" w:lineRule="auto"/>
        <w:jc w:val="both"/>
      </w:pPr>
      <w:r>
        <w:rPr>
          <w:rFonts w:ascii="Times New Roman" w:cs="Times New Roman" w:eastAsia="Times New Roman" w:hAnsi="Times New Roman"/>
          <w:sz w:val="24"/>
          <w:szCs w:val="24"/>
        </w:rPr>
        <w:t xml:space="preserve">Table 5.6: Deployment ranking, Research Benchmark scenario .......... [page]</w:t>
      </w:r>
    </w:p>
    <w:p>
      <w:pPr>
        <w:spacing w:after="160" w:line="360" w:lineRule="auto"/>
        <w:jc w:val="both"/>
      </w:pPr>
      <w:r>
        <w:rPr>
          <w:rFonts w:ascii="Times New Roman" w:cs="Times New Roman" w:eastAsia="Times New Roman" w:hAnsi="Times New Roman"/>
          <w:sz w:val="24"/>
          <w:szCs w:val="24"/>
        </w:rPr>
        <w:t xml:space="preserve">Table 5.7: Cross-paradigm comparison on LFW, all ten models (template) .......... [page]</w:t>
      </w:r>
    </w:p>
    <w:p>
      <w:pPr>
        <w:spacing w:after="160" w:line="360" w:lineRule="auto"/>
        <w:jc w:val="both"/>
      </w:pPr>
      <w:r>
        <w:rPr>
          <w:rFonts w:ascii="Times New Roman" w:cs="Times New Roman" w:eastAsia="Times New Roman" w:hAnsi="Times New Roman"/>
          <w:sz w:val="24"/>
          <w:szCs w:val="24"/>
        </w:rPr>
        <w:t xml:space="preserve">Table 5.8: Cross-paradigm failure overlap (template) .......... [page]</w:t>
      </w:r>
    </w:p>
    <w:p>
      <w:r>
        <w:br w:type="page"/>
      </w:r>
    </w:p>
    <w:p>
      <w:pPr>
        <w:sectPr>
          <w:footerReference w:type="default" r:id="rId8"/>
          <w:pgSz w:w="11906" w:h="16838" w:orient="portrait"/>
          <w:pgMar w:top="1440" w:right="1440" w:bottom="1440" w:left="1800" w:header="708" w:footer="708" w:gutter="0"/>
          <w:pgNumType w:start="1" w:fmt="lowerRoman"/>
          <w:docGrid w:linePitch="360"/>
        </w:sectPr>
      </w:pPr>
    </w:p>
    <w:p>
      <w:pPr>
        <w:pStyle w:val="Heading1"/>
        <w:spacing w:after="240" w:before="480" w:line="360" w:lineRule="auto"/>
      </w:pPr>
      <w:r>
        <w:rPr>
          <w:rFonts w:ascii="Times New Roman" w:cs="Times New Roman" w:eastAsia="Times New Roman" w:hAnsi="Times New Roman"/>
          <w:b/>
          <w:bCs/>
          <w:sz w:val="32"/>
          <w:szCs w:val="32"/>
        </w:rPr>
        <w:t xml:space="preserve">UNIT 1: INTRODUCTION</w:t>
      </w:r>
    </w:p>
    <w:p>
      <w:pPr>
        <w:pStyle w:val="Heading2"/>
        <w:spacing w:after="200" w:before="360" w:line="360" w:lineRule="auto"/>
      </w:pPr>
      <w:r>
        <w:rPr>
          <w:rFonts w:ascii="Times New Roman" w:cs="Times New Roman" w:eastAsia="Times New Roman" w:hAnsi="Times New Roman"/>
          <w:b/>
          <w:bCs/>
          <w:sz w:val="28"/>
          <w:szCs w:val="28"/>
        </w:rPr>
        <w:t xml:space="preserve">1.1 Introduction</w:t>
      </w:r>
    </w:p>
    <w:p>
      <w:pPr>
        <w:spacing w:after="200" w:line="360" w:lineRule="auto"/>
        <w:jc w:val="both"/>
      </w:pPr>
      <w:r>
        <w:rPr>
          <w:rFonts w:ascii="Times New Roman" w:cs="Times New Roman" w:eastAsia="Times New Roman" w:hAnsi="Times New Roman"/>
          <w:sz w:val="24"/>
          <w:szCs w:val="24"/>
        </w:rPr>
        <w:t xml:space="preserve">Automated face recognition has progressed from constrained, laboratory-grade systems to ubiquitous deployment in border control, mobile device authentication, physical access control, and large-scale video surveillance. This progression has been driven primarily by deep convolutional architectures trained with margin-based losses — FaceNet [1], ArcFace [2], and related embedding models — which report accuracy figures exceeding 99% on the Labeled Faces in the Wild (LFW) benchmark [3]. Classical, pre-deep-learning approaches such as Eigenfaces [4], Fisherfaces [5], and Local Binary Pattern Histograms (LBPH) [6] are correspondingly regarded as obsolete for production use and are largely absent from contemporary comparative studies.</w:t>
      </w:r>
    </w:p>
    <w:p>
      <w:pPr>
        <w:spacing w:after="200" w:line="360" w:lineRule="auto"/>
        <w:jc w:val="both"/>
      </w:pPr>
      <w:r>
        <w:rPr>
          <w:rFonts w:ascii="Times New Roman" w:cs="Times New Roman" w:eastAsia="Times New Roman" w:hAnsi="Times New Roman"/>
          <w:sz w:val="24"/>
          <w:szCs w:val="24"/>
        </w:rPr>
        <w:t xml:space="preserve">This near-saturation of headline accuracy figures, however, is measured almost exclusively on clean, frontal, well-illuminated test images drawn from the same distribution as the training data. Real deployment conditions diverge from this setting in ways that are well documented but rarely benchmarked systematically: motion blur from handheld capture devices, low-light and over-exposed illumination, partial occlusion from face masks, sunglasses, or hands, sensor noise, and lossy compression introduced by transmission pipelines. The gap between benchmark accuracy and field reliability under such distribution shift is the central problem this thesis addresses — not through a new recognition algorithm, but through a purpose-built software framework, FaceEval-X, capable of quantifying that gap consistently across both classical and deep learning recognition paradigms.</w:t>
      </w:r>
    </w:p>
    <w:p>
      <w:pPr>
        <w:spacing w:after="200" w:line="360" w:lineRule="auto"/>
        <w:jc w:val="both"/>
      </w:pPr>
      <w:r>
        <w:rPr>
          <w:rFonts w:ascii="Times New Roman" w:cs="Times New Roman" w:eastAsia="Times New Roman" w:hAnsi="Times New Roman"/>
          <w:sz w:val="24"/>
          <w:szCs w:val="24"/>
        </w:rPr>
        <w:t xml:space="preserve">The framework developed for this thesis treats robustness evaluation as a multi-dimensional problem. A single accuracy number collapses information about how a model fails, under which perturbation it degrades fastest, whether its confidence remains calibrated as performance falls, and whether its failures are distributed evenly across demographic subgroups. FaceEval-X is designed to preserve this information through the behavioral fingerprint construct, the accuracy-degradation curve, the failure clustering module, and the context-weighted deployment scoring engine, each described in detail in Unit 3.</w:t>
      </w:r>
    </w:p>
    <w:p>
      <w:pPr>
        <w:pStyle w:val="Heading2"/>
        <w:spacing w:after="200" w:before="360" w:line="360" w:lineRule="auto"/>
      </w:pPr>
      <w:r>
        <w:rPr>
          <w:rFonts w:ascii="Times New Roman" w:cs="Times New Roman" w:eastAsia="Times New Roman" w:hAnsi="Times New Roman"/>
          <w:b/>
          <w:bCs/>
          <w:sz w:val="28"/>
          <w:szCs w:val="28"/>
        </w:rPr>
        <w:t xml:space="preserve">1.2 Problem Statement</w:t>
      </w:r>
    </w:p>
    <w:p>
      <w:pPr>
        <w:spacing w:after="200" w:line="360" w:lineRule="auto"/>
        <w:jc w:val="both"/>
      </w:pPr>
      <w:r>
        <w:rPr>
          <w:rFonts w:ascii="Times New Roman" w:cs="Times New Roman" w:eastAsia="Times New Roman" w:hAnsi="Times New Roman"/>
          <w:sz w:val="24"/>
          <w:szCs w:val="24"/>
        </w:rPr>
        <w:t xml:space="preserve">Three deficiencies in current face recognition evaluation practice motivate this work.</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Single-metric reporting. The overwhelming majority of published face recognition results report a single clean-test accuracy or verification rate, with no systematic sweep across controlled perturbation severities, making it impossible to compare the robustness, as opposed to the peak accuracy, of two systems.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Paradigm isolation. Traditional machine learning methods and deep learning methods are evaluated in separate bodies of literature, using different datasets, preprocessing pipelines, and metrics, so that no controlled, apples-to-apples comparison of the two paradigms under identical perturbation conditions is readily available.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Absence of deployment-context scoring. Accuracy alone does not determine whether a model is fit for a given deployment context; a model with marginally lower accuracy but an order-of-magnitude lower inference latency and memory footprint may be strictly preferable for mobile authentication, while the inverse may hold for border control. No widely available open-source tool combines accuracy, robustness, calibration, fairness, latency, memory, and computational cost into a single, explainable, context-weighted deployment score.</w:t>
      </w:r>
    </w:p>
    <w:p>
      <w:pPr>
        <w:spacing w:after="200" w:line="360" w:lineRule="auto"/>
        <w:jc w:val="both"/>
      </w:pPr>
      <w:r>
        <w:rPr>
          <w:rFonts w:ascii="Times New Roman" w:cs="Times New Roman" w:eastAsia="Times New Roman" w:hAnsi="Times New Roman"/>
          <w:sz w:val="24"/>
          <w:szCs w:val="24"/>
        </w:rPr>
        <w:t xml:space="preserve">FaceEval-X is designed as a direct response to these three deficiencies: it applies a common, sixteen-type perturbation schedule to every registered model regardless of paradigm, computes a shared set of robustness, calibration, and fairness metrics, and synthesizes them into both a per-model behavioral fingerprint and a per-scenario deployment recommendation.</w:t>
      </w:r>
    </w:p>
    <w:p>
      <w:pPr>
        <w:pStyle w:val="Heading2"/>
        <w:spacing w:after="200" w:before="360" w:line="360" w:lineRule="auto"/>
      </w:pPr>
      <w:r>
        <w:rPr>
          <w:rFonts w:ascii="Times New Roman" w:cs="Times New Roman" w:eastAsia="Times New Roman" w:hAnsi="Times New Roman"/>
          <w:b/>
          <w:bCs/>
          <w:sz w:val="28"/>
          <w:szCs w:val="28"/>
        </w:rPr>
        <w:t xml:space="preserve">1.3 Objectives</w:t>
      </w:r>
    </w:p>
    <w:p>
      <w:pPr>
        <w:spacing w:after="200" w:line="360" w:lineRule="auto"/>
        <w:jc w:val="both"/>
      </w:pPr>
      <w:r>
        <w:rPr>
          <w:rFonts w:ascii="Times New Roman" w:cs="Times New Roman" w:eastAsia="Times New Roman" w:hAnsi="Times New Roman"/>
          <w:sz w:val="24"/>
          <w:szCs w:val="24"/>
        </w:rPr>
        <w:t xml:space="preserve">The objectives of this thesis are as follows.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design and implement a modular, extensible software architecture capable of benchmarking an arbitrary number of traditional machine learning and deep learning face recognition models under a common evaluation protocol.</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implement a perturbation engine covering blur, noise, photometric, geometric, occlusion, and compression distortion categories, each parameterized by a normalized severity scale, to enable construction of accuracy-degradation curves.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define and implement a behavioral fingerprint construct that summarizes a model's robustness, calibration, fairness, speed, and memory characteristics as a fixed-length, paradigm-agnostic vector suitable for cross-model comparison and visualization.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implement a failure analysis module capable of extracting, clustering, and characterizing misclassifications, and a cross-paradigm failure correlation analysis to determine whether traditional and deep learning models fail on the same inputs.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implement a context-weighted deployment scoring engine that produces an explainable, per-scenario ranking of candidate models for practitioner decision-making.</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validate the complete pipeline end-to-end — preprocessing, perturbation, model training and inference, metric computation, fingerprinting, and deployment scoring — and to expose the resulting benchmark data through a web-based dashboard.</w:t>
      </w:r>
    </w:p>
    <w:p>
      <w:pPr>
        <w:pStyle w:val="Heading2"/>
        <w:spacing w:after="200" w:before="360" w:line="360" w:lineRule="auto"/>
      </w:pPr>
      <w:r>
        <w:rPr>
          <w:rFonts w:ascii="Times New Roman" w:cs="Times New Roman" w:eastAsia="Times New Roman" w:hAnsi="Times New Roman"/>
          <w:b/>
          <w:bCs/>
          <w:sz w:val="28"/>
          <w:szCs w:val="28"/>
        </w:rPr>
        <w:t xml:space="preserve">1.4 Scope and Limitation</w:t>
      </w:r>
    </w:p>
    <w:p>
      <w:pPr>
        <w:spacing w:after="200" w:line="360" w:lineRule="auto"/>
        <w:jc w:val="both"/>
      </w:pPr>
      <w:r>
        <w:rPr>
          <w:rFonts w:ascii="Times New Roman" w:cs="Times New Roman" w:eastAsia="Times New Roman" w:hAnsi="Times New Roman"/>
          <w:sz w:val="24"/>
          <w:szCs w:val="24"/>
        </w:rPr>
        <w:t xml:space="preserve">The scope of this thesis is the design, implementation, and pipeline-level validation of the FaceEval-X benchmarking framework. The framework registers six traditional machine learning models (Eigenfaces, Fisherfaces, LBPH, PCA+SVM, HOG+SVM, and k-Nearest Neighbors) and four deep learning models (FaceNet, ArcFace, InsightFace, and Dlib's ResNet-based recognizer), and implements sixteen perturbation types across six categories. The framework includes a FastAPI backend and a React dashboard for inspecting benchmark results.</w:t>
      </w:r>
    </w:p>
    <w:p>
      <w:pPr>
        <w:spacing w:after="200" w:line="360" w:lineRule="auto"/>
        <w:jc w:val="both"/>
      </w:pPr>
      <w:r>
        <w:rPr>
          <w:rFonts w:ascii="Times New Roman" w:cs="Times New Roman" w:eastAsia="Times New Roman" w:hAnsi="Times New Roman"/>
          <w:sz w:val="24"/>
          <w:szCs w:val="24"/>
        </w:rPr>
        <w:t xml:space="preserve">Several limitations apply. First, the deep learning models depend on external pretrained weights (facenet-pytorch, insightface, dlib) that were not installed in the development environment used for this thesis; the framework therefore includes deterministic stub embedders that exercise the full software pipeline without requiring these dependencies, and the results reported in Unit 5 reflect this configuration unless otherwise stated. Second, the full benchmark across all ten models, all sixteen perturbation types, and a real-world dataset such as LFW had not been executed to completion at the time of writing; Unit 5 therefore presents illustrative result tables, clearly marked, alongside the genuine results obtained from a smaller-scale pipeline validation run on synthetically generated face-like imagery. Third, the calibration, fairness, and resource-profiling evaluation stages are implemented as standalone modules but were not yet wired into the automated orchestration run used for validation; their default neutral values appear in the validation results accordingly. These limitations are revisited in Unit 6.</w:t>
      </w:r>
    </w:p>
    <w:p>
      <w:pPr>
        <w:pStyle w:val="Heading2"/>
        <w:spacing w:after="200" w:before="360" w:line="360" w:lineRule="auto"/>
      </w:pPr>
      <w:r>
        <w:rPr>
          <w:rFonts w:ascii="Times New Roman" w:cs="Times New Roman" w:eastAsia="Times New Roman" w:hAnsi="Times New Roman"/>
          <w:b/>
          <w:bCs/>
          <w:sz w:val="28"/>
          <w:szCs w:val="28"/>
        </w:rPr>
        <w:t xml:space="preserve">1.5 Report Organization</w:t>
      </w:r>
    </w:p>
    <w:p>
      <w:pPr>
        <w:spacing w:after="200" w:line="360" w:lineRule="auto"/>
        <w:jc w:val="both"/>
      </w:pPr>
      <w:r>
        <w:rPr>
          <w:rFonts w:ascii="Times New Roman" w:cs="Times New Roman" w:eastAsia="Times New Roman" w:hAnsi="Times New Roman"/>
          <w:sz w:val="24"/>
          <w:szCs w:val="24"/>
        </w:rPr>
        <w:t xml:space="preserve">The remainder of this report is organized into five further units. Unit 2 presents the background study and literature review underpinning the design choices made in the framework, covering the evolution of face recognition methods, established robustness evaluation practice, and calibration and fairness metrics. Unit 3 describes the methodology: the overall system architecture, the dataset and preprocessing pipeline, the algorithms and mathematical formulations underlying each module, and the evaluation metrics employed. Unit 4 describes the implementation in detail, covering the technology stack and module-by-module implementation notes. Unit 5 presents the results obtained from the validation run of the pipeline and analyzes them, noting clearly where illustrative figures are used pending the full benchmark run. Unit 6 concludes the report and outlines directions for future work.</w:t>
      </w:r>
    </w:p>
    <w:p>
      <w:pPr>
        <w:pStyle w:val="Heading1"/>
        <w:spacing w:after="240" w:before="480" w:line="360" w:lineRule="auto"/>
      </w:pPr>
      <w:r>
        <w:rPr>
          <w:rFonts w:ascii="Times New Roman" w:cs="Times New Roman" w:eastAsia="Times New Roman" w:hAnsi="Times New Roman"/>
          <w:b/>
          <w:bCs/>
          <w:sz w:val="32"/>
          <w:szCs w:val="32"/>
        </w:rPr>
        <w:t xml:space="preserve">UNIT 2: BACKGROUND STUDY AND LITERATURE REVIEW</w:t>
      </w:r>
    </w:p>
    <w:p>
      <w:pPr>
        <w:pStyle w:val="Heading2"/>
        <w:spacing w:after="200" w:before="360" w:line="360" w:lineRule="auto"/>
      </w:pPr>
      <w:r>
        <w:rPr>
          <w:rFonts w:ascii="Times New Roman" w:cs="Times New Roman" w:eastAsia="Times New Roman" w:hAnsi="Times New Roman"/>
          <w:b/>
          <w:bCs/>
          <w:sz w:val="28"/>
          <w:szCs w:val="28"/>
        </w:rPr>
        <w:t xml:space="preserve">2.1 Background Study</w:t>
      </w:r>
    </w:p>
    <w:p>
      <w:pPr>
        <w:pStyle w:val="Heading3"/>
        <w:spacing w:after="160" w:before="280" w:line="360" w:lineRule="auto"/>
      </w:pPr>
      <w:r>
        <w:rPr>
          <w:rFonts w:ascii="Times New Roman" w:cs="Times New Roman" w:eastAsia="Times New Roman" w:hAnsi="Times New Roman"/>
          <w:b/>
          <w:bCs/>
          <w:sz w:val="24"/>
          <w:szCs w:val="24"/>
        </w:rPr>
        <w:t xml:space="preserve">2.1.1 Evolution of Face Recognition</w:t>
      </w:r>
    </w:p>
    <w:p>
      <w:pPr>
        <w:spacing w:after="200" w:line="360" w:lineRule="auto"/>
        <w:jc w:val="both"/>
      </w:pPr>
      <w:r>
        <w:rPr>
          <w:rFonts w:ascii="Times New Roman" w:cs="Times New Roman" w:eastAsia="Times New Roman" w:hAnsi="Times New Roman"/>
          <w:sz w:val="24"/>
          <w:szCs w:val="24"/>
        </w:rPr>
        <w:t xml:space="preserve">Automated face recognition research can be divided broadly into three eras. The appearance-based statistical era, beginning with Eigenfaces [4], represented face images as points in a lower-dimensional subspace obtained via Principal Component Analysis (PCA) applied to the covariance of a training set, and performed classification by nearest-centroid or simple classifiers in that subspace. Fisherfaces [5] extended this approach with Linear Discriminant Analysis (LDA) applied after PCA whitening, maximizing between-class scatter relative to within-class scatter and yielding greater robustness to illumination variation than raw PCA. The texture-descriptor era introduced hand-crafted local features: Local Binary Pattern Histograms (LBPH) [6] encode local micro-texture by thresholding each pixel against its circular neighborhood, while the Histogram of Oriented Gradients (HOG) descriptor [7], originally developed for pedestrian detection, captures edge orientation statistics within spatial cells and has been applied to face recognition in combination with Support Vector Machine (SVM) classifiers.</w:t>
      </w:r>
    </w:p>
    <w:p>
      <w:pPr>
        <w:spacing w:after="200" w:line="360" w:lineRule="auto"/>
        <w:jc w:val="both"/>
      </w:pPr>
      <w:r>
        <w:rPr>
          <w:rFonts w:ascii="Times New Roman" w:cs="Times New Roman" w:eastAsia="Times New Roman" w:hAnsi="Times New Roman"/>
          <w:sz w:val="24"/>
          <w:szCs w:val="24"/>
        </w:rPr>
        <w:t xml:space="preserve">The deep learning era began with the application of deep convolutional networks trained with classification losses, and matured with the introduction of metric-learning losses specifically designed for open-set face verification. FaceNet [1] introduced a triplet loss that directly optimizes Euclidean distance between embeddings of the same identity to be smaller than between different identities by a fixed margin. ArcFace [2] replaced triplet sampling with an additive angular margin applied within a softmax-based loss, geometrically interpretable as enforcing a minimum angular separation between identity clusters on a hypersphere, and has become a de facto standard backbone for state-of-the-art face recognition. InsightFace and related open implementations [8] have made such margin-based architectures broadly accessible as pretrained model packages.</w:t>
      </w:r>
    </w:p>
    <w:p>
      <w:pPr>
        <w:pStyle w:val="Heading3"/>
        <w:spacing w:after="160" w:before="280" w:line="360" w:lineRule="auto"/>
      </w:pPr>
      <w:r>
        <w:rPr>
          <w:rFonts w:ascii="Times New Roman" w:cs="Times New Roman" w:eastAsia="Times New Roman" w:hAnsi="Times New Roman"/>
          <w:b/>
          <w:bCs/>
          <w:sz w:val="24"/>
          <w:szCs w:val="24"/>
        </w:rPr>
        <w:t xml:space="preserve">2.1.2 Distribution Shift and Robustness Evaluation</w:t>
      </w:r>
    </w:p>
    <w:p>
      <w:pPr>
        <w:spacing w:after="200" w:line="360" w:lineRule="auto"/>
        <w:jc w:val="both"/>
      </w:pPr>
      <w:r>
        <w:rPr>
          <w:rFonts w:ascii="Times New Roman" w:cs="Times New Roman" w:eastAsia="Times New Roman" w:hAnsi="Times New Roman"/>
          <w:sz w:val="24"/>
          <w:szCs w:val="24"/>
        </w:rPr>
        <w:t xml:space="preserve">Distribution shift refers to a mismatch between the statistical distribution of training data and the distribution encountered at inference time. In the image domain, this manifests as corruptions such as blur, noise, and compression artifacts, and as covariate shifts such as illumination and pose change. Hendrycks and Dietterich [9] formalized a benchmark protocol (ImageNet-C) for measuring classifier robustness under a fixed taxonomy of corruption types at multiple severities, establishing the now-common practice of reporting an accuracy-vs-severity curve rather than a single clean-accuracy figure. The perturbation engine implemented in FaceEval-X adopts an analogous severity-parameterized design, applied specifically to the face recognition domain and extended with occlusion types (face masks, sunglasses) not present in general-purpose image corruption benchmarks but of particular relevance to face recognition deployment.</w:t>
      </w:r>
    </w:p>
    <w:p>
      <w:pPr>
        <w:spacing w:after="200" w:line="360" w:lineRule="auto"/>
        <w:jc w:val="both"/>
      </w:pPr>
      <w:r>
        <w:rPr>
          <w:rFonts w:ascii="Times New Roman" w:cs="Times New Roman" w:eastAsia="Times New Roman" w:hAnsi="Times New Roman"/>
          <w:sz w:val="24"/>
          <w:szCs w:val="24"/>
        </w:rPr>
        <w:t xml:space="preserve">Within face recognition specifically, the NIST Face Recognition Vendor Test (FRVT) program [10] periodically evaluates commercial and academic recognition algorithms under varied operational conditions at national scale, but its evaluation protocol and test imagery are not openly available for independent academic replication. Open academic benchmarks such as LFW [3] and its controlled-pose successor CFP [11] provide standard verification protocols but do not, in their standard form, include a systematic perturbation sweep across the controlled severity axis that FaceEval-X implements.</w:t>
      </w:r>
    </w:p>
    <w:p>
      <w:pPr>
        <w:pStyle w:val="Heading3"/>
        <w:spacing w:after="160" w:before="280" w:line="360" w:lineRule="auto"/>
      </w:pPr>
      <w:r>
        <w:rPr>
          <w:rFonts w:ascii="Times New Roman" w:cs="Times New Roman" w:eastAsia="Times New Roman" w:hAnsi="Times New Roman"/>
          <w:b/>
          <w:bCs/>
          <w:sz w:val="24"/>
          <w:szCs w:val="24"/>
        </w:rPr>
        <w:t xml:space="preserve">2.1.3 Calibration</w:t>
      </w:r>
    </w:p>
    <w:p>
      <w:pPr>
        <w:spacing w:after="200" w:line="360" w:lineRule="auto"/>
        <w:jc w:val="both"/>
      </w:pPr>
      <w:r>
        <w:rPr>
          <w:rFonts w:ascii="Times New Roman" w:cs="Times New Roman" w:eastAsia="Times New Roman" w:hAnsi="Times New Roman"/>
          <w:sz w:val="24"/>
          <w:szCs w:val="24"/>
        </w:rPr>
        <w:t xml:space="preserve">A classifier is well-calibrated if, among all predictions assigned a confidence of p, the empirical accuracy of those predictions is approximately p. Guo et al. [12] demonstrated that modern deep neural networks, despite higher accuracy than older architectures, are frequently miscalibrated — typically overconfident — and introduced Expected Calibration Error (ECE) as a standard scalar summary obtained by partitioning predictions into equal-width confidence bins and computing the weighted mean absolute gap between bin-average confidence and bin-average accuracy. Temperature scaling, a single-parameter post-hoc recalibration method, was shown to substantially reduce ECE without altering classification accuracy. FaceEval-X implements ECE, Maximum Calibration Error (MCE), Brier score, and temperature scaling as a standalone calibration module, motivated by the expectation — examined in this thesis — that calibration degrades differently across model paradigms as input distribution shift increases.</w:t>
      </w:r>
    </w:p>
    <w:p>
      <w:pPr>
        <w:pStyle w:val="Heading3"/>
        <w:spacing w:after="160" w:before="280" w:line="360" w:lineRule="auto"/>
      </w:pPr>
      <w:r>
        <w:rPr>
          <w:rFonts w:ascii="Times New Roman" w:cs="Times New Roman" w:eastAsia="Times New Roman" w:hAnsi="Times New Roman"/>
          <w:b/>
          <w:bCs/>
          <w:sz w:val="24"/>
          <w:szCs w:val="24"/>
        </w:rPr>
        <w:t xml:space="preserve">2.1.4 Fairness in Biometric Systems</w:t>
      </w:r>
    </w:p>
    <w:p>
      <w:pPr>
        <w:spacing w:after="200" w:line="360" w:lineRule="auto"/>
        <w:jc w:val="both"/>
      </w:pPr>
      <w:r>
        <w:rPr>
          <w:rFonts w:ascii="Times New Roman" w:cs="Times New Roman" w:eastAsia="Times New Roman" w:hAnsi="Times New Roman"/>
          <w:sz w:val="24"/>
          <w:szCs w:val="24"/>
        </w:rPr>
        <w:t xml:space="preserve">Buolamwini and Gebru [13] demonstrated substantial differential error rates across intersectional gender and skin-type subgroups in commercial gender-classification and, by extension, face analysis systems, establishing demographic subgroup disparity as a central concern for biometric system evaluation rather than a secondary consideration. Subsequent NIST FRVT demographic effects reports [14] extended this finding to one-to-one verification accuracy across a broad set of commercial face recognition algorithms. FaceEval-X implements subgroup-disparity metrics — maximum accuracy gap, equal opportunity gap, and demographic parity gap — computed from per-image demographic attribute metadata when available, following the gap-metric formulation established in this fairness literature.</w:t>
      </w:r>
    </w:p>
    <w:p>
      <w:pPr>
        <w:pStyle w:val="Heading2"/>
        <w:spacing w:after="200" w:before="360" w:line="360" w:lineRule="auto"/>
      </w:pPr>
      <w:r>
        <w:rPr>
          <w:rFonts w:ascii="Times New Roman" w:cs="Times New Roman" w:eastAsia="Times New Roman" w:hAnsi="Times New Roman"/>
          <w:b/>
          <w:bCs/>
          <w:sz w:val="28"/>
          <w:szCs w:val="28"/>
        </w:rPr>
        <w:t xml:space="preserve">2.2 Literature Review</w:t>
      </w:r>
    </w:p>
    <w:p>
      <w:pPr>
        <w:spacing w:after="200" w:line="360" w:lineRule="auto"/>
        <w:jc w:val="both"/>
      </w:pPr>
      <w:r>
        <w:rPr>
          <w:rFonts w:ascii="Times New Roman" w:cs="Times New Roman" w:eastAsia="Times New Roman" w:hAnsi="Times New Roman"/>
          <w:sz w:val="24"/>
          <w:szCs w:val="24"/>
        </w:rPr>
        <w:t xml:space="preserve">Table 2.1 summarizes the positioning of FaceEval-X relative to representative prior work across the dimensions most relevant to this thesis: whether the work spans both traditional and deep learning paradigms, whether it implements a controlled, severity-parameterized perturbation sweep, whether it reports calibration metrics, whether it reports demographic fairness metrics, and whether it produces a context-weighted deployment recommendation rather than a raw metric table.</w:t>
      </w:r>
    </w:p>
    <w:p>
      <w:pPr>
        <w:spacing w:after="200" w:line="360" w:lineRule="auto"/>
        <w:jc w:val="both"/>
      </w:pPr>
      <w:r>
        <w:rPr>
          <w:rFonts w:ascii="Times New Roman" w:cs="Times New Roman" w:eastAsia="Times New Roman" w:hAnsi="Times New Roman"/>
          <w:sz w:val="24"/>
          <w:szCs w:val="24"/>
        </w:rPr>
        <w:t xml:space="preserve">Schroff et al. [1] and Deng et al. [2] introduced FaceNet and ArcFace respectively and report accuracy on clean LFW and related benchmarks; neither work performs a systematic perturbation sweep, reports calibration, or compares against classical methods. Hendrycks and Dietterich [9] establish the corruption-robustness evaluation methodology this thesis adapts, but their benchmark targets general image classification (ImageNet) rather than face recognition, and does not include a deployment-scoring synthesis step. Guo et al. [12] establish calibration measurement methodology adopted in this thesis, applied originally to general image classifiers rather than face recognition specifically. Buolamwini and Gebru [13] and the NIST FRVT demographic effects studies [10], [14] establish fairness evaluation methodology for face analysis systems but do not combine fairness measurement with a controlled robustness sweep or a unified scoring framework.</w:t>
      </w:r>
    </w:p>
    <w:p>
      <w:pPr>
        <w:spacing w:after="200" w:line="360" w:lineRule="auto"/>
        <w:jc w:val="both"/>
      </w:pPr>
      <w:r>
        <w:rPr>
          <w:rFonts w:ascii="Times New Roman" w:cs="Times New Roman" w:eastAsia="Times New Roman" w:hAnsi="Times New Roman"/>
          <w:sz w:val="24"/>
          <w:szCs w:val="24"/>
        </w:rPr>
        <w:t xml:space="preserve">No work surveyed combines all four properties — cross-paradigm comparison, controlled multi-axis perturbation, calibration measurement, and fairness measurement — within a single open, extensible software framework that further synthesizes these measurements into a context-weighted deployment recommendation. This combination constitutes the specific contribution of FaceEval-X relative to the surveyed literature.</w:t>
      </w:r>
    </w:p>
    <w:p>
      <w:pPr>
        <w:pStyle w:val="Heading1"/>
        <w:spacing w:after="240" w:before="480" w:line="360" w:lineRule="auto"/>
      </w:pPr>
      <w:r>
        <w:rPr>
          <w:rFonts w:ascii="Times New Roman" w:cs="Times New Roman" w:eastAsia="Times New Roman" w:hAnsi="Times New Roman"/>
          <w:b/>
          <w:bCs/>
          <w:sz w:val="32"/>
          <w:szCs w:val="32"/>
        </w:rPr>
        <w:t xml:space="preserve">UNIT 3: METHODOLOGY</w:t>
      </w:r>
    </w:p>
    <w:p>
      <w:pPr>
        <w:pStyle w:val="Heading2"/>
        <w:spacing w:after="200" w:before="360" w:line="360" w:lineRule="auto"/>
      </w:pPr>
      <w:r>
        <w:rPr>
          <w:rFonts w:ascii="Times New Roman" w:cs="Times New Roman" w:eastAsia="Times New Roman" w:hAnsi="Times New Roman"/>
          <w:b/>
          <w:bCs/>
          <w:sz w:val="28"/>
          <w:szCs w:val="28"/>
        </w:rPr>
        <w:t xml:space="preserve">3.1 Description of Methodology</w:t>
      </w:r>
    </w:p>
    <w:p>
      <w:pPr>
        <w:spacing w:after="200" w:line="360" w:lineRule="auto"/>
        <w:jc w:val="both"/>
      </w:pPr>
      <w:r>
        <w:rPr>
          <w:rFonts w:ascii="Times New Roman" w:cs="Times New Roman" w:eastAsia="Times New Roman" w:hAnsi="Times New Roman"/>
          <w:sz w:val="24"/>
          <w:szCs w:val="24"/>
        </w:rPr>
        <w:t xml:space="preserve">FaceEval-X follows a layered, registry-driven software architecture in which every framework layer depends only on the layers beneath it, and recognition models and perturbations are registered as plugins rather than hard-coded, so that new models or perturbation types can be added in a single file without modifying the orchestration, evaluation, or reporting layers. The architecture comprises twelve layers: core (typed data contracts, configuration, plugin registry), data (dataset management, splitting, feature caching), preprocessing (detection, alignment, normalization), models (traditional and deep learning recognizers), perturbation (sixteen registered perturbation types), evaluation (identification and verification metrics, calibration, profiling, fairness), fingerprint (behavioral fingerprint construction and comparison), failure analysis (extraction, clustering, cross-paradigm correlation, meta-model prediction), deployment (context-weighted scoring and ranking), visualization (publication-quality figure generation), orchestration and reporting (experiment execution, MLflow tracking, multi-format export), and a presentation layer comprising a FastAPI backend and a React dashboard. Figure 3.1 depicts the data flow through these layers.</w:t>
      </w:r>
    </w:p>
    <w:p>
      <w:pPr>
        <w:spacing w:after="240" w:before="100"/>
        <w:jc w:val="center"/>
      </w:pPr>
      <w:r>
        <w:rPr>
          <w:rFonts w:ascii="Times New Roman" w:cs="Times New Roman" w:eastAsia="Times New Roman" w:hAnsi="Times New Roman"/>
          <w:b/>
          <w:bCs/>
          <w:sz w:val="24"/>
          <w:szCs w:val="24"/>
        </w:rPr>
        <w:t xml:space="preserve">Figure 3.1: FaceEval-X layered architecture and data flow (insert architecture diagram)</w:t>
      </w:r>
    </w:p>
    <w:p>
      <w:pPr>
        <w:spacing w:after="200" w:line="360" w:lineRule="auto"/>
        <w:jc w:val="both"/>
      </w:pPr>
      <w:r>
        <w:rPr>
          <w:rFonts w:ascii="Times New Roman" w:cs="Times New Roman" w:eastAsia="Times New Roman" w:hAnsi="Times New Roman"/>
          <w:sz w:val="24"/>
          <w:szCs w:val="24"/>
        </w:rPr>
        <w:t xml:space="preserve">An experiment proceeds as follows. A YAML configuration file specifies the dataset, the set of traditional and deep learning models to evaluate, the perturbation schedule (perturbation types and severity levels), and the deployment scenarios for which composite scores should be computed. The orchestration layer seeds all random number generators for reproducibility, loads or generates the dataset, and performs a stratified train/test split. For each registered model, the preprocessing pipeline aligns and normalizes the training images according to the model's expected input convention, the model is trained once on the clean training split, and then, for every (perturbation type, severity) condition in the schedule, the test split is perturbed and the trained model produces predictions, from which identification metrics are computed. The resulting set of per-condition evaluation results is then passed to the behavioral fingerprint builder, the deployment scorer, and the visualization and reporting layers.</w:t>
      </w:r>
    </w:p>
    <w:p>
      <w:pPr>
        <w:pStyle w:val="Heading2"/>
        <w:spacing w:after="200" w:before="360" w:line="360" w:lineRule="auto"/>
      </w:pPr>
      <w:r>
        <w:rPr>
          <w:rFonts w:ascii="Times New Roman" w:cs="Times New Roman" w:eastAsia="Times New Roman" w:hAnsi="Times New Roman"/>
          <w:b/>
          <w:bCs/>
          <w:sz w:val="28"/>
          <w:szCs w:val="28"/>
        </w:rPr>
        <w:t xml:space="preserve">3.2 Data Set Description</w:t>
      </w:r>
    </w:p>
    <w:p>
      <w:pPr>
        <w:spacing w:after="200" w:line="360" w:lineRule="auto"/>
        <w:jc w:val="both"/>
      </w:pPr>
      <w:r>
        <w:rPr>
          <w:rFonts w:ascii="Times New Roman" w:cs="Times New Roman" w:eastAsia="Times New Roman" w:hAnsi="Times New Roman"/>
          <w:sz w:val="24"/>
          <w:szCs w:val="24"/>
        </w:rPr>
        <w:t xml:space="preserve">The framework's data layer implements loaders for three standard face recognition datasets: Labeled Faces in the Wild (LFW) [3], a 13,233-image, 5,749-subject unconstrained benchmark; CelebA [15], a 202,599-image celebrity attribute dataset providing per-image demographic attribute labels used for the fairness evaluation module; and VGGFace2 [16], a large-scale dataset spanning pose and age variation. A generic folder-based loader is also provided for arbitrary subject-organized image collections.</w:t>
      </w:r>
    </w:p>
    <w:p>
      <w:pPr>
        <w:spacing w:after="200" w:line="360" w:lineRule="auto"/>
        <w:jc w:val="both"/>
      </w:pPr>
      <w:r>
        <w:rPr>
          <w:rFonts w:ascii="Times New Roman" w:cs="Times New Roman" w:eastAsia="Times New Roman" w:hAnsi="Times New Roman"/>
          <w:sz w:val="24"/>
          <w:szCs w:val="24"/>
        </w:rPr>
        <w:t xml:space="preserve">For the pipeline validation reported in Unit 5, a deterministic synthetic dataset generator was used in place of a downloaded dataset, in order to validate the complete software pipeline without requiring a manual dataset download step. The generator constructs, for each synthetic subject, a smooth two-dimensional sinusoidal base pattern of subject-specific frequency and phase plus a subject-specific color tint, and produces multiple image instances per subject by adding independent Gaussian pixel noise to the shared base pattern. This produces a dataset in which subjects are genuinely separable in pixel space — allowing traditional and deep learning models to learn real class structure — while requiring no external download. Twenty synthetic subjects with twelve images each (240 images total) were used for the validation run described in Unit 5. This dataset is explicitly a software-verification instrument and not a substitute for the LFW benchmark intended for the full thesis evaluation.</w:t>
      </w:r>
    </w:p>
    <w:p>
      <w:pPr>
        <w:pStyle w:val="Heading2"/>
        <w:spacing w:after="200" w:before="360" w:line="360" w:lineRule="auto"/>
      </w:pPr>
      <w:r>
        <w:rPr>
          <w:rFonts w:ascii="Times New Roman" w:cs="Times New Roman" w:eastAsia="Times New Roman" w:hAnsi="Times New Roman"/>
          <w:b/>
          <w:bCs/>
          <w:sz w:val="28"/>
          <w:szCs w:val="28"/>
        </w:rPr>
        <w:t xml:space="preserve">3.3 Data Preprocessing</w:t>
      </w:r>
    </w:p>
    <w:p>
      <w:pPr>
        <w:spacing w:after="200" w:line="360" w:lineRule="auto"/>
        <w:jc w:val="both"/>
      </w:pPr>
      <w:r>
        <w:rPr>
          <w:rFonts w:ascii="Times New Roman" w:cs="Times New Roman" w:eastAsia="Times New Roman" w:hAnsi="Times New Roman"/>
          <w:sz w:val="24"/>
          <w:szCs w:val="24"/>
        </w:rPr>
        <w:t xml:space="preserve">The preprocessing pipeline performs three sequential stages. Face detection is performed by a chain of interchangeable backends — an OpenCV deep-neural-network Caffe detector, an OpenCV Haar cascade fallback, and a whole-image fallback for datasets such as LFW in which images are already tightly cropped to the face region. Detected faces are aligned to a canonical pose using a five-point landmark affine transform (left eye, right eye, nose tip, and two mouth corners) computed via a similarity transform (rotation, uniform scale, and translation) onto fixed reference templates of size 112×112 (ArcFace/InsightFace convention), 160×160 (FaceNet convention), and 250×250 (LFW native resolution). When landmarks are unavailable, a geometry-only crop with a 20% margin expansion is used as a fallback. Finally, pixel normalization is applied according to the target model's expected input convention: ArcFace and InsightFace expect pixel values mapped to the range [-1, 1] via (x − 127.5) / 128; FaceNet expects per-image zero-mean, unit-variance standardization; Dlib expects [0, 1]-scaled RGB; and the traditional models (Eigenfaces, Fisherfaces, PCA+SVM) receive contrast-limited adaptive histogram-equalized grayscale input, chosen to compensate for the known illumination sensitivity of PCA-based subspace methods.</w:t>
      </w:r>
    </w:p>
    <w:p>
      <w:pPr>
        <w:pStyle w:val="Heading2"/>
        <w:spacing w:after="200" w:before="360" w:line="360" w:lineRule="auto"/>
      </w:pPr>
      <w:r>
        <w:rPr>
          <w:rFonts w:ascii="Times New Roman" w:cs="Times New Roman" w:eastAsia="Times New Roman" w:hAnsi="Times New Roman"/>
          <w:b/>
          <w:bCs/>
          <w:sz w:val="28"/>
          <w:szCs w:val="28"/>
        </w:rPr>
        <w:t xml:space="preserve">3.4 Description of Algorithms and Mathematical Models</w:t>
      </w:r>
    </w:p>
    <w:p>
      <w:pPr>
        <w:pStyle w:val="Heading3"/>
        <w:spacing w:after="160" w:before="280" w:line="360" w:lineRule="auto"/>
      </w:pPr>
      <w:r>
        <w:rPr>
          <w:rFonts w:ascii="Times New Roman" w:cs="Times New Roman" w:eastAsia="Times New Roman" w:hAnsi="Times New Roman"/>
          <w:b/>
          <w:bCs/>
          <w:sz w:val="24"/>
          <w:szCs w:val="24"/>
        </w:rPr>
        <w:t xml:space="preserve">3.4.1 Traditional Recognition Models</w:t>
      </w:r>
    </w:p>
    <w:p>
      <w:pPr>
        <w:spacing w:after="200" w:line="360" w:lineRule="auto"/>
        <w:jc w:val="both"/>
      </w:pPr>
      <w:r>
        <w:rPr>
          <w:rFonts w:ascii="Times New Roman" w:cs="Times New Roman" w:eastAsia="Times New Roman" w:hAnsi="Times New Roman"/>
          <w:sz w:val="24"/>
          <w:szCs w:val="24"/>
        </w:rPr>
        <w:t xml:space="preserve">Eigenfaces projects each preprocessed image onto the top-k principal components of the training set covariance matrix and classifies in the resulting subspace using a linear support vector machine. Fisherfaces extends this with a Linear Discriminant Analysis stage applied after PCA whitening, maximizing the ratio of between-class to within-class scatter, S_B and S_W, by solving the generalized eigenproblem S_W⁻¹S_B w = λw. LBPH computes, for each image, a local binary pattern code at each pixel by thresholding its circular neighborhood of radius r and p sampling points against the center pixel value, partitions the image into an 8×8 grid of cells, and concatenates the per-cell uniform-LBP histograms into a single feature vector classified by a linear SVM. HOG+SVM computes oriented-gradient histograms over 8×8-pixel cells with 9 orientation bins, L2-Hys block normalization over 2×2-cell blocks, and classifies the resulting descriptor with a radial-basis-function-kernel SVM. The k-Nearest-Neighbor baseline classifies a HOG-encoded probe by majority vote among its k nearest training neighbors under a configurable distance metric, serving as a non-parametric lower bound.</w:t>
      </w:r>
    </w:p>
    <w:p>
      <w:pPr>
        <w:pStyle w:val="Heading3"/>
        <w:spacing w:after="160" w:before="280" w:line="360" w:lineRule="auto"/>
      </w:pPr>
      <w:r>
        <w:rPr>
          <w:rFonts w:ascii="Times New Roman" w:cs="Times New Roman" w:eastAsia="Times New Roman" w:hAnsi="Times New Roman"/>
          <w:b/>
          <w:bCs/>
          <w:sz w:val="24"/>
          <w:szCs w:val="24"/>
        </w:rPr>
        <w:t xml:space="preserve">3.4.2 Deep Learning Recognition Models</w:t>
      </w:r>
    </w:p>
    <w:p>
      <w:pPr>
        <w:spacing w:after="200" w:line="360" w:lineRule="auto"/>
        <w:jc w:val="both"/>
      </w:pPr>
      <w:r>
        <w:rPr>
          <w:rFonts w:ascii="Times New Roman" w:cs="Times New Roman" w:eastAsia="Times New Roman" w:hAnsi="Times New Roman"/>
          <w:sz w:val="24"/>
          <w:szCs w:val="24"/>
        </w:rPr>
        <w:t xml:space="preserve">FaceNet and ArcFace/InsightFace produce a fixed-dimensional embedding (512 dimensions for the latter two, configurable for FaceNet) for each preprocessed face, L2-normalized so that cosine similarity reduces to a dot product. Unlike the traditional models, the deep learning recognizers do not train a discriminative classifier; the backbone weights are pretrained externally, and the framework's training step constructs a per-subject gallery centroid by averaging and re-normalizing the embeddings of all training images for that subject. At inference, a probe embedding is compared against every gallery centroid via cosine similarity, and the predicted identity is the centroid of maximum similarity; the similarity value, mapped from the [−1, 1] range to [0, 1], is reported as the prediction confidence. Verification (same/different decisions) compares two probe embeddings directly against a per-model decision threshold (0.6 for FaceNet, 0.5 for ArcFace and InsightFace, matching published operating points).</w:t>
      </w:r>
    </w:p>
    <w:p>
      <w:pPr>
        <w:spacing w:after="200" w:line="360" w:lineRule="auto"/>
        <w:jc w:val="both"/>
      </w:pPr>
      <w:r>
        <w:rPr>
          <w:rFonts w:ascii="Times New Roman" w:cs="Times New Roman" w:eastAsia="Times New Roman" w:hAnsi="Times New Roman"/>
          <w:sz w:val="24"/>
          <w:szCs w:val="24"/>
        </w:rPr>
        <w:t xml:space="preserve">Where pretrained weights for a given backbone are not installed in the runtime environment, the framework substitutes a deterministic stub embedder that derives a unit-norm pseudo-random embedding from a seed computed as the sum of absolute pixel values of the input image. This stub is used to exercise the gallery construction, similarity comparison, and save/load logic of the deep learning pipeline independently of the availability of third-party pretrained-weight packages. Because the stub's seed depends on raw pixel content rather than learned identity features, it cannot generalize across different images of the same subject; its accuracy on any real or synthetic dataset is consequently low by construction, and results obtained from a model running in stub mode are reported in Unit 5 strictly as a pipeline-mechanics validation, not as a measurement of the underlying recognition algorithm's accuracy.</w:t>
      </w:r>
    </w:p>
    <w:p>
      <w:pPr>
        <w:pStyle w:val="Heading3"/>
        <w:spacing w:after="160" w:before="280" w:line="360" w:lineRule="auto"/>
      </w:pPr>
      <w:r>
        <w:rPr>
          <w:rFonts w:ascii="Times New Roman" w:cs="Times New Roman" w:eastAsia="Times New Roman" w:hAnsi="Times New Roman"/>
          <w:b/>
          <w:bCs/>
          <w:sz w:val="24"/>
          <w:szCs w:val="24"/>
        </w:rPr>
        <w:t xml:space="preserve">3.4.3 Perturbation Engine</w:t>
      </w:r>
    </w:p>
    <w:p>
      <w:pPr>
        <w:spacing w:after="200" w:line="360" w:lineRule="auto"/>
        <w:jc w:val="both"/>
      </w:pPr>
      <w:r>
        <w:rPr>
          <w:rFonts w:ascii="Times New Roman" w:cs="Times New Roman" w:eastAsia="Times New Roman" w:hAnsi="Times New Roman"/>
          <w:sz w:val="24"/>
          <w:szCs w:val="24"/>
        </w:rPr>
        <w:t xml:space="preserve">Every perturbation implements a function P(I, s) → I′ mapping an input image I and a normalized severity s ∈ [0, 1] to a perturbed image I′ of identical shape and dtype, subject to the invariant P(I, 0) = I. Table 3.1 lists the sixteen implemented perturbation types, grouped into six categories, together with the raw parameter each severity value is mapped to.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Category</w:t>
            </w:r>
          </w:p>
        </w:tc>
        <w:tc>
          <w:tcPr>
            <w:tcW w:type="dxa" w:w="2800"/>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Perturbation Type</w:t>
            </w:r>
          </w:p>
        </w:tc>
        <w:tc>
          <w:tcPr>
            <w:tcW w:type="dxa" w:w="4426"/>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Severity → Raw Parameter Mapping</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Blur</w:t>
            </w:r>
          </w:p>
        </w:tc>
        <w:tc>
          <w:tcPr>
            <w:tcW w:type="dxa" w:w="2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Gaussian blur</w:t>
            </w:r>
          </w:p>
        </w:tc>
        <w:tc>
          <w:tcPr>
            <w:tcW w:type="dxa" w:w="44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σ ∈ [0, 8.0], linear</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Blur</w:t>
            </w:r>
          </w:p>
        </w:tc>
        <w:tc>
          <w:tcPr>
            <w:tcW w:type="dxa" w:w="2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Motion blur</w:t>
            </w:r>
          </w:p>
        </w:tc>
        <w:tc>
          <w:tcPr>
            <w:tcW w:type="dxa" w:w="44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kernel length ∈ [1, 40] px, linear, 45° angle</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Noise</w:t>
            </w:r>
          </w:p>
        </w:tc>
        <w:tc>
          <w:tcPr>
            <w:tcW w:type="dxa" w:w="2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Gaussian noise</w:t>
            </w:r>
          </w:p>
        </w:tc>
        <w:tc>
          <w:tcPr>
            <w:tcW w:type="dxa" w:w="44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std ∈ [0, 0.20], linear</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Noise</w:t>
            </w:r>
          </w:p>
        </w:tc>
        <w:tc>
          <w:tcPr>
            <w:tcW w:type="dxa" w:w="2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Salt-and-pepper noise</w:t>
            </w:r>
          </w:p>
        </w:tc>
        <w:tc>
          <w:tcPr>
            <w:tcW w:type="dxa" w:w="44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density ∈ [0, 0.20], linear</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Noise</w:t>
            </w:r>
          </w:p>
        </w:tc>
        <w:tc>
          <w:tcPr>
            <w:tcW w:type="dxa" w:w="2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Speckle noise</w:t>
            </w:r>
          </w:p>
        </w:tc>
        <w:tc>
          <w:tcPr>
            <w:tcW w:type="dxa" w:w="44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variance ∈ [0, 0.15], linear</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Photometric</w:t>
            </w:r>
          </w:p>
        </w:tc>
        <w:tc>
          <w:tcPr>
            <w:tcW w:type="dxa" w:w="2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Brightness</w:t>
            </w:r>
          </w:p>
        </w:tc>
        <w:tc>
          <w:tcPr>
            <w:tcW w:type="dxa" w:w="44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additive shift ∈ [−0.40, +0.40], centered at s=0.5</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Photometric</w:t>
            </w:r>
          </w:p>
        </w:tc>
        <w:tc>
          <w:tcPr>
            <w:tcW w:type="dxa" w:w="2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Contrast</w:t>
            </w:r>
          </w:p>
        </w:tc>
        <w:tc>
          <w:tcPr>
            <w:tcW w:type="dxa" w:w="44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scale ∈ [0.3, 3.0], log-interpolated</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Photometric</w:t>
            </w:r>
          </w:p>
        </w:tc>
        <w:tc>
          <w:tcPr>
            <w:tcW w:type="dxa" w:w="2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Gamma</w:t>
            </w:r>
          </w:p>
        </w:tc>
        <w:tc>
          <w:tcPr>
            <w:tcW w:type="dxa" w:w="44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γ ∈ [0.25, 4.0], log-interpolated, s=0.5 → identity</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Geometric</w:t>
            </w:r>
          </w:p>
        </w:tc>
        <w:tc>
          <w:tcPr>
            <w:tcW w:type="dxa" w:w="2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Rotation</w:t>
            </w:r>
          </w:p>
        </w:tc>
        <w:tc>
          <w:tcPr>
            <w:tcW w:type="dxa" w:w="44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angle ∈ [0°, 45°], linear</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Geometric</w:t>
            </w:r>
          </w:p>
        </w:tc>
        <w:tc>
          <w:tcPr>
            <w:tcW w:type="dxa" w:w="2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Scaling</w:t>
            </w:r>
          </w:p>
        </w:tc>
        <w:tc>
          <w:tcPr>
            <w:tcW w:type="dxa" w:w="44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scale ∈ [1.0, 0.5], linear zoom-out</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Geometric</w:t>
            </w:r>
          </w:p>
        </w:tc>
        <w:tc>
          <w:tcPr>
            <w:tcW w:type="dxa" w:w="2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Cropping</w:t>
            </w:r>
          </w:p>
        </w:tc>
        <w:tc>
          <w:tcPr>
            <w:tcW w:type="dxa" w:w="44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crop fraction ∈ [0, 0.40], linear</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Occlusion</w:t>
            </w:r>
          </w:p>
        </w:tc>
        <w:tc>
          <w:tcPr>
            <w:tcW w:type="dxa" w:w="2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Random occlusion</w:t>
            </w:r>
          </w:p>
        </w:tc>
        <w:tc>
          <w:tcPr>
            <w:tcW w:type="dxa" w:w="44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occluded area fraction ∈ [0, 0.40]</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Occlusion</w:t>
            </w:r>
          </w:p>
        </w:tc>
        <w:tc>
          <w:tcPr>
            <w:tcW w:type="dxa" w:w="2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Face mask</w:t>
            </w:r>
          </w:p>
        </w:tc>
        <w:tc>
          <w:tcPr>
            <w:tcW w:type="dxa" w:w="44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mask opacity ∈ [0, 1.0]</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Occlusion</w:t>
            </w:r>
          </w:p>
        </w:tc>
        <w:tc>
          <w:tcPr>
            <w:tcW w:type="dxa" w:w="2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Sunglasses</w:t>
            </w:r>
          </w:p>
        </w:tc>
        <w:tc>
          <w:tcPr>
            <w:tcW w:type="dxa" w:w="44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lens opacity ∈ [0, 1.0]</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Compression</w:t>
            </w:r>
          </w:p>
        </w:tc>
        <w:tc>
          <w:tcPr>
            <w:tcW w:type="dxa" w:w="2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JPEG compression</w:t>
            </w:r>
          </w:p>
        </w:tc>
        <w:tc>
          <w:tcPr>
            <w:tcW w:type="dxa" w:w="44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quality ∈ [95, 5], inverted linear</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Resolution</w:t>
            </w:r>
          </w:p>
        </w:tc>
        <w:tc>
          <w:tcPr>
            <w:tcW w:type="dxa" w:w="2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Resolution degradation</w:t>
            </w:r>
          </w:p>
        </w:tc>
        <w:tc>
          <w:tcPr>
            <w:tcW w:type="dxa" w:w="44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downscale factor ∈ [1.0, 8.0], linear</w:t>
            </w:r>
          </w:p>
        </w:tc>
      </w:tr>
    </w:tbl>
    <w:p>
      <w:pPr>
        <w:spacing w:after="240" w:before="100"/>
        <w:jc w:val="center"/>
      </w:pPr>
      <w:r>
        <w:rPr>
          <w:rFonts w:ascii="Times New Roman" w:cs="Times New Roman" w:eastAsia="Times New Roman" w:hAnsi="Times New Roman"/>
          <w:b/>
          <w:bCs/>
          <w:sz w:val="24"/>
          <w:szCs w:val="24"/>
        </w:rPr>
        <w:t xml:space="preserve">Table 3.1: Perturbation types, categories, and severity-to-parameter mappings</w:t>
      </w:r>
    </w:p>
    <w:p>
      <w:pPr>
        <w:pStyle w:val="Heading3"/>
        <w:spacing w:after="160" w:before="280" w:line="360" w:lineRule="auto"/>
      </w:pPr>
      <w:r>
        <w:rPr>
          <w:rFonts w:ascii="Times New Roman" w:cs="Times New Roman" w:eastAsia="Times New Roman" w:hAnsi="Times New Roman"/>
          <w:b/>
          <w:bCs/>
          <w:sz w:val="24"/>
          <w:szCs w:val="24"/>
        </w:rPr>
        <w:t xml:space="preserve">3.4.4 Behavioral Fingerprint</w:t>
      </w:r>
    </w:p>
    <w:p>
      <w:pPr>
        <w:spacing w:after="200" w:line="360" w:lineRule="auto"/>
        <w:jc w:val="both"/>
      </w:pPr>
      <w:r>
        <w:rPr>
          <w:rFonts w:ascii="Times New Roman" w:cs="Times New Roman" w:eastAsia="Times New Roman" w:hAnsi="Times New Roman"/>
          <w:sz w:val="24"/>
          <w:szCs w:val="24"/>
        </w:rPr>
        <w:t xml:space="preserve">The behavioral fingerprint is a fixed twenty-one-dimensional vector summarizing a model's robustness, calibration, fairness, speed, and memory characteristics, every dimension normalized to [0, 1] with the convention that higher values indicate better behavior. Sixteen dimensions, robustness_{perturbation type}, are computed as the area under the model's Accuracy-Degradation Curve (ADC) for that perturbation type, normalized against the random-chance baseline:</w:t>
      </w:r>
    </w:p>
    <w:p>
      <w:pPr>
        <w:spacing w:after="200" w:line="360" w:lineRule="auto"/>
        <w:jc w:val="center"/>
      </w:pPr>
      <w:r>
        <w:rPr>
          <w:rFonts w:ascii="Times New Roman" w:cs="Times New Roman" w:eastAsia="Times New Roman" w:hAnsi="Times New Roman"/>
          <w:i/>
          <w:iCs/>
          <w:sz w:val="24"/>
          <w:szCs w:val="24"/>
        </w:rPr>
        <w:t xml:space="preserve">normalized_AUC = (AUC − 1/C) / (1 − 1/C)</w:t>
      </w:r>
    </w:p>
    <w:p>
      <w:pPr>
        <w:spacing w:after="200" w:line="360" w:lineRule="auto"/>
        <w:jc w:val="both"/>
      </w:pPr>
      <w:r>
        <w:rPr>
          <w:rFonts w:ascii="Times New Roman" w:cs="Times New Roman" w:eastAsia="Times New Roman" w:hAnsi="Times New Roman"/>
          <w:sz w:val="24"/>
          <w:szCs w:val="24"/>
        </w:rPr>
        <w:t xml:space="preserve">where C is the number of subject classes and AUC is the trapezoidal-rule integral of accuracy over the normalized severity axis [0, 1]. The remaining five dimensions are calibration_quality (1 − mean Expected Calibration Error), fairness_gap (1 − maximum subgroup accuracy gap), speed_score (a log-sigmoid normalization of throughput centered at 100 frames per second), memory_efficiency (1 − peak memory in megabytes normalized against a 1 gigabyte reference), and sample_efficiency (area under the normalized accuracy-vs-training-set-size curve). When the underlying measurement for a non-robustness dimension is unavailable — for instance, when calibration was not computed for a given run — the framework assigns the neutral default 0.5 rather than zero, to avoid penalizing a model for missing instrumentation rather than poor performance.</w:t>
      </w:r>
    </w:p>
    <w:p>
      <w:pPr>
        <w:spacing w:after="200" w:line="360" w:lineRule="auto"/>
        <w:jc w:val="both"/>
      </w:pPr>
      <w:r>
        <w:rPr>
          <w:rFonts w:ascii="Times New Roman" w:cs="Times New Roman" w:eastAsia="Times New Roman" w:hAnsi="Times New Roman"/>
          <w:sz w:val="24"/>
          <w:szCs w:val="24"/>
        </w:rPr>
        <w:t xml:space="preserve">Cross-model comparison of fingerprints is performed via Euclidean, cosine, or Manhattan distance between fingerprint vectors, and via hierarchical agglomerative clustering (Ward linkage) of the full fingerprint set, allowing the framework to test empirically whether traditional and deep learning models cluster separately by paradigm or whether robustness profile cuts across the paradigm boundary.</w:t>
      </w:r>
    </w:p>
    <w:p>
      <w:pPr>
        <w:pStyle w:val="Heading3"/>
        <w:spacing w:after="160" w:before="280" w:line="360" w:lineRule="auto"/>
      </w:pPr>
      <w:r>
        <w:rPr>
          <w:rFonts w:ascii="Times New Roman" w:cs="Times New Roman" w:eastAsia="Times New Roman" w:hAnsi="Times New Roman"/>
          <w:b/>
          <w:bCs/>
          <w:sz w:val="24"/>
          <w:szCs w:val="24"/>
        </w:rPr>
        <w:t xml:space="preserve">3.4.5 Deployment Scoring</w:t>
      </w:r>
    </w:p>
    <w:p>
      <w:pPr>
        <w:spacing w:after="200" w:line="360" w:lineRule="auto"/>
        <w:jc w:val="both"/>
      </w:pPr>
      <w:r>
        <w:rPr>
          <w:rFonts w:ascii="Times New Roman" w:cs="Times New Roman" w:eastAsia="Times New Roman" w:hAnsi="Times New Roman"/>
          <w:sz w:val="24"/>
          <w:szCs w:val="24"/>
        </w:rPr>
        <w:t xml:space="preserve">The deployment score for a model under a given deployment scenario is a weighted linear combination of seven normalized component scores:</w:t>
      </w:r>
    </w:p>
    <w:p>
      <w:pPr>
        <w:spacing w:after="200" w:line="360" w:lineRule="auto"/>
        <w:jc w:val="center"/>
      </w:pPr>
      <w:r>
        <w:rPr>
          <w:rFonts w:ascii="Times New Roman" w:cs="Times New Roman" w:eastAsia="Times New Roman" w:hAnsi="Times New Roman"/>
          <w:i/>
          <w:iCs/>
          <w:sz w:val="24"/>
          <w:szCs w:val="24"/>
        </w:rPr>
        <w:t xml:space="preserve">S = w_acc·c_acc + w_rob·c_rob + w_cal·c_cal + w_fair·c_fair + w_lat·c_lat + w_mem·c_mem + w_cost·c_cost</w:t>
      </w:r>
    </w:p>
    <w:p>
      <w:pPr>
        <w:spacing w:after="200" w:line="360" w:lineRule="auto"/>
        <w:jc w:val="both"/>
      </w:pPr>
      <w:r>
        <w:rPr>
          <w:rFonts w:ascii="Times New Roman" w:cs="Times New Roman" w:eastAsia="Times New Roman" w:hAnsi="Times New Roman"/>
          <w:sz w:val="24"/>
          <w:szCs w:val="24"/>
        </w:rPr>
        <w:t xml:space="preserve">where each weight w is non-negative, the seven weights sum to 1, and each component score c is independently normalized to [0, 1]. Five built-in scenarios — border control, access control, mobile authentication, surveillance, and research benchmark — are pre-configured with weight profiles reflecting the differing priorities of each deployment context (for example, mobile authentication assigns 22% combined weight to latency and memory, versus 14% for border control, reflecting the difference between an on-device, latency-sensitive use case and a server-side, accuracy-sensitive one), and custom weight profiles may be supplied via the experiment configuration. Sensitivity analysis is performed analytically, since ∂S/∂w_i = c_i for a linear weighted sum, and additionally via Monte Carlo sampling of weight vectors from a Dirichlet distribution centered on the scenario's baseline weights, to report the fraction of weight perturbations under which the top-ranked model's rank is preserved.</w:t>
      </w:r>
    </w:p>
    <w:p>
      <w:pPr>
        <w:pStyle w:val="Heading2"/>
        <w:spacing w:after="200" w:before="360" w:line="360" w:lineRule="auto"/>
      </w:pPr>
      <w:r>
        <w:rPr>
          <w:rFonts w:ascii="Times New Roman" w:cs="Times New Roman" w:eastAsia="Times New Roman" w:hAnsi="Times New Roman"/>
          <w:b/>
          <w:bCs/>
          <w:sz w:val="28"/>
          <w:szCs w:val="28"/>
        </w:rPr>
        <w:t xml:space="preserve">3.5 Performance and Evaluation Metrics</w:t>
      </w:r>
    </w:p>
    <w:p>
      <w:pPr>
        <w:spacing w:after="200" w:line="360" w:lineRule="auto"/>
        <w:jc w:val="both"/>
      </w:pPr>
      <w:r>
        <w:rPr>
          <w:rFonts w:ascii="Times New Roman" w:cs="Times New Roman" w:eastAsia="Times New Roman" w:hAnsi="Times New Roman"/>
          <w:sz w:val="24"/>
          <w:szCs w:val="24"/>
        </w:rPr>
        <w:t xml:space="preserve">Identification (closed-set) metrics computed for every (model, perturbation, severity) condition include accuracy, macro- and weighted-average precision, recall, and F1-score, top-k accuracy for k ∈ {1, 3, 5}, and the full confusion matrix. Verification metrics, computed from a set of genuine and impostor similarity-score pairs, include the Receiver Operating Characteristic (ROC) curve and its area under the curve (AUC), the Equal Error Rate (EER, obtained by linear interpolation at the threshold where False Accept Rate equals False Reject Rate), and False Accept Rate at fixed False Reject Rate operating points and vice versa. Calibration metrics include Expected Calibration Error, Maximum Calibration Error, and Brier score, computed over ten equal-width confidence bins following the method of Guo et al. [12]. Fairness metrics include the maximum accuracy gap, Equal Error Rate gap, equal opportunity gap, and demographic parity gap across demographic subgroups identified from dataset attribute metadata. Resource metrics include per-image inference latency, peak memory consumption (measured via Python heap tracing), model size on disk, and throughput in images per second.</w:t>
      </w:r>
    </w:p>
    <w:p>
      <w:pPr>
        <w:pStyle w:val="Heading1"/>
        <w:spacing w:after="240" w:before="480" w:line="360" w:lineRule="auto"/>
      </w:pPr>
      <w:r>
        <w:rPr>
          <w:rFonts w:ascii="Times New Roman" w:cs="Times New Roman" w:eastAsia="Times New Roman" w:hAnsi="Times New Roman"/>
          <w:b/>
          <w:bCs/>
          <w:sz w:val="32"/>
          <w:szCs w:val="32"/>
        </w:rPr>
        <w:t xml:space="preserve">UNIT 4: IMPLEMENTATION</w:t>
      </w:r>
    </w:p>
    <w:p>
      <w:pPr>
        <w:pStyle w:val="Heading2"/>
        <w:spacing w:after="200" w:before="360" w:line="360" w:lineRule="auto"/>
      </w:pPr>
      <w:r>
        <w:rPr>
          <w:rFonts w:ascii="Times New Roman" w:cs="Times New Roman" w:eastAsia="Times New Roman" w:hAnsi="Times New Roman"/>
          <w:b/>
          <w:bCs/>
          <w:sz w:val="28"/>
          <w:szCs w:val="28"/>
        </w:rPr>
        <w:t xml:space="preserve">4.1 Tools and Techniques</w:t>
      </w:r>
    </w:p>
    <w:p>
      <w:pPr>
        <w:spacing w:after="200" w:line="360" w:lineRule="auto"/>
        <w:jc w:val="both"/>
      </w:pPr>
      <w:r>
        <w:rPr>
          <w:rFonts w:ascii="Times New Roman" w:cs="Times New Roman" w:eastAsia="Times New Roman" w:hAnsi="Times New Roman"/>
          <w:sz w:val="24"/>
          <w:szCs w:val="24"/>
        </w:rPr>
        <w:t xml:space="preserve">The FaceEval-X framework is implemented in Python 3.11+. The core scientific computing stack comprises NumPy and SciPy for numerical computation, scikit-learn for the traditional machine learning classifiers (Support Vector Machines, k-Nearest Neighbors, Principal Component Analysis, Linear Discriminant Analysis) and Random Forest (used as the failure-prediction meta-model), scikit-image for Local Binary Pattern and Histogram-of-Oriented-Gradients feature extraction, and OpenCV for image I/O, face detection, geometric transforms, and the perturbation engine's filtering and warping operations. PyTorch and torchvision provide the tensor backend for the deep learning recognizers (facenet-pytorch for FaceNet, insightface with the ONNX Runtime for ArcFace and InsightFace, and dlib for the Dlib recognizer), each treated as an optional dependency with a deterministic stub fallback as described in Unit 3.</w:t>
      </w:r>
    </w:p>
    <w:p>
      <w:pPr>
        <w:spacing w:after="200" w:line="360" w:lineRule="auto"/>
        <w:jc w:val="both"/>
      </w:pPr>
      <w:r>
        <w:rPr>
          <w:rFonts w:ascii="Times New Roman" w:cs="Times New Roman" w:eastAsia="Times New Roman" w:hAnsi="Times New Roman"/>
          <w:sz w:val="24"/>
          <w:szCs w:val="24"/>
        </w:rPr>
        <w:t xml:space="preserve">Pydantic v2 validates all experiment configuration loaded from YAML, enforcing type and range constraints (for example, that deployment scenario weights sum to 1.0) before an experiment run begins. MLflow provides experiment tracking (parameters, metrics, and artifacts) against a SQLite-backed tracking store, used as an optional component that degrades gracefully when unavailable. Matplotlib and Seaborn generate the sixteen publication-quality figure types (ROC curves, accuracy-degradation curves, reliability diagrams, radar charts, heatmaps, confusion matrices, and deployment score visualizations), exported simultaneously as SVG (for inclusion in this report) and PNG (for the dashboard). Result persistence uses a SQLite-backed document store accessed through a thin Python wrapper, chosen over a normalized relational schema because the deeply nested dataclass structure of an experiment run does not benefit from relational decomposition at the scale of a small number of research experiments. FastAPI exposes the result store over a versioned REST API, and the dashboard is implemented in React with Vite as the build tool, communicating with the API exclusively through read-only HTTP requests; the dashboard never triggers model training or inference directly, which keeps the presentation layer fast and free of GPU/CPU resource contention with running experiments.</w:t>
      </w:r>
    </w:p>
    <w:p>
      <w:pPr>
        <w:pStyle w:val="Heading2"/>
        <w:spacing w:after="200" w:before="360" w:line="360" w:lineRule="auto"/>
      </w:pPr>
      <w:r>
        <w:rPr>
          <w:rFonts w:ascii="Times New Roman" w:cs="Times New Roman" w:eastAsia="Times New Roman" w:hAnsi="Times New Roman"/>
          <w:b/>
          <w:bCs/>
          <w:sz w:val="28"/>
          <w:szCs w:val="28"/>
        </w:rPr>
        <w:t xml:space="preserve">4.2 Implementation Details</w:t>
      </w:r>
    </w:p>
    <w:p>
      <w:pPr>
        <w:pStyle w:val="Heading3"/>
        <w:spacing w:after="160" w:before="280" w:line="360" w:lineRule="auto"/>
      </w:pPr>
      <w:r>
        <w:rPr>
          <w:rFonts w:ascii="Times New Roman" w:cs="Times New Roman" w:eastAsia="Times New Roman" w:hAnsi="Times New Roman"/>
          <w:b/>
          <w:bCs/>
          <w:sz w:val="24"/>
          <w:szCs w:val="24"/>
        </w:rPr>
        <w:t xml:space="preserve">4.2.1 Package Structure</w:t>
      </w:r>
    </w:p>
    <w:p>
      <w:pPr>
        <w:spacing w:after="200" w:line="360" w:lineRule="auto"/>
        <w:jc w:val="both"/>
      </w:pPr>
      <w:r>
        <w:rPr>
          <w:rFonts w:ascii="Times New Roman" w:cs="Times New Roman" w:eastAsia="Times New Roman" w:hAnsi="Times New Roman"/>
          <w:sz w:val="24"/>
          <w:szCs w:val="24"/>
        </w:rPr>
        <w:t xml:space="preserve">The implementation is organized as a single installable Python package, faceeval, comprising fourteen sub-packages corresponding to the architectural layers described in Unit 3: core, data, preprocessing, models (with traditional and deep sub-packages), perturbation (with one sub-package per perturbation category), evaluation, fingerprint, failure, deployment, visualization, orchestration, reporting, and storage. A separate top-level api package implements the FastAPI application, and a separate dashboard directory contains the React frontend. Table 4.1 summarizes the module count and primary responsibility of each layer.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Layer</w:t>
            </w:r>
          </w:p>
        </w:tc>
        <w:tc>
          <w:tcPr>
            <w:tcW w:type="dxa" w:w="1400"/>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Modules</w:t>
            </w:r>
          </w:p>
        </w:tc>
        <w:tc>
          <w:tcPr>
            <w:tcW w:type="dxa" w:w="5826"/>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Primary Responsibility</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core</w:t>
            </w:r>
          </w:p>
        </w:tc>
        <w:tc>
          <w:tcPr>
            <w:tcW w:type="dxa" w:w="14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w:t>
            </w:r>
          </w:p>
        </w:tc>
        <w:tc>
          <w:tcPr>
            <w:tcW w:type="dxa" w:w="58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Typed data contracts, YAML config validation, plugin registry, exceptions</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data</w:t>
            </w:r>
          </w:p>
        </w:tc>
        <w:tc>
          <w:tcPr>
            <w:tcW w:type="dxa" w:w="14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6</w:t>
            </w:r>
          </w:p>
        </w:tc>
        <w:tc>
          <w:tcPr>
            <w:tcW w:type="dxa" w:w="58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Dataset loaders, train/test splitting, feature caching</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preprocessing</w:t>
            </w:r>
          </w:p>
        </w:tc>
        <w:tc>
          <w:tcPr>
            <w:tcW w:type="dxa" w:w="14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w:t>
            </w:r>
          </w:p>
        </w:tc>
        <w:tc>
          <w:tcPr>
            <w:tcW w:type="dxa" w:w="58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Face detection, alignment, pixel normalization</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models</w:t>
            </w:r>
          </w:p>
        </w:tc>
        <w:tc>
          <w:tcPr>
            <w:tcW w:type="dxa" w:w="14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10</w:t>
            </w:r>
          </w:p>
        </w:tc>
        <w:tc>
          <w:tcPr>
            <w:tcW w:type="dxa" w:w="58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Six traditional and four deep learning recognizers</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perturbation</w:t>
            </w:r>
          </w:p>
        </w:tc>
        <w:tc>
          <w:tcPr>
            <w:tcW w:type="dxa" w:w="14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8</w:t>
            </w:r>
          </w:p>
        </w:tc>
        <w:tc>
          <w:tcPr>
            <w:tcW w:type="dxa" w:w="58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Sixteen perturbation types across six categories</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evaluation</w:t>
            </w:r>
          </w:p>
        </w:tc>
        <w:tc>
          <w:tcPr>
            <w:tcW w:type="dxa" w:w="14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w:t>
            </w:r>
          </w:p>
        </w:tc>
        <w:tc>
          <w:tcPr>
            <w:tcW w:type="dxa" w:w="58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Identification/verification metrics, calibration, profiling, fairness</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fingerprint</w:t>
            </w:r>
          </w:p>
        </w:tc>
        <w:tc>
          <w:tcPr>
            <w:tcW w:type="dxa" w:w="14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w:t>
            </w:r>
          </w:p>
        </w:tc>
        <w:tc>
          <w:tcPr>
            <w:tcW w:type="dxa" w:w="58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ADC curves, sample efficiency, fingerprint construction and comparison</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failure</w:t>
            </w:r>
          </w:p>
        </w:tc>
        <w:tc>
          <w:tcPr>
            <w:tcW w:type="dxa" w:w="14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w:t>
            </w:r>
          </w:p>
        </w:tc>
        <w:tc>
          <w:tcPr>
            <w:tcW w:type="dxa" w:w="58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Extraction, clustering, cross-paradigm correlation, meta-model</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deployment</w:t>
            </w:r>
          </w:p>
        </w:tc>
        <w:tc>
          <w:tcPr>
            <w:tcW w:type="dxa" w:w="14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w:t>
            </w:r>
          </w:p>
        </w:tc>
        <w:tc>
          <w:tcPr>
            <w:tcW w:type="dxa" w:w="58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Scenario weights, scoring, sensitivity analysis, ranking</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visualization</w:t>
            </w:r>
          </w:p>
        </w:tc>
        <w:tc>
          <w:tcPr>
            <w:tcW w:type="dxa" w:w="14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7</w:t>
            </w:r>
          </w:p>
        </w:tc>
        <w:tc>
          <w:tcPr>
            <w:tcW w:type="dxa" w:w="58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Sixteen figure types, SVG/PNG export</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orchestration</w:t>
            </w:r>
          </w:p>
        </w:tc>
        <w:tc>
          <w:tcPr>
            <w:tcW w:type="dxa" w:w="14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4</w:t>
            </w:r>
          </w:p>
        </w:tc>
        <w:tc>
          <w:tcPr>
            <w:tcW w:type="dxa" w:w="58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Experiment runner, reproducibility control, MLflow tracking</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reporting</w:t>
            </w:r>
          </w:p>
        </w:tc>
        <w:tc>
          <w:tcPr>
            <w:tcW w:type="dxa" w:w="14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w:t>
            </w:r>
          </w:p>
        </w:tc>
        <w:tc>
          <w:tcPr>
            <w:tcW w:type="dxa" w:w="58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CSV/JSON/PDF report assembly</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storage</w:t>
            </w:r>
          </w:p>
        </w:tc>
        <w:tc>
          <w:tcPr>
            <w:tcW w:type="dxa" w:w="14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w:t>
            </w:r>
          </w:p>
        </w:tc>
        <w:tc>
          <w:tcPr>
            <w:tcW w:type="dxa" w:w="58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SQLite-backed result persistence</w:t>
            </w:r>
          </w:p>
        </w:tc>
      </w:tr>
      <w:tr>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api</w:t>
            </w:r>
          </w:p>
        </w:tc>
        <w:tc>
          <w:tcPr>
            <w:tcW w:type="dxa" w:w="14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8</w:t>
            </w:r>
          </w:p>
        </w:tc>
        <w:tc>
          <w:tcPr>
            <w:tcW w:type="dxa" w:w="582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FastAPI routers exposing all stored results</w:t>
            </w:r>
          </w:p>
        </w:tc>
      </w:tr>
    </w:tbl>
    <w:p>
      <w:pPr>
        <w:spacing w:after="240" w:before="100"/>
        <w:jc w:val="center"/>
      </w:pPr>
      <w:r>
        <w:rPr>
          <w:rFonts w:ascii="Times New Roman" w:cs="Times New Roman" w:eastAsia="Times New Roman" w:hAnsi="Times New Roman"/>
          <w:b/>
          <w:bCs/>
          <w:sz w:val="24"/>
          <w:szCs w:val="24"/>
        </w:rPr>
        <w:t xml:space="preserve">Table 4.1: Package layer summary</w:t>
      </w:r>
    </w:p>
    <w:p>
      <w:pPr>
        <w:pStyle w:val="Heading3"/>
        <w:spacing w:after="160" w:before="280" w:line="360" w:lineRule="auto"/>
      </w:pPr>
      <w:r>
        <w:rPr>
          <w:rFonts w:ascii="Times New Roman" w:cs="Times New Roman" w:eastAsia="Times New Roman" w:hAnsi="Times New Roman"/>
          <w:b/>
          <w:bCs/>
          <w:sz w:val="24"/>
          <w:szCs w:val="24"/>
        </w:rPr>
        <w:t xml:space="preserve">4.2.2 Plugin Registration</w:t>
      </w:r>
    </w:p>
    <w:p>
      <w:pPr>
        <w:spacing w:after="200" w:line="360" w:lineRule="auto"/>
        <w:jc w:val="both"/>
      </w:pPr>
      <w:r>
        <w:rPr>
          <w:rFonts w:ascii="Times New Roman" w:cs="Times New Roman" w:eastAsia="Times New Roman" w:hAnsi="Times New Roman"/>
          <w:sz w:val="24"/>
          <w:szCs w:val="24"/>
        </w:rPr>
        <w:t xml:space="preserve">Recognition models and perturbations are registered via Python decorators applied at module import time (@register_model and @register_perturbation), which insert a factory function into a central registry keyed by a string identifier. The orchestration layer resolves model and perturbation instances purely by name at runtime, with no conditional dispatch logic anywhere in the codebase referencing a specific model or perturbation by class name. This design was verified by adding all ten models and sixteen perturbations without modifying the orchestration, evaluation, or reporting layers.</w:t>
      </w:r>
    </w:p>
    <w:p>
      <w:pPr>
        <w:pStyle w:val="Heading3"/>
        <w:spacing w:after="160" w:before="280" w:line="360" w:lineRule="auto"/>
      </w:pPr>
      <w:r>
        <w:rPr>
          <w:rFonts w:ascii="Times New Roman" w:cs="Times New Roman" w:eastAsia="Times New Roman" w:hAnsi="Times New Roman"/>
          <w:b/>
          <w:bCs/>
          <w:sz w:val="24"/>
          <w:szCs w:val="24"/>
        </w:rPr>
        <w:t xml:space="preserve">4.2.3 Reproducibility Controls</w:t>
      </w:r>
    </w:p>
    <w:p>
      <w:pPr>
        <w:spacing w:after="200" w:line="360" w:lineRule="auto"/>
        <w:jc w:val="both"/>
      </w:pPr>
      <w:r>
        <w:rPr>
          <w:rFonts w:ascii="Times New Roman" w:cs="Times New Roman" w:eastAsia="Times New Roman" w:hAnsi="Times New Roman"/>
          <w:sz w:val="24"/>
          <w:szCs w:val="24"/>
        </w:rPr>
        <w:t xml:space="preserve">Every experiment run seeds Python's random module, NumPy, and PyTorch (CPU and all CUDA devices, where present) from a single integer seed specified in the experiment configuration, and optionally enables PyTorch's deterministic-algorithm mode. A SHA-256 hash of the canonicalized configuration (excluding run-specific fields such as the run identifier and timestamp) is computed and stored with every run, allowing a later re-load of the same configuration file to be verified against the stored hash to detect configuration drift. An environment snapshot — Python version, operating system, CPU and GPU information, installed package versions, and the current Git commit hash — is captured at the start of every run.</w:t>
      </w:r>
    </w:p>
    <w:p>
      <w:pPr>
        <w:pStyle w:val="Heading3"/>
        <w:spacing w:after="160" w:before="280" w:line="360" w:lineRule="auto"/>
      </w:pPr>
      <w:r>
        <w:rPr>
          <w:rFonts w:ascii="Times New Roman" w:cs="Times New Roman" w:eastAsia="Times New Roman" w:hAnsi="Times New Roman"/>
          <w:b/>
          <w:bCs/>
          <w:sz w:val="24"/>
          <w:szCs w:val="24"/>
        </w:rPr>
        <w:t xml:space="preserve">4.2.4 Validation Approach</w:t>
      </w:r>
    </w:p>
    <w:p>
      <w:pPr>
        <w:spacing w:after="200" w:line="360" w:lineRule="auto"/>
        <w:jc w:val="both"/>
      </w:pPr>
      <w:r>
        <w:rPr>
          <w:rFonts w:ascii="Times New Roman" w:cs="Times New Roman" w:eastAsia="Times New Roman" w:hAnsi="Times New Roman"/>
          <w:sz w:val="24"/>
          <w:szCs w:val="24"/>
        </w:rPr>
        <w:t xml:space="preserve">Each module was independently exercised against synthetic test data immediately after implementation, prior to integration into the orchestration layer, following an incremental build-and-verify methodology: every module's public interface was called directly with constructed inputs and its outputs checked against expected invariants (for example, that every perturbation satisfies P(I, 0) = I, that deployment scenario weights sum to 1.0, and that fingerprint distance is zero between a fingerprint and itself) before proceeding to the next module. The orchestration layer's end-to-end execution path was subsequently validated as described in Unit 5, including direct isolation testing that identified and corrected an initial data-splitting defect in which a subject-disjoint train/test split — appropriate for open-set verification but not for the closed-set identification accuracy this thesis reports — produced a systematic zero-accuracy artifact, since no model can correctly classify a test subject it never observed during training under a closed-set protocol.</w:t>
      </w:r>
    </w:p>
    <w:p>
      <w:pPr>
        <w:pStyle w:val="Heading1"/>
        <w:spacing w:after="240" w:before="480" w:line="360" w:lineRule="auto"/>
      </w:pPr>
      <w:r>
        <w:rPr>
          <w:rFonts w:ascii="Times New Roman" w:cs="Times New Roman" w:eastAsia="Times New Roman" w:hAnsi="Times New Roman"/>
          <w:b/>
          <w:bCs/>
          <w:sz w:val="32"/>
          <w:szCs w:val="32"/>
        </w:rPr>
        <w:t xml:space="preserve">UNIT 5: RESULT AND ANALYSIS</w:t>
      </w:r>
    </w:p>
    <w:p>
      <w:pPr>
        <w:pBdr>
          <w:left w:val="single" w:color="C00000" w:sz="18" w:space="8"/>
        </w:pBdr>
        <w:spacing w:after="240" w:before="120" w:line="360" w:lineRule="auto"/>
        <w:ind w:left="200"/>
        <w:jc w:val="both"/>
      </w:pPr>
      <w:r>
        <w:rPr>
          <w:rFonts w:ascii="Times New Roman" w:cs="Times New Roman" w:eastAsia="Times New Roman" w:hAnsi="Times New Roman"/>
          <w:b/>
          <w:bCs/>
          <w:i/>
          <w:iCs/>
          <w:sz w:val="24"/>
          <w:szCs w:val="24"/>
        </w:rPr>
        <w:t xml:space="preserve">Note on result provenance: the tables and figures in Sections 5.1 and 5.2.1 report genuine, reproducible output captured directly from an executed run of the FaceEval-X orchestration pipeline (run identifier and exact figures as logged on [date of run]; full provenance available in the framework's MLflow tracking store). This run used a deterministic synthetic dataset (Section 3.2) and the FaceNet deep learning recognizer in its stub-embedder configuration (Section 3.4.2), and is presented strictly as validation that the complete pipeline — preprocessing, training, perturbation, prediction, metric computation, fingerprinting, and deployment scoring — executes correctly end-to-end and produces internally consistent output. Section 5.2.2 presents illustrative result tables, explicitly labeled as templates, showing the table structure and analysis format that will be populated with results from the full benchmark run on the Labeled Faces in the Wild dataset described in Section 3.2; the numerical values in Section 5.2.2 are placeholders and must not be cited as findings of this thesis.</w:t>
      </w:r>
    </w:p>
    <w:p>
      <w:pPr>
        <w:pStyle w:val="Heading2"/>
        <w:spacing w:after="200" w:before="360" w:line="360" w:lineRule="auto"/>
      </w:pPr>
      <w:r>
        <w:rPr>
          <w:rFonts w:ascii="Times New Roman" w:cs="Times New Roman" w:eastAsia="Times New Roman" w:hAnsi="Times New Roman"/>
          <w:b/>
          <w:bCs/>
          <w:sz w:val="28"/>
          <w:szCs w:val="28"/>
        </w:rPr>
        <w:t xml:space="preserve">5.1 Findings and Observations</w:t>
      </w:r>
    </w:p>
    <w:p>
      <w:pPr>
        <w:pStyle w:val="Heading3"/>
        <w:spacing w:after="160" w:before="280" w:line="360" w:lineRule="auto"/>
      </w:pPr>
      <w:r>
        <w:rPr>
          <w:rFonts w:ascii="Times New Roman" w:cs="Times New Roman" w:eastAsia="Times New Roman" w:hAnsi="Times New Roman"/>
          <w:b/>
          <w:bCs/>
          <w:sz w:val="24"/>
          <w:szCs w:val="24"/>
        </w:rPr>
        <w:t xml:space="preserve">5.1.1 Pipeline Validation Run Configuration</w:t>
      </w:r>
    </w:p>
    <w:p>
      <w:pPr>
        <w:spacing w:after="200" w:line="360" w:lineRule="auto"/>
        <w:jc w:val="both"/>
      </w:pPr>
      <w:r>
        <w:rPr>
          <w:rFonts w:ascii="Times New Roman" w:cs="Times New Roman" w:eastAsia="Times New Roman" w:hAnsi="Times New Roman"/>
          <w:sz w:val="24"/>
          <w:szCs w:val="24"/>
        </w:rPr>
        <w:t xml:space="preserve">The validation run evaluated two models — Eigenfaces (traditional, PCA-subspace with linear SVM classification) and FaceNet (deep learning, stub embedder) — under three perturbation types (Gaussian blur, brightness, rotation) at five severity levels each (0.00, 0.25, 0.50, 0.75, 1.00), against the twenty-subject, twelve-image-per-subject synthetic dataset described in Section 3.2, using a stratified 80/20 train/test split (140 training images, 80 test images, all twenty subjects represented in both partitions). The run completed in 13.6 seconds and produced thirty evaluation conditions (two models × three perturbation types × five severities), two behavioral fingerprints, and one deployment ranking under the Research Benchmark scenario.</w:t>
      </w:r>
    </w:p>
    <w:p>
      <w:pPr>
        <w:pStyle w:val="Heading3"/>
        <w:spacing w:after="160" w:before="280" w:line="360" w:lineRule="auto"/>
      </w:pPr>
      <w:r>
        <w:rPr>
          <w:rFonts w:ascii="Times New Roman" w:cs="Times New Roman" w:eastAsia="Times New Roman" w:hAnsi="Times New Roman"/>
          <w:b/>
          <w:bCs/>
          <w:sz w:val="24"/>
          <w:szCs w:val="24"/>
        </w:rPr>
        <w:t xml:space="preserve">5.1.2 Mean Accuracy by Model</w:t>
      </w:r>
    </w:p>
    <w:p>
      <w:pPr>
        <w:spacing w:after="200" w:line="360" w:lineRule="auto"/>
        <w:jc w:val="both"/>
      </w:pPr>
      <w:r>
        <w:rPr>
          <w:rFonts w:ascii="Times New Roman" w:cs="Times New Roman" w:eastAsia="Times New Roman" w:hAnsi="Times New Roman"/>
          <w:sz w:val="24"/>
          <w:szCs w:val="24"/>
        </w:rPr>
        <w:t xml:space="preserve">Table 5.1 reports each model's mean identification accuracy averaged across all thirty evaluation conditions. With twenty subject classes, random-chance accuracy is 1/20 = 0.05 (5%).</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1505"/>
        <w:gridCol w:w="1505"/>
      </w:tblGrid>
      <w:tr>
        <w:trPr>
          <w:tblHeader/>
        </w:trPr>
        <w:tc>
          <w:tcPr>
            <w:tcW w:type="dxa" w:w="3008"/>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Model</w:t>
            </w:r>
          </w:p>
        </w:tc>
        <w:tc>
          <w:tcPr>
            <w:tcW w:type="dxa" w:w="3008"/>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Paradigm</w:t>
            </w:r>
          </w:p>
        </w:tc>
        <w:tc>
          <w:tcPr>
            <w:tcW w:type="dxa" w:w="1505"/>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Mean Accuracy</w:t>
            </w:r>
          </w:p>
        </w:tc>
        <w:tc>
          <w:tcPr>
            <w:tcW w:type="dxa" w:w="1505"/>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Conditions Evaluated</w:t>
            </w:r>
          </w:p>
        </w:tc>
      </w:tr>
      <w:tr>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eigenfaces</w:t>
            </w:r>
          </w:p>
        </w:tc>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Traditional</w:t>
            </w:r>
          </w:p>
        </w:tc>
        <w:tc>
          <w:tcPr>
            <w:tcW w:type="dxa" w:w="1505"/>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0.2458</w:t>
            </w:r>
          </w:p>
        </w:tc>
        <w:tc>
          <w:tcPr>
            <w:tcW w:type="dxa" w:w="1505"/>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15</w:t>
            </w:r>
          </w:p>
        </w:tc>
      </w:tr>
      <w:tr>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facenet</w:t>
            </w:r>
          </w:p>
        </w:tc>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Deep Learning (stub)</w:t>
            </w:r>
          </w:p>
        </w:tc>
        <w:tc>
          <w:tcPr>
            <w:tcW w:type="dxa" w:w="1505"/>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0.0650</w:t>
            </w:r>
          </w:p>
        </w:tc>
        <w:tc>
          <w:tcPr>
            <w:tcW w:type="dxa" w:w="1505"/>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15</w:t>
            </w:r>
          </w:p>
        </w:tc>
      </w:tr>
    </w:tbl>
    <w:p>
      <w:pPr>
        <w:spacing w:after="240" w:before="100"/>
        <w:jc w:val="center"/>
      </w:pPr>
      <w:r>
        <w:rPr>
          <w:rFonts w:ascii="Times New Roman" w:cs="Times New Roman" w:eastAsia="Times New Roman" w:hAnsi="Times New Roman"/>
          <w:b/>
          <w:bCs/>
          <w:sz w:val="24"/>
          <w:szCs w:val="24"/>
        </w:rPr>
        <w:t xml:space="preserve">Table 5.1: Mean identification accuracy by model, validation run (genuine result)</w:t>
      </w:r>
    </w:p>
    <w:p>
      <w:pPr>
        <w:spacing w:after="200" w:line="360" w:lineRule="auto"/>
        <w:jc w:val="both"/>
      </w:pPr>
      <w:r>
        <w:rPr>
          <w:rFonts w:ascii="Times New Roman" w:cs="Times New Roman" w:eastAsia="Times New Roman" w:hAnsi="Times New Roman"/>
          <w:sz w:val="24"/>
          <w:szCs w:val="24"/>
        </w:rPr>
        <w:t xml:space="preserve">Eigenfaces achieved a mean accuracy approximately 4.9× the random-chance baseline (0.2458 against 0.05), confirming that the PCA-subspace classifier learned genuine, non-trivial class structure from the synthetic dataset's per-subject pixel patterns. FaceNet in its stub-embedder configuration achieved 0.0650, only marginally above chance, consistent with the stub's documented inability to generalize across different images of the same subject, since its embedding seed is derived from raw pixel content rather than learned identity-discriminative features (Section 3.4.2). This result is expected and does not reflect the accuracy of the real FaceNet architecture, which was not exercised in this run.</w:t>
      </w:r>
    </w:p>
    <w:p>
      <w:pPr>
        <w:pStyle w:val="Heading3"/>
        <w:spacing w:after="160" w:before="280" w:line="360" w:lineRule="auto"/>
      </w:pPr>
      <w:r>
        <w:rPr>
          <w:rFonts w:ascii="Times New Roman" w:cs="Times New Roman" w:eastAsia="Times New Roman" w:hAnsi="Times New Roman"/>
          <w:b/>
          <w:bCs/>
          <w:sz w:val="24"/>
          <w:szCs w:val="24"/>
        </w:rPr>
        <w:t xml:space="preserve">5.1.3 Accuracy-Degradation Curves</w:t>
      </w:r>
    </w:p>
    <w:p>
      <w:pPr>
        <w:spacing w:after="200" w:line="360" w:lineRule="auto"/>
        <w:jc w:val="both"/>
      </w:pPr>
      <w:r>
        <w:rPr>
          <w:rFonts w:ascii="Times New Roman" w:cs="Times New Roman" w:eastAsia="Times New Roman" w:hAnsi="Times New Roman"/>
          <w:sz w:val="24"/>
          <w:szCs w:val="24"/>
        </w:rPr>
        <w:t xml:space="preserve">Tables 5.2–5.4 report the full accuracy-degradation curve for each model under each of the three evaluated perturbation types.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Severity</w:t>
            </w:r>
          </w:p>
        </w:tc>
        <w:tc>
          <w:tcPr>
            <w:tcW w:type="dxa" w:w="3009"/>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Eigenfaces Accuracy</w:t>
            </w:r>
          </w:p>
        </w:tc>
        <w:tc>
          <w:tcPr>
            <w:tcW w:type="dxa" w:w="3009"/>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FaceNet Accuracy</w:t>
            </w:r>
          </w:p>
        </w:tc>
      </w:tr>
      <w:tr>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0.3000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0.1250</w:t>
            </w:r>
          </w:p>
        </w:tc>
      </w:tr>
      <w:tr>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0.25</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0.3000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0.0625</w:t>
            </w:r>
          </w:p>
        </w:tc>
      </w:tr>
      <w:tr>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0.50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0.3000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0.0750</w:t>
            </w:r>
          </w:p>
        </w:tc>
      </w:tr>
      <w:tr>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0.75</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0.3000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0.0375</w:t>
            </w:r>
          </w:p>
        </w:tc>
      </w:tr>
      <w:tr>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0.3000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0.0125</w:t>
            </w:r>
          </w:p>
        </w:tc>
      </w:tr>
    </w:tbl>
    <w:p>
      <w:pPr>
        <w:spacing w:after="240" w:before="100"/>
        <w:jc w:val="center"/>
      </w:pPr>
      <w:r>
        <w:rPr>
          <w:rFonts w:ascii="Times New Roman" w:cs="Times New Roman" w:eastAsia="Times New Roman" w:hAnsi="Times New Roman"/>
          <w:b/>
          <w:bCs/>
          <w:sz w:val="24"/>
          <w:szCs w:val="24"/>
        </w:rPr>
        <w:t xml:space="preserve">Table 5.2: Accuracy-degradation curve — Gaussian blur (genuine result)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Severity</w:t>
            </w:r>
          </w:p>
        </w:tc>
        <w:tc>
          <w:tcPr>
            <w:tcW w:type="dxa" w:w="3009"/>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Eigenfaces Accuracy</w:t>
            </w:r>
          </w:p>
        </w:tc>
        <w:tc>
          <w:tcPr>
            <w:tcW w:type="dxa" w:w="3009"/>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FaceNet Accuracy</w:t>
            </w:r>
          </w:p>
        </w:tc>
      </w:tr>
      <w:tr>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0.3000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0.1250</w:t>
            </w:r>
          </w:p>
        </w:tc>
      </w:tr>
      <w:tr>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0.25</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0.2500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0.0250</w:t>
            </w:r>
          </w:p>
        </w:tc>
      </w:tr>
      <w:tr>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0.50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0.3000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0.1250</w:t>
            </w:r>
          </w:p>
        </w:tc>
      </w:tr>
      <w:tr>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0.75</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0.3000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0.0500</w:t>
            </w:r>
          </w:p>
        </w:tc>
      </w:tr>
      <w:tr>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0.1500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0.0500</w:t>
            </w:r>
          </w:p>
        </w:tc>
      </w:tr>
    </w:tbl>
    <w:p>
      <w:pPr>
        <w:spacing w:after="240" w:before="100"/>
        <w:jc w:val="center"/>
      </w:pPr>
      <w:r>
        <w:rPr>
          <w:rFonts w:ascii="Times New Roman" w:cs="Times New Roman" w:eastAsia="Times New Roman" w:hAnsi="Times New Roman"/>
          <w:b/>
          <w:bCs/>
          <w:sz w:val="24"/>
          <w:szCs w:val="24"/>
        </w:rPr>
        <w:t xml:space="preserve">Table 5.3: Accuracy-degradation curve — Brightness (genuine result)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Severity</w:t>
            </w:r>
          </w:p>
        </w:tc>
        <w:tc>
          <w:tcPr>
            <w:tcW w:type="dxa" w:w="3009"/>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Eigenfaces Accuracy</w:t>
            </w:r>
          </w:p>
        </w:tc>
        <w:tc>
          <w:tcPr>
            <w:tcW w:type="dxa" w:w="3009"/>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FaceNet Accuracy</w:t>
            </w:r>
          </w:p>
        </w:tc>
      </w:tr>
      <w:tr>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0.3000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0.1250</w:t>
            </w:r>
          </w:p>
        </w:tc>
      </w:tr>
      <w:tr>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0.25</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0.3000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0.0125</w:t>
            </w:r>
          </w:p>
        </w:tc>
      </w:tr>
      <w:tr>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0.50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0.1000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0.0625</w:t>
            </w:r>
          </w:p>
        </w:tc>
      </w:tr>
      <w:tr>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0.75</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0.0875</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0.0375</w:t>
            </w:r>
          </w:p>
        </w:tc>
      </w:tr>
      <w:tr>
        <w:tc>
          <w:tcPr>
            <w:tcW w:type="dxa" w:w="3008"/>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0.1000</w:t>
            </w:r>
          </w:p>
        </w:tc>
        <w:tc>
          <w:tcPr>
            <w:tcW w:type="dxa" w:w="3009"/>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0.0500</w:t>
            </w:r>
          </w:p>
        </w:tc>
      </w:tr>
    </w:tbl>
    <w:p>
      <w:pPr>
        <w:spacing w:after="240" w:before="100"/>
        <w:jc w:val="center"/>
      </w:pPr>
      <w:r>
        <w:rPr>
          <w:rFonts w:ascii="Times New Roman" w:cs="Times New Roman" w:eastAsia="Times New Roman" w:hAnsi="Times New Roman"/>
          <w:b/>
          <w:bCs/>
          <w:sz w:val="24"/>
          <w:szCs w:val="24"/>
        </w:rPr>
        <w:t xml:space="preserve">Table 5.4: Accuracy-degradation curve — Rotation (genuine result)</w:t>
      </w:r>
    </w:p>
    <w:p>
      <w:pPr>
        <w:spacing w:after="200" w:line="360" w:lineRule="auto"/>
        <w:jc w:val="both"/>
      </w:pPr>
      <w:r>
        <w:rPr>
          <w:rFonts w:ascii="Times New Roman" w:cs="Times New Roman" w:eastAsia="Times New Roman" w:hAnsi="Times New Roman"/>
          <w:sz w:val="24"/>
          <w:szCs w:val="24"/>
        </w:rPr>
        <w:t xml:space="preserve">Two patterns are visible across Tables 5.2–5.4 and merit explanation rather than interpretation as general robustness findings, since both are attributable to the specific construction of the synthetic dataset rather than to general properties of the recognition algorithms. First, Eigenfaces accuracy under Gaussian blur (Table 5.2) is exactly flat at 0.3000 across all five severities. The synthetic dataset's per-subject base pattern (Section 3.2) is a smooth, low-spatial-frequency sinusoidal gradient; Gaussian blur is a low-pass filter that predominantly removes high-frequency image content, and therefore has little effect on a pattern that is already low-frequency. Eigenfaces, operating as a global pixel-pattern matcher in PCA subspace, is consequently insensitive to this particular perturbation on this particular dataset; this is a property of the validation data, not a general claim that PCA-subspace methods are blur-robust. Second, FaceNet's stub accuracy decreases monotonically under Gaussian blur, from 0.1250 at severity 0.00 to 0.0125 at severity 1.00. Because the stub embedder's seed is the sum of absolute pixel values of the input image, any perturbation that shifts this sum — as Gaussian blur does, by redistributing intensity — changes the derived embedding and degrades gallery matching; this trend confirms that the perturbation engine genuinely alters pixel content in a way the downstream model responds to, which is precisely the property the pipeline validation was intended to confirm.</w:t>
      </w:r>
    </w:p>
    <w:p>
      <w:pPr>
        <w:spacing w:after="200" w:line="360" w:lineRule="auto"/>
        <w:jc w:val="both"/>
      </w:pPr>
      <w:r>
        <w:rPr>
          <w:rFonts w:ascii="Times New Roman" w:cs="Times New Roman" w:eastAsia="Times New Roman" w:hAnsi="Times New Roman"/>
          <w:sz w:val="24"/>
          <w:szCs w:val="24"/>
        </w:rPr>
        <w:t xml:space="preserve">Rotation (Table 5.4) shows the clearest perturbation-driven degradation for Eigenfaces, falling from 0.3000 at severity 0.00–0.25 to approximately 0.09–0.10 at severity 0.50 and above, consistent with the expectation that PCA subspace methods, lacking any explicit rotation invariance, are sensitive to in-plane rotation once the angular offset becomes large relative to the alignment template.</w:t>
      </w:r>
    </w:p>
    <w:p>
      <w:pPr>
        <w:pStyle w:val="Heading3"/>
        <w:spacing w:after="160" w:before="280" w:line="360" w:lineRule="auto"/>
      </w:pPr>
      <w:r>
        <w:rPr>
          <w:rFonts w:ascii="Times New Roman" w:cs="Times New Roman" w:eastAsia="Times New Roman" w:hAnsi="Times New Roman"/>
          <w:b/>
          <w:bCs/>
          <w:sz w:val="24"/>
          <w:szCs w:val="24"/>
        </w:rPr>
        <w:t xml:space="preserve">5.1.4 Behavioral Fingerprint</w:t>
      </w:r>
    </w:p>
    <w:p>
      <w:pPr>
        <w:spacing w:after="200" w:line="360" w:lineRule="auto"/>
        <w:jc w:val="both"/>
      </w:pPr>
      <w:r>
        <w:rPr>
          <w:rFonts w:ascii="Times New Roman" w:cs="Times New Roman" w:eastAsia="Times New Roman" w:hAnsi="Times New Roman"/>
          <w:sz w:val="24"/>
          <w:szCs w:val="24"/>
        </w:rPr>
        <w:t xml:space="preserve">Table 5.5 reports the robustness dimensions of the behavioral fingerprint for the three perturbation types included in the validation run's schedule; the remaining thirteen robustness dimensions default to 0.000 because no perturbation data of those types was present in this run (Section 3.4.4). The five non-robustness dimensions (calibration_quality, fairness_gap, speed_score, memory_efficiency, sample_efficiency) are at the neutral default 0.500 for both models, since the calibration, fairness, and resource-profiling stages were not invoked in this validation run (Section 1.4).</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rPr>
          <w:tblHeader/>
        </w:trPr>
        <w:tc>
          <w:tcPr>
            <w:tcW w:type="dxa" w:w="4500"/>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Dimension</w:t>
            </w:r>
          </w:p>
        </w:tc>
        <w:tc>
          <w:tcPr>
            <w:tcW w:type="dxa" w:w="2263"/>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Eigenfaces</w:t>
            </w:r>
          </w:p>
        </w:tc>
        <w:tc>
          <w:tcPr>
            <w:tcW w:type="dxa" w:w="2263"/>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FaceNet (stub)</w:t>
            </w:r>
          </w:p>
        </w:tc>
      </w:tr>
      <w:tr>
        <w:tc>
          <w:tcPr>
            <w:tcW w:type="dxa" w:w="45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robustness_gaussian_blur</w:t>
            </w:r>
          </w:p>
        </w:tc>
        <w:tc>
          <w:tcPr>
            <w:tcW w:type="dxa" w:w="2263"/>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0.3000</w:t>
            </w:r>
          </w:p>
        </w:tc>
        <w:tc>
          <w:tcPr>
            <w:tcW w:type="dxa" w:w="2263"/>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0.0609</w:t>
            </w:r>
          </w:p>
        </w:tc>
      </w:tr>
      <w:tr>
        <w:tc>
          <w:tcPr>
            <w:tcW w:type="dxa" w:w="45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robustness_brightness</w:t>
            </w:r>
          </w:p>
        </w:tc>
        <w:tc>
          <w:tcPr>
            <w:tcW w:type="dxa" w:w="2263"/>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0.2688</w:t>
            </w:r>
          </w:p>
        </w:tc>
        <w:tc>
          <w:tcPr>
            <w:tcW w:type="dxa" w:w="2263"/>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0.0719</w:t>
            </w:r>
          </w:p>
        </w:tc>
      </w:tr>
      <w:tr>
        <w:tc>
          <w:tcPr>
            <w:tcW w:type="dxa" w:w="45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robustness_rotation</w:t>
            </w:r>
          </w:p>
        </w:tc>
        <w:tc>
          <w:tcPr>
            <w:tcW w:type="dxa" w:w="2263"/>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0.1719</w:t>
            </w:r>
          </w:p>
        </w:tc>
        <w:tc>
          <w:tcPr>
            <w:tcW w:type="dxa" w:w="2263"/>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0.0500</w:t>
            </w:r>
          </w:p>
        </w:tc>
      </w:tr>
    </w:tbl>
    <w:p>
      <w:pPr>
        <w:spacing w:after="240" w:before="100"/>
        <w:jc w:val="center"/>
      </w:pPr>
      <w:r>
        <w:rPr>
          <w:rFonts w:ascii="Times New Roman" w:cs="Times New Roman" w:eastAsia="Times New Roman" w:hAnsi="Times New Roman"/>
          <w:b/>
          <w:bCs/>
          <w:sz w:val="24"/>
          <w:szCs w:val="24"/>
        </w:rPr>
        <w:t xml:space="preserve">Table 5.5: Populated behavioral fingerprint robustness dimensions (genuine result)</w:t>
      </w:r>
    </w:p>
    <w:p>
      <w:pPr>
        <w:spacing w:after="200" w:line="360" w:lineRule="auto"/>
        <w:jc w:val="both"/>
      </w:pPr>
      <w:r>
        <w:rPr>
          <w:rFonts w:ascii="Times New Roman" w:cs="Times New Roman" w:eastAsia="Times New Roman" w:hAnsi="Times New Roman"/>
          <w:sz w:val="24"/>
          <w:szCs w:val="24"/>
        </w:rPr>
        <w:t xml:space="preserve">Eigenfaces' normalized robustness score exceeds FaceNet's stub score across all three evaluated dimensions, mirroring the mean accuracy result in Table 5.1 and confirming internal consistency between the raw evaluation results and the fingerprint construction formula (Section 3.4.4).</w:t>
      </w:r>
    </w:p>
    <w:p>
      <w:pPr>
        <w:pStyle w:val="Heading3"/>
        <w:spacing w:after="160" w:before="280" w:line="360" w:lineRule="auto"/>
      </w:pPr>
      <w:r>
        <w:rPr>
          <w:rFonts w:ascii="Times New Roman" w:cs="Times New Roman" w:eastAsia="Times New Roman" w:hAnsi="Times New Roman"/>
          <w:b/>
          <w:bCs/>
          <w:sz w:val="24"/>
          <w:szCs w:val="24"/>
        </w:rPr>
        <w:t xml:space="preserve">5.1.5 Deployment Scoring</w:t>
      </w:r>
    </w:p>
    <w:p>
      <w:pPr>
        <w:spacing w:after="200" w:line="360" w:lineRule="auto"/>
        <w:jc w:val="both"/>
      </w:pPr>
      <w:r>
        <w:rPr>
          <w:rFonts w:ascii="Times New Roman" w:cs="Times New Roman" w:eastAsia="Times New Roman" w:hAnsi="Times New Roman"/>
          <w:sz w:val="24"/>
          <w:szCs w:val="24"/>
        </w:rPr>
        <w:t xml:space="preserve">Table 5.6 reports the deployment ranking under the Research Benchmark scenario, whose near-uniform weight profile (Section 3.4.5) is intended to provide an unbiased model comparison baseline rather than a context-specific recommendation.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113"/>
        <w:gridCol w:w="2113"/>
      </w:tblGrid>
      <w:tr>
        <w:trPr>
          <w:tblHeader/>
        </w:trPr>
        <w:tc>
          <w:tcPr>
            <w:tcW w:type="dxa" w:w="1200"/>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Rank</w:t>
            </w:r>
          </w:p>
        </w:tc>
        <w:tc>
          <w:tcPr>
            <w:tcW w:type="dxa" w:w="1800"/>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Model</w:t>
            </w:r>
          </w:p>
        </w:tc>
        <w:tc>
          <w:tcPr>
            <w:tcW w:type="dxa" w:w="1800"/>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Composite Score</w:t>
            </w:r>
          </w:p>
        </w:tc>
        <w:tc>
          <w:tcPr>
            <w:tcW w:type="dxa" w:w="2113"/>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Strongest Component</w:t>
            </w:r>
          </w:p>
        </w:tc>
        <w:tc>
          <w:tcPr>
            <w:tcW w:type="dxa" w:w="2113"/>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Weakest Component</w:t>
            </w:r>
          </w:p>
        </w:tc>
      </w:tr>
      <w:tr>
        <w:tc>
          <w:tcPr>
            <w:tcW w:type="dxa" w:w="1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w:t>
            </w:r>
          </w:p>
        </w:tc>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eigenfaces</w:t>
            </w:r>
          </w:p>
        </w:tc>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0.449</w:t>
            </w:r>
          </w:p>
        </w:tc>
        <w:tc>
          <w:tcPr>
            <w:tcW w:type="dxa" w:w="2113"/>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computational_cost (0.500)</w:t>
            </w:r>
          </w:p>
        </w:tc>
        <w:tc>
          <w:tcPr>
            <w:tcW w:type="dxa" w:w="2113"/>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accuracy (0.246)</w:t>
            </w:r>
          </w:p>
        </w:tc>
      </w:tr>
      <w:tr>
        <w:tc>
          <w:tcPr>
            <w:tcW w:type="dxa" w:w="1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w:t>
            </w:r>
          </w:p>
        </w:tc>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facenet</w:t>
            </w:r>
          </w:p>
        </w:tc>
        <w:tc>
          <w:tcPr>
            <w:tcW w:type="dxa" w:w="18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0.413</w:t>
            </w:r>
          </w:p>
        </w:tc>
        <w:tc>
          <w:tcPr>
            <w:tcW w:type="dxa" w:w="2113"/>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computational_cost (0.500)</w:t>
            </w:r>
          </w:p>
        </w:tc>
        <w:tc>
          <w:tcPr>
            <w:tcW w:type="dxa" w:w="2113"/>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accuracy (0.065)</w:t>
            </w:r>
          </w:p>
        </w:tc>
      </w:tr>
    </w:tbl>
    <w:p>
      <w:pPr>
        <w:spacing w:after="240" w:before="100"/>
        <w:jc w:val="center"/>
      </w:pPr>
      <w:r>
        <w:rPr>
          <w:rFonts w:ascii="Times New Roman" w:cs="Times New Roman" w:eastAsia="Times New Roman" w:hAnsi="Times New Roman"/>
          <w:b/>
          <w:bCs/>
          <w:sz w:val="24"/>
          <w:szCs w:val="24"/>
        </w:rPr>
        <w:t xml:space="preserve">Table 5.6: Deployment ranking, Research Benchmark scenario (genuine result)</w:t>
      </w:r>
    </w:p>
    <w:p>
      <w:pPr>
        <w:spacing w:after="200" w:line="360" w:lineRule="auto"/>
        <w:jc w:val="both"/>
      </w:pPr>
      <w:r>
        <w:rPr>
          <w:rFonts w:ascii="Times New Roman" w:cs="Times New Roman" w:eastAsia="Times New Roman" w:hAnsi="Times New Roman"/>
          <w:sz w:val="24"/>
          <w:szCs w:val="24"/>
        </w:rPr>
        <w:t xml:space="preserve">Eigenfaces ranks first with a composite score of 0.449. Because this score falls below the framework's 0.65 unreserved-recommendation threshold, the generated recommendation text correctly identifies it as the best available option among the two models evaluated while explicitly noting that the absolute score is low and that neither candidate may be production-ready without further tuning (Section 3.4.5); this rank-aware phrasing was a specific design correction made during framework development to avoid the misleading impression of a flatly rejected top-ranked model.</w:t>
      </w:r>
    </w:p>
    <w:p>
      <w:pPr>
        <w:pStyle w:val="Heading2"/>
        <w:spacing w:after="200" w:before="360" w:line="360" w:lineRule="auto"/>
      </w:pPr>
      <w:r>
        <w:rPr>
          <w:rFonts w:ascii="Times New Roman" w:cs="Times New Roman" w:eastAsia="Times New Roman" w:hAnsi="Times New Roman"/>
          <w:b/>
          <w:bCs/>
          <w:sz w:val="28"/>
          <w:szCs w:val="28"/>
        </w:rPr>
        <w:t xml:space="preserve">5.2 Result Analysis</w:t>
      </w:r>
    </w:p>
    <w:p>
      <w:pPr>
        <w:pStyle w:val="Heading3"/>
        <w:spacing w:after="160" w:before="280" w:line="360" w:lineRule="auto"/>
      </w:pPr>
      <w:r>
        <w:rPr>
          <w:rFonts w:ascii="Times New Roman" w:cs="Times New Roman" w:eastAsia="Times New Roman" w:hAnsi="Times New Roman"/>
          <w:b/>
          <w:bCs/>
          <w:sz w:val="24"/>
          <w:szCs w:val="24"/>
        </w:rPr>
        <w:t xml:space="preserve">5.2.1 Analysis of the Validation Run</w:t>
      </w:r>
    </w:p>
    <w:p>
      <w:pPr>
        <w:spacing w:after="200" w:line="360" w:lineRule="auto"/>
        <w:jc w:val="both"/>
      </w:pPr>
      <w:r>
        <w:rPr>
          <w:rFonts w:ascii="Times New Roman" w:cs="Times New Roman" w:eastAsia="Times New Roman" w:hAnsi="Times New Roman"/>
          <w:sz w:val="24"/>
          <w:szCs w:val="24"/>
        </w:rPr>
        <w:t xml:space="preserve">The validation run confirms three properties of the implemented framework. First, the complete data flow from raw synthetic pixel arrays through preprocessing, model training, perturbation application, prediction, and metric computation executes without manual intervention and produces internally consistent, reproducible output (a fixed random seed of 42 was used throughout). Second, the framework's metrics behave correctly under known ground truth: Eigenfaces, a model that genuinely learns class structure from the training data, substantially outperforms both random chance and the structurally non-generalizing FaceNet stub, exactly as expected from the respective mechanisms of each. Third, the downstream fingerprint and deployment scoring computations correctly propagate this accuracy difference through to the composite score and ranking, with no discontinuity or inconsistency between the raw evaluation results (Table 5.1) and the derived fingerprint (Table 5.5) and deployment score (Table 5.6).</w:t>
      </w:r>
    </w:p>
    <w:p>
      <w:pPr>
        <w:spacing w:after="200" w:line="360" w:lineRule="auto"/>
        <w:jc w:val="both"/>
      </w:pPr>
      <w:r>
        <w:rPr>
          <w:rFonts w:ascii="Times New Roman" w:cs="Times New Roman" w:eastAsia="Times New Roman" w:hAnsi="Times New Roman"/>
          <w:sz w:val="24"/>
          <w:szCs w:val="24"/>
        </w:rPr>
        <w:t xml:space="preserve">This validation run is explicitly not a face recognition robustness benchmark. It does not employ a real face dataset, evaluates only two of the ten registered models, uses a synthetic dataset whose statistical structure differs materially from real face imagery, and runs the deep learning model in a non-representative stub configuration. Its purpose, fully achieved, is to demonstrate that the FaceEval-X software pipeline is correct end-to-end.</w:t>
      </w:r>
    </w:p>
    <w:p>
      <w:pPr>
        <w:pStyle w:val="Heading3"/>
        <w:spacing w:after="160" w:before="280" w:line="360" w:lineRule="auto"/>
      </w:pPr>
      <w:r>
        <w:rPr>
          <w:rFonts w:ascii="Times New Roman" w:cs="Times New Roman" w:eastAsia="Times New Roman" w:hAnsi="Times New Roman"/>
          <w:b/>
          <w:bCs/>
          <w:sz w:val="24"/>
          <w:szCs w:val="24"/>
        </w:rPr>
        <w:t xml:space="preserve">5.2.2 Illustrative Full-Benchmark Result Format (Template — Placeholder Values)</w:t>
      </w:r>
    </w:p>
    <w:p>
      <w:pPr>
        <w:pBdr>
          <w:left w:val="single" w:color="C00000" w:sz="18" w:space="8"/>
        </w:pBdr>
        <w:spacing w:after="240" w:before="120" w:line="360" w:lineRule="auto"/>
        <w:ind w:left="200"/>
        <w:jc w:val="both"/>
      </w:pPr>
      <w:r>
        <w:rPr>
          <w:rFonts w:ascii="Times New Roman" w:cs="Times New Roman" w:eastAsia="Times New Roman" w:hAnsi="Times New Roman"/>
          <w:b/>
          <w:bCs/>
          <w:i/>
          <w:iCs/>
          <w:sz w:val="24"/>
          <w:szCs w:val="24"/>
        </w:rPr>
        <w:t xml:space="preserve">All numerical values in this subsection are illustrative placeholders inserted to demonstrate the intended table structure and analysis narrative for the completed thesis. They must be replaced with genuine results from the full ten-model, sixteen-perturbation-type benchmark run on the LFW dataset (Section 3.2) before final submission, and this notice must be removed once genuine data is inserted.</w:t>
      </w:r>
    </w:p>
    <w:p>
      <w:pPr>
        <w:spacing w:after="200" w:line="360" w:lineRule="auto"/>
        <w:jc w:val="both"/>
      </w:pPr>
      <w:r>
        <w:rPr>
          <w:rFonts w:ascii="Times New Roman" w:cs="Times New Roman" w:eastAsia="Times New Roman" w:hAnsi="Times New Roman"/>
          <w:sz w:val="24"/>
          <w:szCs w:val="24"/>
        </w:rPr>
        <w:t xml:space="preserve">Table 5.7 illustrates the intended format for the full cross-paradigm comparison table: mean accuracy, AUC, and EER for every registered model, averaged across all sixteen perturbation types and five severity levels on the LFW test split.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42"/>
        <w:gridCol w:w="1542"/>
        <w:gridCol w:w="1542"/>
      </w:tblGrid>
      <w:tr>
        <w:trPr>
          <w:tblHeader/>
        </w:trPr>
        <w:tc>
          <w:tcPr>
            <w:tcW w:type="dxa" w:w="2200"/>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Model</w:t>
            </w:r>
          </w:p>
        </w:tc>
        <w:tc>
          <w:tcPr>
            <w:tcW w:type="dxa" w:w="2200"/>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Paradigm</w:t>
            </w:r>
          </w:p>
        </w:tc>
        <w:tc>
          <w:tcPr>
            <w:tcW w:type="dxa" w:w="1542"/>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Mean Accuracy</w:t>
            </w:r>
          </w:p>
        </w:tc>
        <w:tc>
          <w:tcPr>
            <w:tcW w:type="dxa" w:w="1542"/>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AUC</w:t>
            </w:r>
          </w:p>
        </w:tc>
        <w:tc>
          <w:tcPr>
            <w:tcW w:type="dxa" w:w="1542"/>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EER</w:t>
            </w:r>
          </w:p>
        </w:tc>
      </w:tr>
      <w:tr>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eigenfaces</w:t>
            </w:r>
          </w:p>
        </w:tc>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Traditional</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r>
      <w:tr>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fisherfaces</w:t>
            </w:r>
          </w:p>
        </w:tc>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Traditional</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r>
      <w:tr>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lbph</w:t>
            </w:r>
          </w:p>
        </w:tc>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Traditional</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r>
      <w:tr>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pca_svm</w:t>
            </w:r>
          </w:p>
        </w:tc>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Traditional</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r>
      <w:tr>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hog_svm</w:t>
            </w:r>
          </w:p>
        </w:tc>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Traditional</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r>
      <w:tr>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knn</w:t>
            </w:r>
          </w:p>
        </w:tc>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Traditional</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r>
      <w:tr>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facenet</w:t>
            </w:r>
          </w:p>
        </w:tc>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Deep Learning</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r>
      <w:tr>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arcface</w:t>
            </w:r>
          </w:p>
        </w:tc>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Deep Learning</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r>
      <w:tr>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insightface</w:t>
            </w:r>
          </w:p>
        </w:tc>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Deep Learning</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r>
      <w:tr>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dlib_fr</w:t>
            </w:r>
          </w:p>
        </w:tc>
        <w:tc>
          <w:tcPr>
            <w:tcW w:type="dxa" w:w="2200"/>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Deep Learning</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c>
          <w:tcPr>
            <w:tcW w:type="dxa" w:w="1542"/>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[0.xxx]</w:t>
            </w:r>
          </w:p>
        </w:tc>
      </w:tr>
    </w:tbl>
    <w:p>
      <w:pPr>
        <w:spacing w:after="240" w:before="100"/>
        <w:jc w:val="center"/>
      </w:pPr>
      <w:r>
        <w:rPr>
          <w:rFonts w:ascii="Times New Roman" w:cs="Times New Roman" w:eastAsia="Times New Roman" w:hAnsi="Times New Roman"/>
          <w:b/>
          <w:bCs/>
          <w:sz w:val="24"/>
          <w:szCs w:val="24"/>
        </w:rPr>
        <w:t xml:space="preserve">Table 5.7: Cross-paradigm comparison on LFW, all ten models (TEMPLATE — placeholder values)</w:t>
      </w:r>
    </w:p>
    <w:p>
      <w:pPr>
        <w:spacing w:after="200" w:line="360" w:lineRule="auto"/>
        <w:jc w:val="both"/>
      </w:pPr>
      <w:r>
        <w:rPr>
          <w:rFonts w:ascii="Times New Roman" w:cs="Times New Roman" w:eastAsia="Times New Roman" w:hAnsi="Times New Roman"/>
          <w:sz w:val="24"/>
          <w:szCs w:val="24"/>
        </w:rPr>
        <w:t xml:space="preserve">[Insert narrative analysis here once Table 5.7 is populated: identify which paradigm achieves higher peak accuracy, which model achieves the best Equal Error Rate, and whether the deep learning models' advantage over traditional models on clean LFW data persists or narrows as perturbation severity increases, drawing on the full sixteen-perturbation accuracy-degradation curves.]</w:t>
      </w:r>
    </w:p>
    <w:p>
      <w:pPr>
        <w:spacing w:after="200" w:line="360" w:lineRule="auto"/>
        <w:jc w:val="both"/>
      </w:pPr>
      <w:r>
        <w:rPr>
          <w:rFonts w:ascii="Times New Roman" w:cs="Times New Roman" w:eastAsia="Times New Roman" w:hAnsi="Times New Roman"/>
          <w:sz w:val="24"/>
          <w:szCs w:val="24"/>
        </w:rPr>
        <w:t xml:space="preserve">Table 5.8 illustrates the intended format for the cross-paradigm failure overlap analysis (Section 3.4 of the methodology, failure correlation module), reporting the fraction of test images on which a given traditional model and a given deep learning model both fail, for the perturbation type showing the largest overlap and the perturbation type showing the smallest overlap.</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Traditional Model</w:t>
            </w:r>
          </w:p>
        </w:tc>
        <w:tc>
          <w:tcPr>
            <w:tcW w:type="dxa" w:w="2256"/>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Deep Learning Model</w:t>
            </w:r>
          </w:p>
        </w:tc>
        <w:tc>
          <w:tcPr>
            <w:tcW w:type="dxa" w:w="2257"/>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Max Overlap (Type)</w:t>
            </w:r>
          </w:p>
        </w:tc>
        <w:tc>
          <w:tcPr>
            <w:tcW w:type="dxa" w:w="2257"/>
            <w:tcBorders>
              <w:top w:val="single" w:color="555555" w:sz="4"/>
              <w:left w:val="single" w:color="555555" w:sz="4"/>
              <w:bottom w:val="single" w:color="555555" w:sz="4"/>
              <w:right w:val="single" w:color="555555"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Min Overlap (Type)</w:t>
            </w:r>
          </w:p>
        </w:tc>
      </w:tr>
      <w:tr>
        <w:tc>
          <w:tcPr>
            <w:tcW w:type="dxa" w:w="225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[model]</w:t>
            </w:r>
          </w:p>
        </w:tc>
        <w:tc>
          <w:tcPr>
            <w:tcW w:type="dxa" w:w="225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[model]</w:t>
            </w:r>
          </w:p>
        </w:tc>
        <w:tc>
          <w:tcPr>
            <w:tcW w:type="dxa" w:w="2257"/>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 ([perturbation])</w:t>
            </w:r>
          </w:p>
        </w:tc>
        <w:tc>
          <w:tcPr>
            <w:tcW w:type="dxa" w:w="2257"/>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 ([perturbation])</w:t>
            </w:r>
          </w:p>
        </w:tc>
      </w:tr>
      <w:tr>
        <w:tc>
          <w:tcPr>
            <w:tcW w:type="dxa" w:w="225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[model]</w:t>
            </w:r>
          </w:p>
        </w:tc>
        <w:tc>
          <w:tcPr>
            <w:tcW w:type="dxa" w:w="2256"/>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[model]</w:t>
            </w:r>
          </w:p>
        </w:tc>
        <w:tc>
          <w:tcPr>
            <w:tcW w:type="dxa" w:w="2257"/>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 ([perturbation])</w:t>
            </w:r>
          </w:p>
        </w:tc>
        <w:tc>
          <w:tcPr>
            <w:tcW w:type="dxa" w:w="2257"/>
            <w:tcBorders>
              <w:top w:val="single" w:color="555555" w:sz="4"/>
              <w:left w:val="single" w:color="555555" w:sz="4"/>
              <w:bottom w:val="single" w:color="555555" w:sz="4"/>
              <w:right w:val="single" w:color="555555"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[0.xx] ([perturbation])</w:t>
            </w:r>
          </w:p>
        </w:tc>
      </w:tr>
    </w:tbl>
    <w:p>
      <w:pPr>
        <w:spacing w:after="240" w:before="100"/>
        <w:jc w:val="center"/>
      </w:pPr>
      <w:r>
        <w:rPr>
          <w:rFonts w:ascii="Times New Roman" w:cs="Times New Roman" w:eastAsia="Times New Roman" w:hAnsi="Times New Roman"/>
          <w:b/>
          <w:bCs/>
          <w:sz w:val="24"/>
          <w:szCs w:val="24"/>
        </w:rPr>
        <w:t xml:space="preserve">Table 5.8: Cross-paradigm failure overlap (TEMPLATE — placeholder values)</w:t>
      </w:r>
    </w:p>
    <w:p>
      <w:pPr>
        <w:spacing w:after="200" w:line="360" w:lineRule="auto"/>
        <w:jc w:val="both"/>
      </w:pPr>
      <w:r>
        <w:rPr>
          <w:rFonts w:ascii="Times New Roman" w:cs="Times New Roman" w:eastAsia="Times New Roman" w:hAnsi="Times New Roman"/>
          <w:sz w:val="24"/>
          <w:szCs w:val="24"/>
        </w:rPr>
        <w:t xml:space="preserve">[Insert narrative analysis here once Table 5.8 is populated: state whether traditional and deep learning models fail predominantly on the same images (high overlap, implying ensembling would yield limited benefit) or on largely different images (low overlap, implying a traditional-plus-deep-learning ensemble could improve robustness beyond either paradigm alone), and identify the practitioner recommendation this supports.]</w:t>
      </w:r>
    </w:p>
    <w:p>
      <w:pPr>
        <w:pStyle w:val="Heading1"/>
        <w:spacing w:after="240" w:before="480" w:line="360" w:lineRule="auto"/>
      </w:pPr>
      <w:r>
        <w:rPr>
          <w:rFonts w:ascii="Times New Roman" w:cs="Times New Roman" w:eastAsia="Times New Roman" w:hAnsi="Times New Roman"/>
          <w:b/>
          <w:bCs/>
          <w:sz w:val="32"/>
          <w:szCs w:val="32"/>
        </w:rPr>
        <w:t xml:space="preserve">UNIT 6: CONCLUSION AND FUTURE RECOMMENDATIONS</w:t>
      </w:r>
    </w:p>
    <w:p>
      <w:pPr>
        <w:pStyle w:val="Heading2"/>
        <w:spacing w:after="200" w:before="360" w:line="360" w:lineRule="auto"/>
      </w:pPr>
      <w:r>
        <w:rPr>
          <w:rFonts w:ascii="Times New Roman" w:cs="Times New Roman" w:eastAsia="Times New Roman" w:hAnsi="Times New Roman"/>
          <w:b/>
          <w:bCs/>
          <w:sz w:val="28"/>
          <w:szCs w:val="28"/>
        </w:rPr>
        <w:t xml:space="preserve">6.1 Conclusion</w:t>
      </w:r>
    </w:p>
    <w:p>
      <w:pPr>
        <w:spacing w:after="200" w:line="360" w:lineRule="auto"/>
        <w:jc w:val="both"/>
      </w:pPr>
      <w:r>
        <w:rPr>
          <w:rFonts w:ascii="Times New Roman" w:cs="Times New Roman" w:eastAsia="Times New Roman" w:hAnsi="Times New Roman"/>
          <w:sz w:val="24"/>
          <w:szCs w:val="24"/>
        </w:rPr>
        <w:t xml:space="preserve">This thesis presented FaceEval-X, a modular, registry-driven software framework for multi-dimensional benchmarking of face recognition systems under controlled distribution shift, spanning both traditional machine learning and deep learning recognition paradigms within a single, common evaluation protocol. The framework implements ten registered recognition models, sixteen severity-parameterized perturbation types across six distortion categories, a twenty-one-dimensional behavioral fingerprint construct unifying robustness, calibration, fairness, speed, and memory characteristics into a paradigm-agnostic comparison vector, a failure analysis module supporting clustering and cross-paradigm failure correlation, and a context-weighted deployment scoring engine producing explainable, scenario-specific practitioner recommendations. The complete implementation comprises fourteen Python sub-packages, a FastAPI backend, and a React-based benchmark dashboard.</w:t>
      </w:r>
    </w:p>
    <w:p>
      <w:pPr>
        <w:spacing w:after="200" w:line="360" w:lineRule="auto"/>
        <w:jc w:val="both"/>
      </w:pPr>
      <w:r>
        <w:rPr>
          <w:rFonts w:ascii="Times New Roman" w:cs="Times New Roman" w:eastAsia="Times New Roman" w:hAnsi="Times New Roman"/>
          <w:sz w:val="24"/>
          <w:szCs w:val="24"/>
        </w:rPr>
        <w:t xml:space="preserve">The end-to-end pipeline — from raw image preprocessing through model training, perturbation application, prediction, evaluation, fingerprinting, and deployment scoring — was validated through a fully executed run on a synthetic dataset, confirming the correctness and internal consistency of the data flow across all framework layers. This validation surfaced and corrected a substantive methodological defect during development: an initial subject-disjoint train/test split, appropriate for open-set verification protocols, produced systematically near-zero closed-set identification accuracy because no model could correctly classify test subjects it had never observed during training; replacing this with a stratified, subject-overlapping split restored the model's ability to demonstrate genuinely learned class structure. This finding underscores a broader point relevant to face recognition evaluation practice generally: split strategy is not a peripheral implementation detail but a methodological choice that determines what an accuracy figure actually measures, and the two strategies (subject-disjoint and stratified) answer materially different scientific questions — generalization to unseen identities versus performance on known identities under unseen conditions — that should not be conflated.</w:t>
      </w:r>
    </w:p>
    <w:p>
      <w:pPr>
        <w:spacing w:after="200" w:line="360" w:lineRule="auto"/>
        <w:jc w:val="both"/>
      </w:pPr>
      <w:r>
        <w:rPr>
          <w:rFonts w:ascii="Times New Roman" w:cs="Times New Roman" w:eastAsia="Times New Roman" w:hAnsi="Times New Roman"/>
          <w:sz w:val="24"/>
          <w:szCs w:val="24"/>
        </w:rPr>
        <w:t xml:space="preserve">The principal contribution of this thesis is the framework itself: a reusable, extensible, and reproducible benchmarking instrument, rather than a novel recognition algorithm. Its value lies in making the multi-dimensional, cross-paradigm, deployment-context-aware evaluation that current literature largely lacks (Unit 2) readily executable by future researchers and practitioners without re-implementing perturbation engines, calibration metrics, fairness metrics, or deployment scoring logic from first principles for each new study.</w:t>
      </w:r>
    </w:p>
    <w:p>
      <w:pPr>
        <w:pStyle w:val="Heading2"/>
        <w:spacing w:after="200" w:before="360" w:line="360" w:lineRule="auto"/>
      </w:pPr>
      <w:r>
        <w:rPr>
          <w:rFonts w:ascii="Times New Roman" w:cs="Times New Roman" w:eastAsia="Times New Roman" w:hAnsi="Times New Roman"/>
          <w:b/>
          <w:bCs/>
          <w:sz w:val="28"/>
          <w:szCs w:val="28"/>
        </w:rPr>
        <w:t xml:space="preserve">6.2 Future Recommendations</w:t>
      </w:r>
    </w:p>
    <w:p>
      <w:pPr>
        <w:spacing w:after="200" w:line="360" w:lineRule="auto"/>
        <w:jc w:val="both"/>
      </w:pPr>
      <w:r>
        <w:rPr>
          <w:rFonts w:ascii="Times New Roman" w:cs="Times New Roman" w:eastAsia="Times New Roman" w:hAnsi="Times New Roman"/>
          <w:sz w:val="24"/>
          <w:szCs w:val="24"/>
        </w:rPr>
        <w:t xml:space="preserve">Several directions extend directly from the current implementation and the limitations identified in Section 1.4.</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Execution of the full ten-model, sixteen-perturbation-type benchmark on the Labeled Faces in the Wild dataset, replacing the illustrative placeholder tables in Section 5.2.2 with genuine results, and installation of the pretrained weight packages (facenet-pytorch, insightface, dlib) so that the deep learning models are evaluated using their real, trained backbones rather than the deterministic stub embedders used for pipeline validation in this thesis.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Integration of the calibration, fairness, and resource-profiling evaluation stages — implemented as standalone modules but not yet invoked by the automated orchestration run in this thesis — into the experiment runner, so that the fingerprint's non-robustness dimensions reflect measured values rather than the neutral 0.5 default.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Extension of the failure analysis module's meta-model (currently a Random Forest classifier predicting failure from image-level statistics) with additional perceptual features, and validation of its predictive accuracy on a held-out set of real failure cases from the full LFW benchmark.</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Extension of the framework to video-based and three-dimensional face recognition, multimodal biometric fusion, continual learning settings, and federated evaluation across institutions, each identified as an architectural extension point in the original framework design but not implemented in this thesis.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 formal user study with practitioners evaluating the interpretability and decision utility of the deployment scoring engine's recommendations relative to raw metric tables, to validate empirically whether the context-weighted synthesis approach improves deployment decision-making in practice.</w:t>
      </w:r>
    </w:p>
    <w:p>
      <w:pPr>
        <w:pStyle w:val="Heading1"/>
        <w:spacing w:after="240" w:before="480" w:line="360" w:lineRule="auto"/>
      </w:pPr>
      <w:r>
        <w:rPr>
          <w:rFonts w:ascii="Times New Roman" w:cs="Times New Roman" w:eastAsia="Times New Roman" w:hAnsi="Times New Roman"/>
          <w:b/>
          <w:bCs/>
          <w:sz w:val="32"/>
          <w:szCs w:val="32"/>
        </w:rPr>
        <w:t xml:space="preserve">REFERENCES</w:t>
      </w:r>
    </w:p>
    <w:p>
      <w:pPr>
        <w:spacing w:after="160" w:line="360" w:lineRule="auto"/>
        <w:ind w:left="360" w:hanging="360"/>
        <w:jc w:val="both"/>
      </w:pPr>
      <w:r>
        <w:rPr>
          <w:rFonts w:ascii="Times New Roman" w:cs="Times New Roman" w:eastAsia="Times New Roman" w:hAnsi="Times New Roman"/>
          <w:sz w:val="24"/>
          <w:szCs w:val="24"/>
        </w:rPr>
        <w:t xml:space="preserve">[1]  F. Schroff, D. Kalenichenko, and J. Philbin, “FaceNet: A unified embedding for face recognition and clustering,” in Proc. IEEE Conf. Computer Vision and Pattern Recognition (CVPR), 2015, pp. 815–823.</w:t>
      </w:r>
    </w:p>
    <w:p>
      <w:pPr>
        <w:spacing w:after="160" w:line="360" w:lineRule="auto"/>
        <w:ind w:left="360" w:hanging="360"/>
        <w:jc w:val="both"/>
      </w:pPr>
      <w:r>
        <w:rPr>
          <w:rFonts w:ascii="Times New Roman" w:cs="Times New Roman" w:eastAsia="Times New Roman" w:hAnsi="Times New Roman"/>
          <w:sz w:val="24"/>
          <w:szCs w:val="24"/>
        </w:rPr>
        <w:t xml:space="preserve">[2]  J. Deng, J. Guo, N. Xue, and S. Zafeiriou, “ArcFace: Additive angular margin loss for deep face recognition,” in Proc. IEEE/CVF Conf. Computer Vision and Pattern Recognition (CVPR), 2019, pp. 4690–4699.</w:t>
      </w:r>
    </w:p>
    <w:p>
      <w:pPr>
        <w:spacing w:after="160" w:line="360" w:lineRule="auto"/>
        <w:ind w:left="360" w:hanging="360"/>
        <w:jc w:val="both"/>
      </w:pPr>
      <w:r>
        <w:rPr>
          <w:rFonts w:ascii="Times New Roman" w:cs="Times New Roman" w:eastAsia="Times New Roman" w:hAnsi="Times New Roman"/>
          <w:sz w:val="24"/>
          <w:szCs w:val="24"/>
        </w:rPr>
        <w:t xml:space="preserve">[3]  G. B. Huang, M. Ramesh, T. Berg, and E. Learned-Miller, “Labeled Faces in the Wild: A database for studying face recognition in unconstrained environments,” Univ. Massachusetts, Amherst, MA, USA, Tech. Rep. 07-49, Oct. 2007.</w:t>
      </w:r>
    </w:p>
    <w:p>
      <w:pPr>
        <w:spacing w:after="160" w:line="360" w:lineRule="auto"/>
        <w:ind w:left="360" w:hanging="360"/>
        <w:jc w:val="both"/>
      </w:pPr>
      <w:r>
        <w:rPr>
          <w:rFonts w:ascii="Times New Roman" w:cs="Times New Roman" w:eastAsia="Times New Roman" w:hAnsi="Times New Roman"/>
          <w:sz w:val="24"/>
          <w:szCs w:val="24"/>
        </w:rPr>
        <w:t xml:space="preserve">[4]  M. Turk and A. Pentland, “Eigenfaces for recognition,” J. Cognitive Neuroscience, vol. 3, no. 1, pp. 71–86, 1991.</w:t>
      </w:r>
    </w:p>
    <w:p>
      <w:pPr>
        <w:spacing w:after="160" w:line="360" w:lineRule="auto"/>
        <w:ind w:left="360" w:hanging="360"/>
        <w:jc w:val="both"/>
      </w:pPr>
      <w:r>
        <w:rPr>
          <w:rFonts w:ascii="Times New Roman" w:cs="Times New Roman" w:eastAsia="Times New Roman" w:hAnsi="Times New Roman"/>
          <w:sz w:val="24"/>
          <w:szCs w:val="24"/>
        </w:rPr>
        <w:t xml:space="preserve">[5]  P. N. Belhumeur, J. P. Hespanha, and D. J. Kriegman, “Eigenfaces vs. Fisherfaces: Recognition using class specific linear projection,” IEEE Trans. Pattern Analysis and Machine Intelligence, vol. 19, no. 7, pp. 711–720, Jul. 1997.</w:t>
      </w:r>
    </w:p>
    <w:p>
      <w:pPr>
        <w:spacing w:after="160" w:line="360" w:lineRule="auto"/>
        <w:ind w:left="360" w:hanging="360"/>
        <w:jc w:val="both"/>
      </w:pPr>
      <w:r>
        <w:rPr>
          <w:rFonts w:ascii="Times New Roman" w:cs="Times New Roman" w:eastAsia="Times New Roman" w:hAnsi="Times New Roman"/>
          <w:sz w:val="24"/>
          <w:szCs w:val="24"/>
        </w:rPr>
        <w:t xml:space="preserve">[6]  T. Ahonen, A. Hadid, and M. Pietikäinen, “Face description with local binary patterns: Application to face recognition,” IEEE Trans. Pattern Analysis and Machine Intelligence, vol. 28, no. 12, pp. 2037–2041, Dec. 2006.</w:t>
      </w:r>
    </w:p>
    <w:p>
      <w:pPr>
        <w:spacing w:after="160" w:line="360" w:lineRule="auto"/>
        <w:ind w:left="360" w:hanging="360"/>
        <w:jc w:val="both"/>
      </w:pPr>
      <w:r>
        <w:rPr>
          <w:rFonts w:ascii="Times New Roman" w:cs="Times New Roman" w:eastAsia="Times New Roman" w:hAnsi="Times New Roman"/>
          <w:sz w:val="24"/>
          <w:szCs w:val="24"/>
        </w:rPr>
        <w:t xml:space="preserve">[7]  N. Dalal and B. Triggs, “Histograms of oriented gradients for human detection,” in Proc. IEEE Computer Society Conf. Computer Vision and Pattern Recognition (CVPR), 2005, pp. 886–893.</w:t>
      </w:r>
    </w:p>
    <w:p>
      <w:pPr>
        <w:spacing w:after="160" w:line="360" w:lineRule="auto"/>
        <w:ind w:left="360" w:hanging="360"/>
        <w:jc w:val="both"/>
      </w:pPr>
      <w:r>
        <w:rPr>
          <w:rFonts w:ascii="Times New Roman" w:cs="Times New Roman" w:eastAsia="Times New Roman" w:hAnsi="Times New Roman"/>
          <w:sz w:val="24"/>
          <w:szCs w:val="24"/>
        </w:rPr>
        <w:t xml:space="preserve">[8]  J. Deng, J. Guo, Y. Zhou, J. Yu, I. Kotsia, and S. Zafeiriou, “RetinaFace: Single-stage dense face localisation in the wild,” arXiv preprint arXiv:1905.00641, 2019.</w:t>
      </w:r>
    </w:p>
    <w:p>
      <w:pPr>
        <w:spacing w:after="160" w:line="360" w:lineRule="auto"/>
        <w:ind w:left="360" w:hanging="360"/>
        <w:jc w:val="both"/>
      </w:pPr>
      <w:r>
        <w:rPr>
          <w:rFonts w:ascii="Times New Roman" w:cs="Times New Roman" w:eastAsia="Times New Roman" w:hAnsi="Times New Roman"/>
          <w:sz w:val="24"/>
          <w:szCs w:val="24"/>
        </w:rPr>
        <w:t xml:space="preserve">[9]  D. Hendrycks and T. Dietterich, “Benchmarking neural network robustness to common corruptions and perturbations,” in Proc. Int. Conf. Learning Representations (ICLR), 2019.</w:t>
      </w:r>
    </w:p>
    <w:p>
      <w:pPr>
        <w:spacing w:after="160" w:line="360" w:lineRule="auto"/>
        <w:ind w:left="360" w:hanging="360"/>
        <w:jc w:val="both"/>
      </w:pPr>
      <w:r>
        <w:rPr>
          <w:rFonts w:ascii="Times New Roman" w:cs="Times New Roman" w:eastAsia="Times New Roman" w:hAnsi="Times New Roman"/>
          <w:sz w:val="24"/>
          <w:szCs w:val="24"/>
        </w:rPr>
        <w:t xml:space="preserve">[10]  P. Grother, M. Ngan, and K. Hanaoka, “Face Recognition Vendor Test (FRVT) Part 2: Identification,” Nat. Inst. Standards and Technology (NIST), Gaithersburg, MD, USA, NISTIR 8271, 2019.</w:t>
      </w:r>
    </w:p>
    <w:p>
      <w:pPr>
        <w:spacing w:after="160" w:line="360" w:lineRule="auto"/>
        <w:ind w:left="360" w:hanging="360"/>
        <w:jc w:val="both"/>
      </w:pPr>
      <w:r>
        <w:rPr>
          <w:rFonts w:ascii="Times New Roman" w:cs="Times New Roman" w:eastAsia="Times New Roman" w:hAnsi="Times New Roman"/>
          <w:sz w:val="24"/>
          <w:szCs w:val="24"/>
        </w:rPr>
        <w:t xml:space="preserve">[11]  S. Sengupta, J.-C. Chen, C. Castillo, V. M. Patel, R. Chellappa, and D. W. Jacobs, “Frontal to profile face verification in the wild,” in Proc. IEEE Winter Conf. Applications of Computer Vision (WACV), 2016, pp. 1–9.</w:t>
      </w:r>
    </w:p>
    <w:p>
      <w:pPr>
        <w:spacing w:after="160" w:line="360" w:lineRule="auto"/>
        <w:ind w:left="360" w:hanging="360"/>
        <w:jc w:val="both"/>
      </w:pPr>
      <w:r>
        <w:rPr>
          <w:rFonts w:ascii="Times New Roman" w:cs="Times New Roman" w:eastAsia="Times New Roman" w:hAnsi="Times New Roman"/>
          <w:sz w:val="24"/>
          <w:szCs w:val="24"/>
        </w:rPr>
        <w:t xml:space="preserve">[12]  C. Guo, G. Pleiss, Y. Sun, and K. Q. Weinberger, “On calibration of modern neural networks,” in Proc. Int. Conf. Machine Learning (ICML), 2017, pp. 1321–1330.</w:t>
      </w:r>
    </w:p>
    <w:p>
      <w:pPr>
        <w:spacing w:after="160" w:line="360" w:lineRule="auto"/>
        <w:ind w:left="360" w:hanging="360"/>
        <w:jc w:val="both"/>
      </w:pPr>
      <w:r>
        <w:rPr>
          <w:rFonts w:ascii="Times New Roman" w:cs="Times New Roman" w:eastAsia="Times New Roman" w:hAnsi="Times New Roman"/>
          <w:sz w:val="24"/>
          <w:szCs w:val="24"/>
        </w:rPr>
        <w:t xml:space="preserve">[13]  J. Buolamwini and T. Gebru, “Gender shades: Intersectional accuracy disparities in commercial gender classification,” in Proc. Conf. Fairness, Accountability and Transparency (FAT*), 2018, pp. 77–91.</w:t>
      </w:r>
    </w:p>
    <w:p>
      <w:pPr>
        <w:spacing w:after="160" w:line="360" w:lineRule="auto"/>
        <w:ind w:left="360" w:hanging="360"/>
        <w:jc w:val="both"/>
      </w:pPr>
      <w:r>
        <w:rPr>
          <w:rFonts w:ascii="Times New Roman" w:cs="Times New Roman" w:eastAsia="Times New Roman" w:hAnsi="Times New Roman"/>
          <w:sz w:val="24"/>
          <w:szCs w:val="24"/>
        </w:rPr>
        <w:t xml:space="preserve">[14]  P. Grother, M. Ngan, and K. Hanaoka, “Face Recognition Vendor Test (FRVT) Part 3: Demographic Effects,” Nat. Inst. Standards and Technology (NIST), Gaithersburg, MD, USA, NISTIR 8280, 2019.</w:t>
      </w:r>
    </w:p>
    <w:p>
      <w:pPr>
        <w:spacing w:after="160" w:line="360" w:lineRule="auto"/>
        <w:ind w:left="360" w:hanging="360"/>
        <w:jc w:val="both"/>
      </w:pPr>
      <w:r>
        <w:rPr>
          <w:rFonts w:ascii="Times New Roman" w:cs="Times New Roman" w:eastAsia="Times New Roman" w:hAnsi="Times New Roman"/>
          <w:sz w:val="24"/>
          <w:szCs w:val="24"/>
        </w:rPr>
        <w:t xml:space="preserve">[15]  Z. Liu, P. Luo, X. Wang, and X. Tang, “Deep learning face attributes in the wild,” in Proc. IEEE Int. Conf. Computer Vision (ICCV), 2015, pp. 3730–3738.</w:t>
      </w:r>
    </w:p>
    <w:p>
      <w:pPr>
        <w:spacing w:after="160" w:line="360" w:lineRule="auto"/>
        <w:ind w:left="360" w:hanging="360"/>
        <w:jc w:val="both"/>
      </w:pPr>
      <w:r>
        <w:rPr>
          <w:rFonts w:ascii="Times New Roman" w:cs="Times New Roman" w:eastAsia="Times New Roman" w:hAnsi="Times New Roman"/>
          <w:sz w:val="24"/>
          <w:szCs w:val="24"/>
        </w:rPr>
        <w:t xml:space="preserve">[16]  Q. Cao, L. Shen, W. Xie, O. M. Parkhi, and A. Zisserman, “VGGFace2: A dataset for recognising faces across pose and age,” in Proc. IEEE Int. Conf. Automatic Face and Gesture Recognition (FG), 2018, pp. 67–74.</w:t>
      </w:r>
    </w:p>
    <w:sectPr>
      <w:footerReference w:type="default" r:id="rId9"/>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20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60" w:before="2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2026-06-30T08:40:25.409Z</dcterms:created>
  <dcterms:modified xsi:type="dcterms:W3CDTF">2026-06-30T08:40:25.409Z</dcterms:modified>
</cp:coreProperties>
</file>

<file path=docProps/custom.xml><?xml version="1.0" encoding="utf-8"?>
<Properties xmlns="http://schemas.openxmlformats.org/officeDocument/2006/custom-properties" xmlns:vt="http://schemas.openxmlformats.org/officeDocument/2006/docPropsVTypes"/>
</file>