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0E63BF" w:rsidRDefault="00A537D1">
      <w:pPr>
        <w:pStyle w:val="Title"/>
        <w:jc w:val="center"/>
        <w:rPr>
          <w:rFonts w:ascii="Arial" w:hAnsi="Arial" w:cs="Arial"/>
          <w:b/>
          <w:color w:val="262626" w:themeColor="text1" w:themeTint="D9"/>
          <w:spacing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E63BF">
        <w:rPr>
          <w:rFonts w:ascii="Arial" w:hAnsi="Arial" w:cs="Arial"/>
          <w:b/>
          <w:color w:val="262626" w:themeColor="text1" w:themeTint="D9"/>
          <w:spacing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Business Summary Report: Predictive Insights for Collections Strategy</w:t>
      </w:r>
    </w:p>
    <w:p w14:paraId="112E58E2"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1. Summary of Predictive Insights</w:t>
      </w:r>
    </w:p>
    <w:p w14:paraId="3A147FEA"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Top 3 Risk Factors</w:t>
      </w:r>
    </w:p>
    <w:p w14:paraId="3F7BF51F" w14:textId="77777777" w:rsidR="00AD72DB" w:rsidRPr="00AD72DB" w:rsidRDefault="00AD72DB" w:rsidP="00AD72DB">
      <w:pPr>
        <w:numPr>
          <w:ilvl w:val="0"/>
          <w:numId w:val="10"/>
        </w:num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 xml:space="preserve">Missed Payments: Customers with missed payments showed varying delinquency rates, indicating that payment behaviour is relevant when assessing delinquency risk. </w:t>
      </w:r>
    </w:p>
    <w:p w14:paraId="11777A2F" w14:textId="77777777" w:rsidR="00AD72DB" w:rsidRPr="00AD72DB" w:rsidRDefault="00AD72DB" w:rsidP="00AD72DB">
      <w:pPr>
        <w:numPr>
          <w:ilvl w:val="0"/>
          <w:numId w:val="10"/>
        </w:num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 xml:space="preserve">Credit Utilization: Delinquent customers had slightly higher average credit utilization (0.5069) than non-delinquent customers (0.4885). </w:t>
      </w:r>
    </w:p>
    <w:p w14:paraId="2F972156" w14:textId="77777777" w:rsidR="00AD72DB" w:rsidRPr="00AD72DB" w:rsidRDefault="00AD72DB" w:rsidP="00AD72DB">
      <w:pPr>
        <w:numPr>
          <w:ilvl w:val="0"/>
          <w:numId w:val="10"/>
        </w:num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 xml:space="preserve">Debt-to-Income Ratio: Delinquent customers had slightly higher average DTI (0.3063) than non-delinquent customers (0.2974). </w:t>
      </w:r>
    </w:p>
    <w:p w14:paraId="53E6A5ED"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Customer Segment:</w:t>
      </w:r>
      <w:r w:rsidRPr="00AD72DB">
        <w:rPr>
          <w:rFonts w:ascii="Arial" w:eastAsiaTheme="majorEastAsia" w:hAnsi="Arial" w:cs="Arial"/>
          <w:color w:val="000000" w:themeColor="text1"/>
          <w:sz w:val="24"/>
          <w:szCs w:val="24"/>
          <w:lang w:val="en-IN"/>
        </w:rPr>
        <w:br/>
        <w:t>Customers identified by the predictive model as having higher delinquency risk, particularly where payment behaviour, credit utilization, and DTI indicate elevated risk.</w:t>
      </w:r>
    </w:p>
    <w:p w14:paraId="52784C17"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pict w14:anchorId="4EB8B67B">
          <v:rect id="_x0000_i1037" style="width:0;height:1.5pt" o:hralign="center" o:hrstd="t" o:hr="t" fillcolor="#a0a0a0" stroked="f"/>
        </w:pict>
      </w:r>
    </w:p>
    <w:p w14:paraId="6C0BE3C5"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2. Recommendation Framework</w:t>
      </w:r>
    </w:p>
    <w:p w14:paraId="1F2DFF78"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Restated Insight:</w:t>
      </w:r>
      <w:r w:rsidRPr="00AD72DB">
        <w:rPr>
          <w:rFonts w:ascii="Arial" w:eastAsiaTheme="majorEastAsia" w:hAnsi="Arial" w:cs="Arial"/>
          <w:color w:val="000000" w:themeColor="text1"/>
          <w:sz w:val="24"/>
          <w:szCs w:val="24"/>
          <w:lang w:val="en-IN"/>
        </w:rPr>
        <w:br/>
        <w:t>Customers with indicators associated with higher delinquency risk should receive appropriate attention from the Collections team.</w:t>
      </w:r>
    </w:p>
    <w:p w14:paraId="42AE5EA8"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Proposed Recommendation:</w:t>
      </w:r>
      <w:r w:rsidRPr="00AD72DB">
        <w:rPr>
          <w:rFonts w:ascii="Arial" w:eastAsiaTheme="majorEastAsia" w:hAnsi="Arial" w:cs="Arial"/>
          <w:color w:val="000000" w:themeColor="text1"/>
          <w:sz w:val="24"/>
          <w:szCs w:val="24"/>
          <w:lang w:val="en-IN"/>
        </w:rPr>
        <w:br/>
        <w:t>Pilot a prioritized collections workflow where higher-risk customers receive manual review and, where appropriate, personalized debt-management support.</w:t>
      </w:r>
    </w:p>
    <w:p w14:paraId="3672387C"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Specific:</w:t>
      </w:r>
      <w:r w:rsidRPr="00AD72DB">
        <w:rPr>
          <w:rFonts w:ascii="Arial" w:eastAsiaTheme="majorEastAsia" w:hAnsi="Arial" w:cs="Arial"/>
          <w:color w:val="000000" w:themeColor="text1"/>
          <w:sz w:val="24"/>
          <w:szCs w:val="24"/>
          <w:lang w:val="en-IN"/>
        </w:rPr>
        <w:br/>
        <w:t>Prioritize higher-risk customers for manual review and personalized intervention.</w:t>
      </w:r>
    </w:p>
    <w:p w14:paraId="56EDC4A3"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Measurable:</w:t>
      </w:r>
      <w:r w:rsidRPr="00AD72DB">
        <w:rPr>
          <w:rFonts w:ascii="Arial" w:eastAsiaTheme="majorEastAsia" w:hAnsi="Arial" w:cs="Arial"/>
          <w:color w:val="000000" w:themeColor="text1"/>
          <w:sz w:val="24"/>
          <w:szCs w:val="24"/>
          <w:lang w:val="en-IN"/>
        </w:rPr>
        <w:br/>
        <w:t>Track delinquency outcomes, review completion, and customer responses during the pilot.</w:t>
      </w:r>
    </w:p>
    <w:p w14:paraId="7A9D8803"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lastRenderedPageBreak/>
        <w:t>Actionable:</w:t>
      </w:r>
      <w:r w:rsidRPr="00AD72DB">
        <w:rPr>
          <w:rFonts w:ascii="Arial" w:eastAsiaTheme="majorEastAsia" w:hAnsi="Arial" w:cs="Arial"/>
          <w:color w:val="000000" w:themeColor="text1"/>
          <w:sz w:val="24"/>
          <w:szCs w:val="24"/>
          <w:lang w:val="en-IN"/>
        </w:rPr>
        <w:br/>
        <w:t>Use model risk predictions to help the Collections team prioritize its existing review and outreach process.</w:t>
      </w:r>
    </w:p>
    <w:p w14:paraId="0877E363"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Relevant:</w:t>
      </w:r>
      <w:r w:rsidRPr="00AD72DB">
        <w:rPr>
          <w:rFonts w:ascii="Arial" w:eastAsiaTheme="majorEastAsia" w:hAnsi="Arial" w:cs="Arial"/>
          <w:color w:val="000000" w:themeColor="text1"/>
          <w:sz w:val="24"/>
          <w:szCs w:val="24"/>
          <w:lang w:val="en-IN"/>
        </w:rPr>
        <w:br/>
        <w:t>This allows limited Collections resources to focus on customers who may require earlier intervention.</w:t>
      </w:r>
    </w:p>
    <w:p w14:paraId="7A5B1006"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Time-bound:</w:t>
      </w:r>
      <w:r w:rsidRPr="00AD72DB">
        <w:rPr>
          <w:rFonts w:ascii="Arial" w:eastAsiaTheme="majorEastAsia" w:hAnsi="Arial" w:cs="Arial"/>
          <w:color w:val="000000" w:themeColor="text1"/>
          <w:sz w:val="24"/>
          <w:szCs w:val="24"/>
          <w:lang w:val="en-IN"/>
        </w:rPr>
        <w:br/>
        <w:t>Run the approach as a defined pilot period before considering broader implementation.</w:t>
      </w:r>
    </w:p>
    <w:p w14:paraId="1282A5D3"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Justification and Business Rationale:</w:t>
      </w:r>
      <w:r w:rsidRPr="00AD72DB">
        <w:rPr>
          <w:rFonts w:ascii="Arial" w:eastAsiaTheme="majorEastAsia" w:hAnsi="Arial" w:cs="Arial"/>
          <w:color w:val="000000" w:themeColor="text1"/>
          <w:sz w:val="24"/>
          <w:szCs w:val="24"/>
          <w:lang w:val="en-IN"/>
        </w:rPr>
        <w:br/>
        <w:t>Prioritizing higher-risk customers allows the Collections team to focus limited resources on customers who may require earlier intervention. Because model predictions can be incorrect, manual review provides an important safeguard by allowing reviewers to consider additional customer context before determining whether personalized debt-management support is appropriate.</w:t>
      </w:r>
    </w:p>
    <w:p w14:paraId="39205C01"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pict w14:anchorId="1F3D63E7">
          <v:rect id="_x0000_i1038" style="width:0;height:1.5pt" o:hralign="center" o:hrstd="t" o:hr="t" fillcolor="#a0a0a0" stroked="f"/>
        </w:pict>
      </w:r>
    </w:p>
    <w:p w14:paraId="29766FBA"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3. Ethical and Responsible AI Considerations</w:t>
      </w:r>
    </w:p>
    <w:p w14:paraId="3FA8F27C"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Fairness and Bias:</w:t>
      </w:r>
    </w:p>
    <w:p w14:paraId="4F6B5690" w14:textId="77777777" w:rsidR="00AD72DB" w:rsidRPr="00AD72DB" w:rsidRDefault="00AD72DB" w:rsidP="00AD72DB">
      <w:pPr>
        <w:numPr>
          <w:ilvl w:val="0"/>
          <w:numId w:val="11"/>
        </w:num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 xml:space="preserve">The model should be checked for differences in predictions and error rates across relevant customer groups. </w:t>
      </w:r>
    </w:p>
    <w:p w14:paraId="63E4B225" w14:textId="77777777" w:rsidR="00AD72DB" w:rsidRPr="00AD72DB" w:rsidRDefault="00AD72DB" w:rsidP="00AD72DB">
      <w:pPr>
        <w:numPr>
          <w:ilvl w:val="0"/>
          <w:numId w:val="11"/>
        </w:num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 xml:space="preserve">Input variables should be reviewed for potential proxy effects that could unintentionally disadvantage particular groups. </w:t>
      </w:r>
    </w:p>
    <w:p w14:paraId="57931B7E" w14:textId="77777777" w:rsidR="00AD72DB" w:rsidRPr="00AD72DB" w:rsidRDefault="00AD72DB" w:rsidP="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Explainability:</w:t>
      </w:r>
      <w:r w:rsidRPr="00AD72DB">
        <w:rPr>
          <w:rFonts w:ascii="Arial" w:eastAsiaTheme="majorEastAsia" w:hAnsi="Arial" w:cs="Arial"/>
          <w:color w:val="000000" w:themeColor="text1"/>
          <w:sz w:val="24"/>
          <w:szCs w:val="24"/>
          <w:lang w:val="en-IN"/>
        </w:rPr>
        <w:br/>
        <w:t>The model's predictions should be explainable using relevant customer factors. SHAP or other interpretability methods can help stakeholders understand why a customer was identified as higher risk.</w:t>
      </w:r>
    </w:p>
    <w:p w14:paraId="33EC1793" w14:textId="716A4B1A" w:rsidR="007D72C2" w:rsidRPr="002B14D8" w:rsidRDefault="00AD72DB">
      <w:pPr>
        <w:rPr>
          <w:rFonts w:ascii="Arial" w:eastAsiaTheme="majorEastAsia" w:hAnsi="Arial" w:cs="Arial"/>
          <w:color w:val="000000" w:themeColor="text1"/>
          <w:sz w:val="24"/>
          <w:szCs w:val="24"/>
          <w:lang w:val="en-IN"/>
        </w:rPr>
      </w:pPr>
      <w:r w:rsidRPr="00AD72DB">
        <w:rPr>
          <w:rFonts w:ascii="Arial" w:eastAsiaTheme="majorEastAsia" w:hAnsi="Arial" w:cs="Arial"/>
          <w:color w:val="000000" w:themeColor="text1"/>
          <w:sz w:val="24"/>
          <w:szCs w:val="24"/>
          <w:lang w:val="en-IN"/>
        </w:rPr>
        <w:t>Responsible Decision-Making:</w:t>
      </w:r>
      <w:r w:rsidRPr="00AD72DB">
        <w:rPr>
          <w:rFonts w:ascii="Arial" w:eastAsiaTheme="majorEastAsia" w:hAnsi="Arial" w:cs="Arial"/>
          <w:color w:val="000000" w:themeColor="text1"/>
          <w:sz w:val="24"/>
          <w:szCs w:val="24"/>
          <w:lang w:val="en-IN"/>
        </w:rPr>
        <w:br/>
        <w:t>Model predictions should support, rather than automatically determine, customer treatment. Higher-risk predictions should undergo human review before consequential action is taken. This helps ensure that customer context is considered and that interventions are proportionate and appropriate.</w:t>
      </w:r>
    </w:p>
    <w:sectPr w:rsidR="007D72C2" w:rsidRPr="002B14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8E50E1"/>
    <w:multiLevelType w:val="multilevel"/>
    <w:tmpl w:val="FDE2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C350A"/>
    <w:multiLevelType w:val="multilevel"/>
    <w:tmpl w:val="091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672802391">
    <w:abstractNumId w:val="10"/>
  </w:num>
  <w:num w:numId="11" w16cid:durableId="650719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3BF"/>
    <w:rsid w:val="0015074B"/>
    <w:rsid w:val="0029639D"/>
    <w:rsid w:val="002B14D8"/>
    <w:rsid w:val="00326F90"/>
    <w:rsid w:val="007D72C2"/>
    <w:rsid w:val="008237CA"/>
    <w:rsid w:val="00A537D1"/>
    <w:rsid w:val="00AA1D8D"/>
    <w:rsid w:val="00AD72DB"/>
    <w:rsid w:val="00B47730"/>
    <w:rsid w:val="00CB0664"/>
    <w:rsid w:val="00CD01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Jain</cp:lastModifiedBy>
  <cp:revision>5</cp:revision>
  <dcterms:created xsi:type="dcterms:W3CDTF">2013-12-23T23:15:00Z</dcterms:created>
  <dcterms:modified xsi:type="dcterms:W3CDTF">2026-09-25T09:59:00Z</dcterms:modified>
  <cp:category/>
</cp:coreProperties>
</file>