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Stage 3 – ANN Model Architecture</w:t>
      </w:r>
    </w:p>
    <w:p>
      <w:pPr>
        <w:jc w:val="center"/>
      </w:pPr>
      <w:r>
        <w:rPr>
          <w:i/>
        </w:rPr>
        <w:t>WILDA Team 6 | Customer Churn Analysis for Telecommunication Company</w:t>
      </w:r>
    </w:p>
    <w:p>
      <w:pPr>
        <w:pStyle w:val="Heading1"/>
      </w:pPr>
      <w:r>
        <w:t>1. Purpose</w:t>
      </w:r>
    </w:p>
    <w:p>
      <w:r>
        <w:t>The Artificial Neural Network (ANN) is designed to predict whether a telecommunications customer will churn (1) or remain with the company (0). It continues directly from the Stage 2 data preparation deliverables and uses the same saved training and testing sets to maintain consistency across project stages.</w:t>
      </w:r>
    </w:p>
    <w:p>
      <w:pPr>
        <w:pStyle w:val="Heading1"/>
      </w:pPr>
      <w:r>
        <w:t>2. Input Data</w:t>
      </w:r>
    </w:p>
    <w:p>
      <w:r>
        <w:t>The model receives 16 numerical inputs prepared in Stage 2. The dataset contains 7,043 customers, with 5,634 records in the Stage 2 training set and 1,409 records in the untouched test set. The target variable is Churn, encoded as 0 = No and 1 = Yes. Tenure and MonthlyCharges were standardised during Stage 2; categorical variables were encoded into numerical indicator features.</w:t>
      </w:r>
    </w:p>
    <w:p>
      <w:r>
        <w:t>gender_Female, gender_Male, Dependents_No, Dependents_Yes, PhoneService_No, PhoneService_Yes, MultipleLines_No, MultipleLines_Yes, InternetService_DSL, InternetService_Fiber optic, Contract_Month-to-month, Contract_One year, Contract_Two year, SeniorCitizen, tenure, MonthlyCharges</w:t>
      </w:r>
    </w:p>
    <w:p>
      <w:pPr>
        <w:pStyle w:val="Heading1"/>
      </w:pPr>
      <w:r>
        <w:t>3. ANN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Layer</w:t>
            </w:r>
          </w:p>
        </w:tc>
        <w:tc>
          <w:tcPr>
            <w:tcW w:type="dxa" w:w="2484"/>
          </w:tcPr>
          <w:p>
            <w:r>
              <w:t>Units</w:t>
            </w:r>
          </w:p>
        </w:tc>
        <w:tc>
          <w:tcPr>
            <w:tcW w:type="dxa" w:w="2484"/>
          </w:tcPr>
          <w:p>
            <w:r>
              <w:t>Activation / Setting</w:t>
            </w:r>
          </w:p>
        </w:tc>
        <w:tc>
          <w:tcPr>
            <w:tcW w:type="dxa" w:w="2484"/>
          </w:tcPr>
          <w:p>
            <w:r>
              <w:t>Purpose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t>Input</w:t>
            </w:r>
          </w:p>
        </w:tc>
        <w:tc>
          <w:tcPr>
            <w:tcW w:type="dxa" w:w="2484"/>
          </w:tcPr>
          <w:p>
            <w:r>
              <w:t>16</w:t>
            </w:r>
          </w:p>
        </w:tc>
        <w:tc>
          <w:tcPr>
            <w:tcW w:type="dxa" w:w="2484"/>
          </w:tcPr>
          <w:p>
            <w:r>
              <w:t>Prepared numerical features</w:t>
            </w:r>
          </w:p>
        </w:tc>
        <w:tc>
          <w:tcPr>
            <w:tcW w:type="dxa" w:w="2484"/>
          </w:tcPr>
          <w:p>
            <w:r>
              <w:t>Receives one value for each Stage 2 model feature.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t>Hidden 1</w:t>
            </w:r>
          </w:p>
        </w:tc>
        <w:tc>
          <w:tcPr>
            <w:tcW w:type="dxa" w:w="2484"/>
          </w:tcPr>
          <w:p>
            <w:r>
              <w:t>32</w:t>
            </w:r>
          </w:p>
        </w:tc>
        <w:tc>
          <w:tcPr>
            <w:tcW w:type="dxa" w:w="2484"/>
          </w:tcPr>
          <w:p>
            <w:r>
              <w:t>ReLU</w:t>
            </w:r>
          </w:p>
        </w:tc>
        <w:tc>
          <w:tcPr>
            <w:tcW w:type="dxa" w:w="2484"/>
          </w:tcPr>
          <w:p>
            <w:r>
              <w:t>Learns non-linear relationships among customer attributes.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t>Dropout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0.20</w:t>
            </w:r>
          </w:p>
        </w:tc>
        <w:tc>
          <w:tcPr>
            <w:tcW w:type="dxa" w:w="2484"/>
          </w:tcPr>
          <w:p>
            <w:r>
              <w:t>Reduces overfitting by randomly dropping activations during training.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t>Hidden 2</w:t>
            </w:r>
          </w:p>
        </w:tc>
        <w:tc>
          <w:tcPr>
            <w:tcW w:type="dxa" w:w="2484"/>
          </w:tcPr>
          <w:p>
            <w:r>
              <w:t>16</w:t>
            </w:r>
          </w:p>
        </w:tc>
        <w:tc>
          <w:tcPr>
            <w:tcW w:type="dxa" w:w="2484"/>
          </w:tcPr>
          <w:p>
            <w:r>
              <w:t>ReLU</w:t>
            </w:r>
          </w:p>
        </w:tc>
        <w:tc>
          <w:tcPr>
            <w:tcW w:type="dxa" w:w="2484"/>
          </w:tcPr>
          <w:p>
            <w:r>
              <w:t>Compresses and refines learned patterns.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t>Dropout</w:t>
            </w:r>
          </w:p>
        </w:tc>
        <w:tc>
          <w:tcPr>
            <w:tcW w:type="dxa" w:w="2484"/>
          </w:tcPr>
          <w:p>
            <w:r>
              <w:t>—</w:t>
            </w:r>
          </w:p>
        </w:tc>
        <w:tc>
          <w:tcPr>
            <w:tcW w:type="dxa" w:w="2484"/>
          </w:tcPr>
          <w:p>
            <w:r>
              <w:t>0.20</w:t>
            </w:r>
          </w:p>
        </w:tc>
        <w:tc>
          <w:tcPr>
            <w:tcW w:type="dxa" w:w="2484"/>
          </w:tcPr>
          <w:p>
            <w:r>
              <w:t>Provides additional regularisation.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t>Hidden 3</w:t>
            </w:r>
          </w:p>
        </w:tc>
        <w:tc>
          <w:tcPr>
            <w:tcW w:type="dxa" w:w="2484"/>
          </w:tcPr>
          <w:p>
            <w:r>
              <w:t>8</w:t>
            </w:r>
          </w:p>
        </w:tc>
        <w:tc>
          <w:tcPr>
            <w:tcW w:type="dxa" w:w="2484"/>
          </w:tcPr>
          <w:p>
            <w:r>
              <w:t>ReLU</w:t>
            </w:r>
          </w:p>
        </w:tc>
        <w:tc>
          <w:tcPr>
            <w:tcW w:type="dxa" w:w="2484"/>
          </w:tcPr>
          <w:p>
            <w:r>
              <w:t>Creates a compact representation before classification.</w:t>
            </w:r>
          </w:p>
        </w:tc>
      </w:tr>
      <w:tr>
        <w:trPr>
          <w:cantSplit/>
        </w:trPr>
        <w:tc>
          <w:tcPr>
            <w:tcW w:type="dxa" w:w="2484"/>
          </w:tcPr>
          <w:p>
            <w:r>
              <w:t>Output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Sigmoid probability at inference</w:t>
            </w:r>
          </w:p>
        </w:tc>
        <w:tc>
          <w:tcPr>
            <w:tcW w:type="dxa" w:w="2484"/>
          </w:tcPr>
          <w:p>
            <w:r>
              <w:t>Produces the probability of customer churn from 0 to 1.</w:t>
            </w:r>
          </w:p>
        </w:tc>
      </w:tr>
    </w:tbl>
    <w:p>
      <w:pPr>
        <w:pStyle w:val="Heading1"/>
      </w:pPr>
      <w:r>
        <w:t>4. Training Configuration</w:t>
      </w:r>
    </w:p>
    <w:p>
      <w:pPr>
        <w:pStyle w:val="ListBullet"/>
      </w:pPr>
      <w:r>
        <w:t>Optimiser: Adam with learning rate 0.001.</w:t>
      </w:r>
    </w:p>
    <w:p>
      <w:pPr>
        <w:pStyle w:val="ListBullet"/>
      </w:pPr>
      <w:r>
        <w:t>Loss: weighted binary cross-entropy (BCEWithLogitsLoss) with churn-class weight 1.5 to improve sensitivity to the minority churn class.</w:t>
      </w:r>
    </w:p>
    <w:p>
      <w:pPr>
        <w:pStyle w:val="ListBullet"/>
      </w:pPr>
      <w:r>
        <w:t>Validation: 15% of the Stage 2 training set is reserved as a stratified validation subset. The Stage 2 test set is not used for model fitting or model selection.</w:t>
      </w:r>
    </w:p>
    <w:p>
      <w:pPr>
        <w:pStyle w:val="ListBullet"/>
      </w:pPr>
      <w:r>
        <w:t>Maximum epochs: 200, with early stopping patience of 15 epochs based on validation loss.</w:t>
      </w:r>
    </w:p>
    <w:p>
      <w:pPr>
        <w:pStyle w:val="ListBullet"/>
      </w:pPr>
      <w:r>
        <w:t>Random seed: 42 for reproducibility.</w:t>
      </w:r>
    </w:p>
    <w:p>
      <w:pPr>
        <w:pStyle w:val="ListBullet"/>
      </w:pPr>
      <w:r>
        <w:t>Classification threshold: 0.50.</w:t>
      </w:r>
    </w:p>
    <w:p>
      <w:pPr>
        <w:pStyle w:val="Heading1"/>
      </w:pPr>
      <w:r>
        <w:t>5. Evaluation Measures</w:t>
      </w:r>
    </w:p>
    <w:p>
      <w:r>
        <w:t>Performance is assessed on the untouched Stage 2 test set using accuracy, precision, recall, F1-score, ROC-AUC and a confusion matrix. Accuracy shows overall correctness, while precision, recall and F1-score provide a more useful view of churn-class performance when the classes are imbalanced. ROC-AUC measures ranking performance across classification thresholds.</w:t>
      </w:r>
    </w:p>
    <w:p>
      <w:pPr>
        <w:pStyle w:val="Heading1"/>
      </w:pPr>
      <w:r>
        <w:t>6. Final Test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Result</w:t>
            </w:r>
          </w:p>
        </w:tc>
      </w:tr>
      <w:tr>
        <w:tc>
          <w:tcPr>
            <w:tcW w:type="dxa" w:w="4968"/>
          </w:tcPr>
          <w:p>
            <w:r>
              <w:t>Accuracy</w:t>
            </w:r>
          </w:p>
        </w:tc>
        <w:tc>
          <w:tcPr>
            <w:tcW w:type="dxa" w:w="4968"/>
          </w:tcPr>
          <w:p>
            <w:r>
              <w:t>77.29%</w:t>
            </w:r>
          </w:p>
        </w:tc>
      </w:tr>
      <w:tr>
        <w:tc>
          <w:tcPr>
            <w:tcW w:type="dxa" w:w="4968"/>
          </w:tcPr>
          <w:p>
            <w:r>
              <w:t>Precision – churn</w:t>
            </w:r>
          </w:p>
        </w:tc>
        <w:tc>
          <w:tcPr>
            <w:tcW w:type="dxa" w:w="4968"/>
          </w:tcPr>
          <w:p>
            <w:r>
              <w:t>56.92%</w:t>
            </w:r>
          </w:p>
        </w:tc>
      </w:tr>
      <w:tr>
        <w:tc>
          <w:tcPr>
            <w:tcW w:type="dxa" w:w="4968"/>
          </w:tcPr>
          <w:p>
            <w:r>
              <w:t>Recall – churn</w:t>
            </w:r>
          </w:p>
        </w:tc>
        <w:tc>
          <w:tcPr>
            <w:tcW w:type="dxa" w:w="4968"/>
          </w:tcPr>
          <w:p>
            <w:r>
              <w:t>59.36%</w:t>
            </w:r>
          </w:p>
        </w:tc>
      </w:tr>
      <w:tr>
        <w:tc>
          <w:tcPr>
            <w:tcW w:type="dxa" w:w="4968"/>
          </w:tcPr>
          <w:p>
            <w:r>
              <w:t>F1-score – churn</w:t>
            </w:r>
          </w:p>
        </w:tc>
        <w:tc>
          <w:tcPr>
            <w:tcW w:type="dxa" w:w="4968"/>
          </w:tcPr>
          <w:p>
            <w:r>
              <w:t>58.12%</w:t>
            </w:r>
          </w:p>
        </w:tc>
      </w:tr>
      <w:tr>
        <w:tc>
          <w:tcPr>
            <w:tcW w:type="dxa" w:w="4968"/>
          </w:tcPr>
          <w:p>
            <w:r>
              <w:t>ROC-AUC</w:t>
            </w:r>
          </w:p>
        </w:tc>
        <w:tc>
          <w:tcPr>
            <w:tcW w:type="dxa" w:w="4968"/>
          </w:tcPr>
          <w:p>
            <w:r>
              <w:t>0.8046</w:t>
            </w:r>
          </w:p>
        </w:tc>
      </w:tr>
      <w:tr>
        <w:tc>
          <w:tcPr>
            <w:tcW w:type="dxa" w:w="4968"/>
          </w:tcPr>
          <w:p>
            <w:r>
              <w:t>Confusion matrix</w:t>
            </w:r>
          </w:p>
        </w:tc>
        <w:tc>
          <w:tcPr>
            <w:tcW w:type="dxa" w:w="4968"/>
          </w:tcPr>
          <w:p>
            <w:r>
              <w:t>TN 867 | FP 168 | FN 152 | TP 222</w:t>
            </w:r>
          </w:p>
        </w:tc>
      </w:tr>
      <w:tr>
        <w:tc>
          <w:tcPr>
            <w:tcW w:type="dxa" w:w="4968"/>
          </w:tcPr>
          <w:p>
            <w:r>
              <w:t>Best epoch</w:t>
            </w:r>
          </w:p>
        </w:tc>
        <w:tc>
          <w:tcPr>
            <w:tcW w:type="dxa" w:w="4968"/>
          </w:tcPr>
          <w:p>
            <w:r>
              <w:t>127</w:t>
            </w:r>
          </w:p>
        </w:tc>
      </w:tr>
    </w:tbl>
    <w:p>
      <w:r>
        <w:t>Interpretation: the model correctly classifies about 77% of test customers and has useful discrimination between churners and non-churners (ROC-AUC ≈ 0.80). The class weighting improves attention to churners, but false negatives remain, so predictions should support—not replace—business judgement and ongoing model monitoring.</w:t>
      </w:r>
    </w:p>
    <w:p>
      <w:pPr>
        <w:pStyle w:val="Heading1"/>
      </w:pPr>
      <w:r>
        <w:t>7. Predictive Factors and Model Interpretation</w:t>
      </w:r>
    </w:p>
    <w:p>
      <w:r>
        <w:t>Permutation importance was calculated by shuffling one input at a time and measuring the resulting decrease in test ROC-AUC. Tenure and MonthlyCharges produced the largest decreases and were therefore the strongest individual predictive inputs in this trained ANN. SeniorCitizen, gender and phone-service indicators showed smaller effects. Because ANN inputs can interact and several variables are one-hot encoded, these values indicate predictive contribution rather than causation.</w:t>
      </w:r>
    </w:p>
    <w:p>
      <w:pPr>
        <w:pStyle w:val="Heading1"/>
      </w:pPr>
      <w:r>
        <w:t>8. Reproducibility and Saved Model</w:t>
      </w:r>
    </w:p>
    <w:p>
      <w:r>
        <w:t>The trained checkpoint is saved as Model/trained_ann_model.pt. It contains the learned model parameters, input feature names, architecture metadata, dropout rate, classification threshold and random seed. The complete training workflow is provided in Code/train_ann.py and Code/ANN_Churn_Model.ipynb, with evaluation outputs stored in the Results folder.</w:t>
      </w:r>
    </w:p>
    <w:p>
      <w:pPr>
        <w:pStyle w:val="Heading1"/>
      </w:pPr>
      <w:r>
        <w:t>9. Design Rationale</w:t>
      </w:r>
    </w:p>
    <w:p>
      <w:r>
        <w:t>The architecture is intentionally compact because the dataset has 16 input features and approximately seven thousand customer records. ReLU hidden layers allow non-linear patterns to be learned, dropout helps control overfitting, Adam provides stable gradient-based optimisation, and early stopping limits unnecessary training once validation performance stops improving. The single binary output is appropriate because churn is a two-class prediction problem.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