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Regression 2.1</w:t>
        <w:br/>
        <w:t>Goal-difference prediction</w:t>
      </w:r>
    </w:p>
    <w:p>
      <w:pPr>
        <w:pStyle w:val="SmallNote"/>
      </w:pPr>
      <w:r>
        <w:t>HIT140 Foundations of Data Science  |  Assessment 3  |  Updated scientific evaluation</w:t>
      </w:r>
    </w:p>
    <w:p>
      <w:pPr>
        <w:pStyle w:val="SmallNote"/>
      </w:pPr>
      <w:r>
        <w:t>Contributor: Bibek  •  Latest dataset: regression_2_1_dataset_latest.csv  •  Evaluation date: 15 October 2026</w:t>
      </w:r>
    </w:p>
    <w:p>
      <w:pPr>
        <w:pStyle w:val="Heading1"/>
      </w:pPr>
      <w:r>
        <w:t>Executive overview</w:t>
      </w:r>
    </w:p>
    <w:p>
      <w:r>
        <w:t>This report supersedes the earlier Regression_2_1_Reviewed_Report.docx results. It uses the updated 104-match dataset and the newly generated results_latest outputs. The analysis compares six model families under the required 70/30 and 80/20 train/test splits (seed 42), with 200 repeated splits per ratio. All eight pre-specified predictors remain in the input dataset.</w:t>
      </w:r>
    </w:p>
    <w:p>
      <w:pPr>
        <w:pStyle w:val="Heading2"/>
      </w:pPr>
      <w:r>
        <w:t>Key findings</w:t>
      </w:r>
    </w:p>
    <w:tbl>
      <w:tblPr>
        <w:tblStyle w:val="TableGrid"/>
        <w:tblW w:type="auto" w:w="0"/>
        <w:jc w:val="center"/>
        <w:tblLayout w:type="fixed"/>
        <w:tblLook w:firstColumn="1" w:firstRow="1" w:lastColumn="0" w:lastRow="0" w:noHBand="0" w:noVBand="1" w:val="04A0"/>
      </w:tblPr>
      <w:tblGrid>
        <w:gridCol w:w="4176"/>
        <w:gridCol w:w="2592"/>
        <w:gridCol w:w="2592"/>
      </w:tblGrid>
      <w:tr>
        <w:trPr>
          <w:cantSplit/>
          <w:tblHeader w:val="true"/>
        </w:trPr>
        <w:tc>
          <w:tcPr>
            <w:tcW w:type="dxa" w:w="4176"/>
            <w:shd w:fill="DCE7F3"/>
          </w:tcPr>
          <w:p>
            <w:pPr>
              <w:spacing w:after="20" w:before="20"/>
            </w:pPr>
            <w:r>
              <w:rPr>
                <w:b/>
                <w:color w:val="162B43"/>
                <w:sz w:val="17"/>
              </w:rPr>
              <w:t>Measure</w:t>
            </w:r>
          </w:p>
        </w:tc>
        <w:tc>
          <w:tcPr>
            <w:tcW w:type="dxa" w:w="2592"/>
            <w:shd w:fill="DCE7F3"/>
          </w:tcPr>
          <w:p>
            <w:pPr>
              <w:spacing w:after="20" w:before="20"/>
            </w:pPr>
            <w:r>
              <w:rPr>
                <w:b/>
                <w:color w:val="162B43"/>
                <w:sz w:val="17"/>
              </w:rPr>
              <w:t>70/30 repeated tests</w:t>
            </w:r>
          </w:p>
        </w:tc>
        <w:tc>
          <w:tcPr>
            <w:tcW w:type="dxa" w:w="2592"/>
            <w:shd w:fill="DCE7F3"/>
          </w:tcPr>
          <w:p>
            <w:pPr>
              <w:spacing w:after="20" w:before="20"/>
            </w:pPr>
            <w:r>
              <w:rPr>
                <w:b/>
                <w:color w:val="162B43"/>
                <w:sz w:val="17"/>
              </w:rPr>
              <w:t>80/20 repeated tests</w:t>
            </w:r>
          </w:p>
        </w:tc>
      </w:tr>
      <w:tr>
        <w:trPr>
          <w:cantSplit/>
        </w:trPr>
        <w:tc>
          <w:tcPr>
            <w:tcW w:type="dxa" w:w="4176"/>
            <w:vAlign w:val="center"/>
          </w:tcPr>
          <w:p>
            <w:pPr>
              <w:spacing w:after="20" w:before="20"/>
            </w:pPr>
            <w:r>
              <w:rPr>
                <w:color w:val="162B43"/>
                <w:sz w:val="17"/>
              </w:rPr>
              <w:t>Lasso mean test R²</w:t>
            </w:r>
          </w:p>
        </w:tc>
        <w:tc>
          <w:tcPr>
            <w:tcW w:type="dxa" w:w="2592"/>
            <w:vAlign w:val="center"/>
          </w:tcPr>
          <w:p>
            <w:pPr>
              <w:spacing w:after="20" w:before="20"/>
            </w:pPr>
            <w:r>
              <w:rPr>
                <w:color w:val="162B43"/>
                <w:sz w:val="17"/>
              </w:rPr>
              <w:t>0.321</w:t>
            </w:r>
          </w:p>
        </w:tc>
        <w:tc>
          <w:tcPr>
            <w:tcW w:type="dxa" w:w="2592"/>
            <w:vAlign w:val="center"/>
          </w:tcPr>
          <w:p>
            <w:pPr>
              <w:spacing w:after="20" w:before="20"/>
            </w:pPr>
            <w:r>
              <w:rPr>
                <w:color w:val="162B43"/>
                <w:sz w:val="17"/>
              </w:rPr>
              <w:t>0.315</w:t>
            </w:r>
          </w:p>
        </w:tc>
      </w:tr>
      <w:tr>
        <w:trPr>
          <w:cantSplit/>
        </w:trPr>
        <w:tc>
          <w:tcPr>
            <w:tcW w:type="dxa" w:w="4176"/>
            <w:vAlign w:val="center"/>
            <w:shd w:fill="F6F9FC"/>
          </w:tcPr>
          <w:p>
            <w:pPr>
              <w:spacing w:after="20" w:before="20"/>
            </w:pPr>
            <w:r>
              <w:rPr>
                <w:color w:val="162B43"/>
                <w:sz w:val="17"/>
              </w:rPr>
              <w:t>Lasso test R² standard deviation</w:t>
            </w:r>
          </w:p>
        </w:tc>
        <w:tc>
          <w:tcPr>
            <w:tcW w:type="dxa" w:w="2592"/>
            <w:vAlign w:val="center"/>
            <w:shd w:fill="F6F9FC"/>
          </w:tcPr>
          <w:p>
            <w:pPr>
              <w:spacing w:after="20" w:before="20"/>
            </w:pPr>
            <w:r>
              <w:rPr>
                <w:color w:val="162B43"/>
                <w:sz w:val="17"/>
              </w:rPr>
              <w:t>0.178</w:t>
            </w:r>
          </w:p>
        </w:tc>
        <w:tc>
          <w:tcPr>
            <w:tcW w:type="dxa" w:w="2592"/>
            <w:vAlign w:val="center"/>
            <w:shd w:fill="F6F9FC"/>
          </w:tcPr>
          <w:p>
            <w:pPr>
              <w:spacing w:after="20" w:before="20"/>
            </w:pPr>
            <w:r>
              <w:rPr>
                <w:color w:val="162B43"/>
                <w:sz w:val="17"/>
              </w:rPr>
              <w:t>0.221</w:t>
            </w:r>
          </w:p>
        </w:tc>
      </w:tr>
      <w:tr>
        <w:trPr>
          <w:cantSplit/>
        </w:trPr>
        <w:tc>
          <w:tcPr>
            <w:tcW w:type="dxa" w:w="4176"/>
            <w:vAlign w:val="center"/>
          </w:tcPr>
          <w:p>
            <w:pPr>
              <w:spacing w:after="20" w:before="20"/>
            </w:pPr>
            <w:r>
              <w:rPr>
                <w:color w:val="162B43"/>
                <w:sz w:val="17"/>
              </w:rPr>
              <w:t>Lasso mean test NRMSE</w:t>
            </w:r>
          </w:p>
        </w:tc>
        <w:tc>
          <w:tcPr>
            <w:tcW w:type="dxa" w:w="2592"/>
            <w:vAlign w:val="center"/>
          </w:tcPr>
          <w:p>
            <w:pPr>
              <w:spacing w:after="20" w:before="20"/>
            </w:pPr>
            <w:r>
              <w:rPr>
                <w:color w:val="162B43"/>
                <w:sz w:val="17"/>
              </w:rPr>
              <w:t>18.70%</w:t>
            </w:r>
          </w:p>
        </w:tc>
        <w:tc>
          <w:tcPr>
            <w:tcW w:type="dxa" w:w="2592"/>
            <w:vAlign w:val="center"/>
          </w:tcPr>
          <w:p>
            <w:pPr>
              <w:spacing w:after="20" w:before="20"/>
            </w:pPr>
            <w:r>
              <w:rPr>
                <w:color w:val="162B43"/>
                <w:sz w:val="17"/>
              </w:rPr>
              <w:t>20.54%</w:t>
            </w:r>
          </w:p>
        </w:tc>
      </w:tr>
      <w:tr>
        <w:trPr>
          <w:cantSplit/>
        </w:trPr>
        <w:tc>
          <w:tcPr>
            <w:tcW w:type="dxa" w:w="4176"/>
            <w:vAlign w:val="center"/>
            <w:shd w:fill="F6F9FC"/>
          </w:tcPr>
          <w:p>
            <w:pPr>
              <w:spacing w:after="20" w:before="20"/>
            </w:pPr>
            <w:r>
              <w:rPr>
                <w:color w:val="162B43"/>
                <w:sz w:val="17"/>
              </w:rPr>
              <w:t>Lasso mean test RMSE (goals)</w:t>
            </w:r>
          </w:p>
        </w:tc>
        <w:tc>
          <w:tcPr>
            <w:tcW w:type="dxa" w:w="2592"/>
            <w:vAlign w:val="center"/>
            <w:shd w:fill="F6F9FC"/>
          </w:tcPr>
          <w:p>
            <w:pPr>
              <w:spacing w:after="20" w:before="20"/>
            </w:pPr>
            <w:r>
              <w:rPr>
                <w:color w:val="162B43"/>
                <w:sz w:val="17"/>
              </w:rPr>
              <w:t>1.590</w:t>
            </w:r>
          </w:p>
        </w:tc>
        <w:tc>
          <w:tcPr>
            <w:tcW w:type="dxa" w:w="2592"/>
            <w:vAlign w:val="center"/>
            <w:shd w:fill="F6F9FC"/>
          </w:tcPr>
          <w:p>
            <w:pPr>
              <w:spacing w:after="20" w:before="20"/>
            </w:pPr>
            <w:r>
              <w:rPr>
                <w:color w:val="162B43"/>
                <w:sz w:val="17"/>
              </w:rPr>
              <w:t>1.573</w:t>
            </w:r>
          </w:p>
        </w:tc>
      </w:tr>
      <w:tr>
        <w:trPr>
          <w:cantSplit/>
        </w:trPr>
        <w:tc>
          <w:tcPr>
            <w:tcW w:type="dxa" w:w="4176"/>
            <w:vAlign w:val="center"/>
          </w:tcPr>
          <w:p>
            <w:pPr>
              <w:spacing w:after="20" w:before="20"/>
            </w:pPr>
            <w:r>
              <w:rPr>
                <w:color w:val="162B43"/>
                <w:sz w:val="17"/>
              </w:rPr>
              <w:t>Lasso mean test MAE (goals)</w:t>
            </w:r>
          </w:p>
        </w:tc>
        <w:tc>
          <w:tcPr>
            <w:tcW w:type="dxa" w:w="2592"/>
            <w:vAlign w:val="center"/>
          </w:tcPr>
          <w:p>
            <w:pPr>
              <w:spacing w:after="20" w:before="20"/>
            </w:pPr>
            <w:r>
              <w:rPr>
                <w:color w:val="162B43"/>
                <w:sz w:val="17"/>
              </w:rPr>
              <w:t>1.236</w:t>
            </w:r>
          </w:p>
        </w:tc>
        <w:tc>
          <w:tcPr>
            <w:tcW w:type="dxa" w:w="2592"/>
            <w:vAlign w:val="center"/>
          </w:tcPr>
          <w:p>
            <w:pPr>
              <w:spacing w:after="20" w:before="20"/>
            </w:pPr>
            <w:r>
              <w:rPr>
                <w:color w:val="162B43"/>
                <w:sz w:val="17"/>
              </w:rPr>
              <w:t>1.228</w:t>
            </w:r>
          </w:p>
        </w:tc>
      </w:tr>
    </w:tbl>
    <w:p>
      <w:r>
        <w:t>Lasso produced the highest average held-out R² and lowest mean held-out NRMSE at both ratios. Its split-to-split R² variation is substantial, so these mean scores should not be treated as guaranteed future accuracy. The fixed-seed 80/20 test instead favoured Random Forest, illustrating why repeated evaluations matter.</w:t>
      </w:r>
    </w:p>
    <w:p>
      <w:r>
        <w:rPr>
          <w:b/>
        </w:rPr>
        <w:t xml:space="preserve">Conditional model recommendation. </w:t>
      </w:r>
      <w:r>
        <w:t>Use tuned Lasso as the accuracy leader if the requirement is to retain all eight supplied input columns. If the eight predictors must all have non-zero fitted coefficients, use Ridge as the primary regularised model; Lasso sets several coefficients exactly to zero.</w:t>
      </w:r>
    </w:p>
    <w:p>
      <w:pPr>
        <w:pStyle w:val="Heading2"/>
      </w:pPr>
      <w:r>
        <w:t>Audit status</w:t>
      </w:r>
    </w:p>
    <w:p>
      <w:r>
        <w:t>The new modelling outputs are internally consistent. The official 11 June 2026 FIFA ranking was published before the World Cup began, supporting its timing as a pre-tournament input. Nevertheless, the ZIP contains older pre-tournament source CSVs alongside the newly rebuilt modelling CSV; the dated upstream replacement files must be archived consistently before claiming complete end-to-end reproducibility.</w:t>
      </w:r>
    </w:p>
    <w:p>
      <w:pPr>
        <w:pStyle w:val="SmallNote"/>
      </w:pPr>
      <w:r>
        <w:t>Source basis: supplied ZIP, especially results_latest/regression_2_1_model_details.csv, regression_2_1_repeated_summary.csv, regression_2_1_diagnostic_tests.csv and regression_2_1_dataset_latest.csv.</w:t>
      </w:r>
    </w:p>
    <w:p>
      <w:r>
        <w:br w:type="page"/>
      </w:r>
    </w:p>
    <w:p>
      <w:pPr>
        <w:pStyle w:val="Heading1"/>
      </w:pPr>
      <w:r>
        <w:t>1. Dataset, target and predictor definitions</w:t>
      </w:r>
    </w:p>
    <w:p>
      <w:r>
        <w:t>Regression 2.1 has one observation per FIFA World Cup 2026 match (n = 104), with 104 unique match IDs, no missing required model cells and eight locked numerical predictors. The target is goal_difference = home_goals − away_goals. A positive value favours the home/team-A side; a negative value favours the away/team-B side.</w:t>
      </w:r>
    </w:p>
    <w:tbl>
      <w:tblPr>
        <w:tblStyle w:val="TableGrid"/>
        <w:tblW w:type="auto" w:w="0"/>
        <w:jc w:val="center"/>
        <w:tblLayout w:type="fixed"/>
        <w:tblLook w:firstColumn="1" w:firstRow="1" w:lastColumn="0" w:lastRow="0" w:noHBand="0" w:noVBand="1" w:val="04A0"/>
      </w:tblPr>
      <w:tblGrid>
        <w:gridCol w:w="4349"/>
        <w:gridCol w:w="5011"/>
      </w:tblGrid>
      <w:tr>
        <w:trPr>
          <w:cantSplit/>
          <w:tblHeader w:val="true"/>
        </w:trPr>
        <w:tc>
          <w:tcPr>
            <w:tcW w:type="dxa" w:w="4349"/>
            <w:shd w:fill="DCE7F3"/>
          </w:tcPr>
          <w:p>
            <w:pPr>
              <w:spacing w:after="20" w:before="20"/>
            </w:pPr>
            <w:r>
              <w:rPr>
                <w:b/>
                <w:color w:val="162B43"/>
                <w:sz w:val="15"/>
              </w:rPr>
              <w:t>Predictor</w:t>
            </w:r>
          </w:p>
        </w:tc>
        <w:tc>
          <w:tcPr>
            <w:tcW w:type="dxa" w:w="5011"/>
            <w:shd w:fill="DCE7F3"/>
          </w:tcPr>
          <w:p>
            <w:pPr>
              <w:spacing w:after="20" w:before="20"/>
            </w:pPr>
            <w:r>
              <w:rPr>
                <w:b/>
                <w:color w:val="162B43"/>
                <w:sz w:val="15"/>
              </w:rPr>
              <w:t>Interpretation</w:t>
            </w:r>
          </w:p>
        </w:tc>
      </w:tr>
      <w:tr>
        <w:trPr>
          <w:cantSplit/>
        </w:trPr>
        <w:tc>
          <w:tcPr>
            <w:tcW w:type="dxa" w:w="4349"/>
            <w:vAlign w:val="center"/>
          </w:tcPr>
          <w:p>
            <w:pPr>
              <w:spacing w:after="20" w:before="20"/>
            </w:pPr>
            <w:r>
              <w:rPr>
                <w:color w:val="162B43"/>
                <w:sz w:val="15"/>
              </w:rPr>
              <w:t>fifa_points_difference</w:t>
            </w:r>
          </w:p>
        </w:tc>
        <w:tc>
          <w:tcPr>
            <w:tcW w:type="dxa" w:w="5011"/>
            <w:vAlign w:val="center"/>
          </w:tcPr>
          <w:p>
            <w:pPr>
              <w:spacing w:after="20" w:before="20"/>
            </w:pPr>
            <w:r>
              <w:rPr>
                <w:color w:val="162B43"/>
                <w:sz w:val="15"/>
              </w:rPr>
              <w:t>FIFA ranking points: home minus away</w:t>
            </w:r>
          </w:p>
        </w:tc>
      </w:tr>
      <w:tr>
        <w:trPr>
          <w:cantSplit/>
        </w:trPr>
        <w:tc>
          <w:tcPr>
            <w:tcW w:type="dxa" w:w="4349"/>
            <w:vAlign w:val="center"/>
            <w:shd w:fill="F6F9FC"/>
          </w:tcPr>
          <w:p>
            <w:pPr>
              <w:spacing w:after="20" w:before="20"/>
            </w:pPr>
            <w:r>
              <w:rPr>
                <w:color w:val="162B43"/>
                <w:sz w:val="15"/>
              </w:rPr>
              <w:t>points_per_match_difference</w:t>
            </w:r>
          </w:p>
        </w:tc>
        <w:tc>
          <w:tcPr>
            <w:tcW w:type="dxa" w:w="5011"/>
            <w:vAlign w:val="center"/>
            <w:shd w:fill="F6F9FC"/>
          </w:tcPr>
          <w:p>
            <w:pPr>
              <w:spacing w:after="20" w:before="20"/>
            </w:pPr>
            <w:r>
              <w:rPr>
                <w:color w:val="162B43"/>
                <w:sz w:val="15"/>
              </w:rPr>
              <w:t>Prior points earned per match: home minus away</w:t>
            </w:r>
          </w:p>
        </w:tc>
      </w:tr>
      <w:tr>
        <w:trPr>
          <w:cantSplit/>
        </w:trPr>
        <w:tc>
          <w:tcPr>
            <w:tcW w:type="dxa" w:w="4349"/>
            <w:vAlign w:val="center"/>
          </w:tcPr>
          <w:p>
            <w:pPr>
              <w:spacing w:after="20" w:before="20"/>
            </w:pPr>
            <w:r>
              <w:rPr>
                <w:color w:val="162B43"/>
                <w:sz w:val="15"/>
              </w:rPr>
              <w:t>avg_goals_scored_difference</w:t>
            </w:r>
          </w:p>
        </w:tc>
        <w:tc>
          <w:tcPr>
            <w:tcW w:type="dxa" w:w="5011"/>
            <w:vAlign w:val="center"/>
          </w:tcPr>
          <w:p>
            <w:pPr>
              <w:spacing w:after="20" w:before="20"/>
            </w:pPr>
            <w:r>
              <w:rPr>
                <w:color w:val="162B43"/>
                <w:sz w:val="15"/>
              </w:rPr>
              <w:t>Prior average goals scored: home minus away</w:t>
            </w:r>
          </w:p>
        </w:tc>
      </w:tr>
      <w:tr>
        <w:trPr>
          <w:cantSplit/>
        </w:trPr>
        <w:tc>
          <w:tcPr>
            <w:tcW w:type="dxa" w:w="4349"/>
            <w:vAlign w:val="center"/>
            <w:shd w:fill="F6F9FC"/>
          </w:tcPr>
          <w:p>
            <w:pPr>
              <w:spacing w:after="20" w:before="20"/>
            </w:pPr>
            <w:r>
              <w:rPr>
                <w:color w:val="162B43"/>
                <w:sz w:val="15"/>
              </w:rPr>
              <w:t>avg_goals_conceded_difference</w:t>
            </w:r>
          </w:p>
        </w:tc>
        <w:tc>
          <w:tcPr>
            <w:tcW w:type="dxa" w:w="5011"/>
            <w:vAlign w:val="center"/>
            <w:shd w:fill="F6F9FC"/>
          </w:tcPr>
          <w:p>
            <w:pPr>
              <w:spacing w:after="20" w:before="20"/>
            </w:pPr>
            <w:r>
              <w:rPr>
                <w:color w:val="162B43"/>
                <w:sz w:val="15"/>
              </w:rPr>
              <w:t>Prior average goals conceded: home minus away</w:t>
            </w:r>
          </w:p>
        </w:tc>
      </w:tr>
      <w:tr>
        <w:trPr>
          <w:cantSplit/>
        </w:trPr>
        <w:tc>
          <w:tcPr>
            <w:tcW w:type="dxa" w:w="4349"/>
            <w:vAlign w:val="center"/>
          </w:tcPr>
          <w:p>
            <w:pPr>
              <w:spacing w:after="20" w:before="20"/>
            </w:pPr>
            <w:r>
              <w:rPr>
                <w:color w:val="162B43"/>
                <w:sz w:val="15"/>
              </w:rPr>
              <w:t>scoring_match_rate_difference</w:t>
            </w:r>
          </w:p>
        </w:tc>
        <w:tc>
          <w:tcPr>
            <w:tcW w:type="dxa" w:w="5011"/>
            <w:vAlign w:val="center"/>
          </w:tcPr>
          <w:p>
            <w:pPr>
              <w:spacing w:after="20" w:before="20"/>
            </w:pPr>
            <w:r>
              <w:rPr>
                <w:color w:val="162B43"/>
                <w:sz w:val="15"/>
              </w:rPr>
              <w:t>Prior proportion of matches with ≥1 goal: home minus away</w:t>
            </w:r>
          </w:p>
        </w:tc>
      </w:tr>
      <w:tr>
        <w:trPr>
          <w:cantSplit/>
        </w:trPr>
        <w:tc>
          <w:tcPr>
            <w:tcW w:type="dxa" w:w="4349"/>
            <w:vAlign w:val="center"/>
            <w:shd w:fill="F6F9FC"/>
          </w:tcPr>
          <w:p>
            <w:pPr>
              <w:spacing w:after="20" w:before="20"/>
            </w:pPr>
            <w:r>
              <w:rPr>
                <w:color w:val="162B43"/>
                <w:sz w:val="15"/>
              </w:rPr>
              <w:t>scoring_consistency_difference</w:t>
            </w:r>
          </w:p>
        </w:tc>
        <w:tc>
          <w:tcPr>
            <w:tcW w:type="dxa" w:w="5011"/>
            <w:vAlign w:val="center"/>
            <w:shd w:fill="F6F9FC"/>
          </w:tcPr>
          <w:p>
            <w:pPr>
              <w:spacing w:after="20" w:before="20"/>
            </w:pPr>
            <w:r>
              <w:rPr>
                <w:color w:val="162B43"/>
                <w:sz w:val="15"/>
              </w:rPr>
              <w:t>Prior scoring standard deviation: home minus away</w:t>
            </w:r>
          </w:p>
        </w:tc>
      </w:tr>
      <w:tr>
        <w:trPr>
          <w:cantSplit/>
        </w:trPr>
        <w:tc>
          <w:tcPr>
            <w:tcW w:type="dxa" w:w="4349"/>
            <w:vAlign w:val="center"/>
          </w:tcPr>
          <w:p>
            <w:pPr>
              <w:spacing w:after="20" w:before="20"/>
            </w:pPr>
            <w:r>
              <w:rPr>
                <w:color w:val="162B43"/>
                <w:sz w:val="15"/>
              </w:rPr>
              <w:t>clean_sheet_rate_difference</w:t>
            </w:r>
          </w:p>
        </w:tc>
        <w:tc>
          <w:tcPr>
            <w:tcW w:type="dxa" w:w="5011"/>
            <w:vAlign w:val="center"/>
          </w:tcPr>
          <w:p>
            <w:pPr>
              <w:spacing w:after="20" w:before="20"/>
            </w:pPr>
            <w:r>
              <w:rPr>
                <w:color w:val="162B43"/>
                <w:sz w:val="15"/>
              </w:rPr>
              <w:t>Prior proportion of clean sheets: home minus away</w:t>
            </w:r>
          </w:p>
        </w:tc>
      </w:tr>
      <w:tr>
        <w:trPr>
          <w:cantSplit/>
        </w:trPr>
        <w:tc>
          <w:tcPr>
            <w:tcW w:type="dxa" w:w="4349"/>
            <w:vAlign w:val="center"/>
            <w:shd w:fill="F6F9FC"/>
          </w:tcPr>
          <w:p>
            <w:pPr>
              <w:spacing w:after="20" w:before="20"/>
            </w:pPr>
            <w:r>
              <w:rPr>
                <w:color w:val="162B43"/>
                <w:sz w:val="15"/>
              </w:rPr>
              <w:t>host_country_indicator</w:t>
            </w:r>
          </w:p>
        </w:tc>
        <w:tc>
          <w:tcPr>
            <w:tcW w:type="dxa" w:w="5011"/>
            <w:vAlign w:val="center"/>
            <w:shd w:fill="F6F9FC"/>
          </w:tcPr>
          <w:p>
            <w:pPr>
              <w:spacing w:after="20" w:before="20"/>
            </w:pPr>
            <w:r>
              <w:rPr>
                <w:color w:val="162B43"/>
                <w:sz w:val="15"/>
              </w:rPr>
              <w:t>Signed host flag: +1 home host, −1 away host, 0 otherwise</w:t>
            </w:r>
          </w:p>
        </w:tc>
      </w:tr>
    </w:tbl>
    <w:p>
      <w:pPr>
        <w:pStyle w:val="Heading2"/>
      </w:pPr>
      <w:r>
        <w:t>1.1 Updated historical-feature dataset</w:t>
      </w:r>
    </w:p>
    <w:p>
      <w:r>
        <w:t>The latest modelling CSV differs from the preceding regression_2_1_dataset_corrected.csv in 54 historical predictor cells across nine opening-round matches. Goal outcomes, FIFA-point differences, signed host indicators and the remaining match rows are unchanged. The newer values reflect the replenished five-match historical baselines supplied during the audit.</w:t>
      </w:r>
    </w:p>
    <w:p>
      <w:r>
        <w:t>In the ZIP provided for this report, pre_tournament_matches.csv is still an older copy containing 18 team-level records dated on or after 11 June 2026. Its associated baseline CSV is likewise not the newly regenerated source. These older files must not be cited as the direct upstream inputs of regression_2_1_dataset_latest.csv. The model-integrity output still marks independent verification of all six historical-form inputs as incomplete; that is a documentation limitation, not a newly detected numerical mismatch.</w:t>
      </w:r>
    </w:p>
    <w:p>
      <w:r>
        <w:br w:type="page"/>
      </w:r>
    </w:p>
    <w:p>
      <w:pPr>
        <w:pStyle w:val="Heading1"/>
      </w:pPr>
      <w:r>
        <w:t>2. Evaluation design and safeguards</w:t>
      </w:r>
    </w:p>
    <w:p>
      <w:r>
        <w:t>The comparison comprises a mean-only dummy baseline, ordinary multiple linear regression (OLS), tuned Ridge, tuned Lasso, tuned Random Forest and tuned Gradient Boosting. All models use the same held-out match observations for a given random seed. The 70/30 split has 72 training and 32 test matches; the 80/20 split has 83 training and 21 test matches. No random split is grouped by team.</w:t>
      </w:r>
    </w:p>
    <w:p>
      <w:r>
        <w:t>For each outer training set, Ridge, Lasso, Random Forest and Gradient Boosting are tuned by shuffled five-fold cross-validation on training rows only. StandardScaler is included inside the Ridge and Lasso pipelines, so transformation parameters are learned within each CV fold rather than from held-out data. The hyperparameter search is deliberately limited; results describe those candidate grids, not all possible model configurations.</w:t>
      </w:r>
    </w:p>
    <w:p>
      <w:r>
        <w:t>Metrics: R² measures explanatory performance relative to a mean predictor. RMSE and MAE are in goals. NRMSE = RMSE / [max(observed goal difference) − min(observed goal difference)] for the relevant scored partition, shown as a percentage. The observed target range can vary by repeated test subset, so RMSE/MAE complement NRMSE. The repeated trial seeds are 42–241 (200 repeats per split).</w:t>
      </w:r>
    </w:p>
    <w:p>
      <w:pPr>
        <w:pStyle w:val="Heading1"/>
      </w:pPr>
      <w:r>
        <w:t>3. Fixed-seed held-out performance</w:t>
      </w:r>
    </w:p>
    <w:p>
      <w:pPr>
        <w:pStyle w:val="FigureCaption"/>
      </w:pPr>
      <w:r>
        <w:t>Table 1. Seed-42 70/30 test comparison (n test = 32).</w:t>
      </w:r>
    </w:p>
    <w:tbl>
      <w:tblPr>
        <w:tblStyle w:val="TableGrid"/>
        <w:tblW w:type="auto" w:w="0"/>
        <w:jc w:val="center"/>
        <w:tblLayout w:type="fixed"/>
        <w:tblLook w:firstColumn="1" w:firstRow="1" w:lastColumn="0" w:lastRow="0" w:noHBand="0" w:noVBand="1" w:val="04A0"/>
      </w:tblPr>
      <w:tblGrid>
        <w:gridCol w:w="2088"/>
        <w:gridCol w:w="1181"/>
        <w:gridCol w:w="1152"/>
        <w:gridCol w:w="1296"/>
        <w:gridCol w:w="1512"/>
        <w:gridCol w:w="1296"/>
      </w:tblGrid>
      <w:tr>
        <w:trPr>
          <w:cantSplit/>
          <w:tblHeader w:val="true"/>
        </w:trPr>
        <w:tc>
          <w:tcPr>
            <w:tcW w:type="dxa" w:w="2088"/>
            <w:shd w:fill="DCE7F3"/>
          </w:tcPr>
          <w:p>
            <w:pPr>
              <w:spacing w:after="20" w:before="20"/>
            </w:pPr>
            <w:r>
              <w:rPr>
                <w:b/>
                <w:color w:val="162B43"/>
                <w:sz w:val="16"/>
              </w:rPr>
              <w:t>Model</w:t>
            </w:r>
          </w:p>
        </w:tc>
        <w:tc>
          <w:tcPr>
            <w:tcW w:type="dxa" w:w="1181"/>
            <w:shd w:fill="DCE7F3"/>
          </w:tcPr>
          <w:p>
            <w:pPr>
              <w:spacing w:after="20" w:before="20"/>
            </w:pPr>
            <w:r>
              <w:rPr>
                <w:b/>
                <w:color w:val="162B43"/>
                <w:sz w:val="16"/>
              </w:rPr>
              <w:t>R² train</w:t>
            </w:r>
          </w:p>
        </w:tc>
        <w:tc>
          <w:tcPr>
            <w:tcW w:type="dxa" w:w="1152"/>
            <w:shd w:fill="DCE7F3"/>
          </w:tcPr>
          <w:p>
            <w:pPr>
              <w:spacing w:after="20" w:before="20"/>
            </w:pPr>
            <w:r>
              <w:rPr>
                <w:b/>
                <w:color w:val="162B43"/>
                <w:sz w:val="16"/>
              </w:rPr>
              <w:t>R² test</w:t>
            </w:r>
          </w:p>
        </w:tc>
        <w:tc>
          <w:tcPr>
            <w:tcW w:type="dxa" w:w="1296"/>
            <w:shd w:fill="DCE7F3"/>
          </w:tcPr>
          <w:p>
            <w:pPr>
              <w:spacing w:after="20" w:before="20"/>
            </w:pPr>
            <w:r>
              <w:rPr>
                <w:b/>
                <w:color w:val="162B43"/>
                <w:sz w:val="16"/>
              </w:rPr>
              <w:t>RMSE</w:t>
            </w:r>
          </w:p>
        </w:tc>
        <w:tc>
          <w:tcPr>
            <w:tcW w:type="dxa" w:w="1512"/>
            <w:shd w:fill="DCE7F3"/>
          </w:tcPr>
          <w:p>
            <w:pPr>
              <w:spacing w:after="20" w:before="20"/>
            </w:pPr>
            <w:r>
              <w:rPr>
                <w:b/>
                <w:color w:val="162B43"/>
                <w:sz w:val="16"/>
              </w:rPr>
              <w:t>NRMSE</w:t>
            </w:r>
          </w:p>
        </w:tc>
        <w:tc>
          <w:tcPr>
            <w:tcW w:type="dxa" w:w="1296"/>
            <w:shd w:fill="DCE7F3"/>
          </w:tcPr>
          <w:p>
            <w:pPr>
              <w:spacing w:after="20" w:before="20"/>
            </w:pPr>
            <w:r>
              <w:rPr>
                <w:b/>
                <w:color w:val="162B43"/>
                <w:sz w:val="16"/>
              </w:rPr>
              <w:t>MAE</w:t>
            </w:r>
          </w:p>
        </w:tc>
      </w:tr>
      <w:tr>
        <w:trPr>
          <w:cantSplit/>
        </w:trPr>
        <w:tc>
          <w:tcPr>
            <w:tcW w:type="dxa" w:w="2088"/>
            <w:vAlign w:val="center"/>
          </w:tcPr>
          <w:p>
            <w:pPr>
              <w:spacing w:after="20" w:before="20"/>
            </w:pPr>
            <w:r>
              <w:rPr>
                <w:color w:val="162B43"/>
                <w:sz w:val="16"/>
              </w:rPr>
              <w:t>Mean baseline</w:t>
            </w:r>
          </w:p>
        </w:tc>
        <w:tc>
          <w:tcPr>
            <w:tcW w:type="dxa" w:w="1181"/>
            <w:vAlign w:val="center"/>
          </w:tcPr>
          <w:p>
            <w:pPr>
              <w:spacing w:after="20" w:before="20"/>
            </w:pPr>
            <w:r>
              <w:rPr>
                <w:color w:val="162B43"/>
                <w:sz w:val="16"/>
              </w:rPr>
              <w:t>0.000</w:t>
            </w:r>
          </w:p>
        </w:tc>
        <w:tc>
          <w:tcPr>
            <w:tcW w:type="dxa" w:w="1152"/>
            <w:vAlign w:val="center"/>
          </w:tcPr>
          <w:p>
            <w:pPr>
              <w:spacing w:after="20" w:before="20"/>
            </w:pPr>
            <w:r>
              <w:rPr>
                <w:color w:val="162B43"/>
                <w:sz w:val="16"/>
              </w:rPr>
              <w:t>-0.003</w:t>
            </w:r>
          </w:p>
        </w:tc>
        <w:tc>
          <w:tcPr>
            <w:tcW w:type="dxa" w:w="1296"/>
            <w:vAlign w:val="center"/>
          </w:tcPr>
          <w:p>
            <w:pPr>
              <w:spacing w:after="20" w:before="20"/>
            </w:pPr>
            <w:r>
              <w:rPr>
                <w:color w:val="162B43"/>
                <w:sz w:val="16"/>
              </w:rPr>
              <w:t>2.182</w:t>
            </w:r>
          </w:p>
        </w:tc>
        <w:tc>
          <w:tcPr>
            <w:tcW w:type="dxa" w:w="1512"/>
            <w:vAlign w:val="center"/>
          </w:tcPr>
          <w:p>
            <w:pPr>
              <w:spacing w:after="20" w:before="20"/>
            </w:pPr>
            <w:r>
              <w:rPr>
                <w:color w:val="162B43"/>
                <w:sz w:val="16"/>
              </w:rPr>
              <w:t>21.82%</w:t>
            </w:r>
          </w:p>
        </w:tc>
        <w:tc>
          <w:tcPr>
            <w:tcW w:type="dxa" w:w="1296"/>
            <w:vAlign w:val="center"/>
          </w:tcPr>
          <w:p>
            <w:pPr>
              <w:spacing w:after="20" w:before="20"/>
            </w:pPr>
            <w:r>
              <w:rPr>
                <w:color w:val="162B43"/>
                <w:sz w:val="16"/>
              </w:rPr>
              <w:t>1.653</w:t>
            </w:r>
          </w:p>
        </w:tc>
      </w:tr>
      <w:tr>
        <w:trPr>
          <w:cantSplit/>
        </w:trPr>
        <w:tc>
          <w:tcPr>
            <w:tcW w:type="dxa" w:w="2088"/>
            <w:vAlign w:val="center"/>
            <w:shd w:fill="F6F9FC"/>
          </w:tcPr>
          <w:p>
            <w:pPr>
              <w:spacing w:after="20" w:before="20"/>
            </w:pPr>
            <w:r>
              <w:rPr>
                <w:color w:val="162B43"/>
                <w:sz w:val="16"/>
              </w:rPr>
              <w:t>OLS</w:t>
            </w:r>
          </w:p>
        </w:tc>
        <w:tc>
          <w:tcPr>
            <w:tcW w:type="dxa" w:w="1181"/>
            <w:vAlign w:val="center"/>
            <w:shd w:fill="F6F9FC"/>
          </w:tcPr>
          <w:p>
            <w:pPr>
              <w:spacing w:after="20" w:before="20"/>
            </w:pPr>
            <w:r>
              <w:rPr>
                <w:color w:val="162B43"/>
                <w:sz w:val="16"/>
              </w:rPr>
              <w:t>0.523</w:t>
            </w:r>
          </w:p>
        </w:tc>
        <w:tc>
          <w:tcPr>
            <w:tcW w:type="dxa" w:w="1152"/>
            <w:vAlign w:val="center"/>
            <w:shd w:fill="F6F9FC"/>
          </w:tcPr>
          <w:p>
            <w:pPr>
              <w:spacing w:after="20" w:before="20"/>
            </w:pPr>
            <w:r>
              <w:rPr>
                <w:color w:val="162B43"/>
                <w:sz w:val="16"/>
              </w:rPr>
              <w:t>0.264</w:t>
            </w:r>
          </w:p>
        </w:tc>
        <w:tc>
          <w:tcPr>
            <w:tcW w:type="dxa" w:w="1296"/>
            <w:vAlign w:val="center"/>
            <w:shd w:fill="F6F9FC"/>
          </w:tcPr>
          <w:p>
            <w:pPr>
              <w:spacing w:after="20" w:before="20"/>
            </w:pPr>
            <w:r>
              <w:rPr>
                <w:color w:val="162B43"/>
                <w:sz w:val="16"/>
              </w:rPr>
              <w:t>1.869</w:t>
            </w:r>
          </w:p>
        </w:tc>
        <w:tc>
          <w:tcPr>
            <w:tcW w:type="dxa" w:w="1512"/>
            <w:vAlign w:val="center"/>
            <w:shd w:fill="F6F9FC"/>
          </w:tcPr>
          <w:p>
            <w:pPr>
              <w:spacing w:after="20" w:before="20"/>
            </w:pPr>
            <w:r>
              <w:rPr>
                <w:color w:val="162B43"/>
                <w:sz w:val="16"/>
              </w:rPr>
              <w:t>18.69%</w:t>
            </w:r>
          </w:p>
        </w:tc>
        <w:tc>
          <w:tcPr>
            <w:tcW w:type="dxa" w:w="1296"/>
            <w:vAlign w:val="center"/>
            <w:shd w:fill="F6F9FC"/>
          </w:tcPr>
          <w:p>
            <w:pPr>
              <w:spacing w:after="20" w:before="20"/>
            </w:pPr>
            <w:r>
              <w:rPr>
                <w:color w:val="162B43"/>
                <w:sz w:val="16"/>
              </w:rPr>
              <w:t>1.419</w:t>
            </w:r>
          </w:p>
        </w:tc>
      </w:tr>
      <w:tr>
        <w:trPr>
          <w:cantSplit/>
        </w:trPr>
        <w:tc>
          <w:tcPr>
            <w:tcW w:type="dxa" w:w="2088"/>
            <w:vAlign w:val="center"/>
          </w:tcPr>
          <w:p>
            <w:pPr>
              <w:spacing w:after="20" w:before="20"/>
            </w:pPr>
            <w:r>
              <w:rPr>
                <w:color w:val="162B43"/>
                <w:sz w:val="16"/>
              </w:rPr>
              <w:t>Ridge</w:t>
            </w:r>
          </w:p>
        </w:tc>
        <w:tc>
          <w:tcPr>
            <w:tcW w:type="dxa" w:w="1181"/>
            <w:vAlign w:val="center"/>
          </w:tcPr>
          <w:p>
            <w:pPr>
              <w:spacing w:after="20" w:before="20"/>
            </w:pPr>
            <w:r>
              <w:rPr>
                <w:color w:val="162B43"/>
                <w:sz w:val="16"/>
              </w:rPr>
              <w:t>0.510</w:t>
            </w:r>
          </w:p>
        </w:tc>
        <w:tc>
          <w:tcPr>
            <w:tcW w:type="dxa" w:w="1152"/>
            <w:vAlign w:val="center"/>
          </w:tcPr>
          <w:p>
            <w:pPr>
              <w:spacing w:after="20" w:before="20"/>
            </w:pPr>
            <w:r>
              <w:rPr>
                <w:color w:val="162B43"/>
                <w:sz w:val="16"/>
              </w:rPr>
              <w:t>0.300</w:t>
            </w:r>
          </w:p>
        </w:tc>
        <w:tc>
          <w:tcPr>
            <w:tcW w:type="dxa" w:w="1296"/>
            <w:vAlign w:val="center"/>
          </w:tcPr>
          <w:p>
            <w:pPr>
              <w:spacing w:after="20" w:before="20"/>
            </w:pPr>
            <w:r>
              <w:rPr>
                <w:color w:val="162B43"/>
                <w:sz w:val="16"/>
              </w:rPr>
              <w:t>1.823</w:t>
            </w:r>
          </w:p>
        </w:tc>
        <w:tc>
          <w:tcPr>
            <w:tcW w:type="dxa" w:w="1512"/>
            <w:vAlign w:val="center"/>
          </w:tcPr>
          <w:p>
            <w:pPr>
              <w:spacing w:after="20" w:before="20"/>
            </w:pPr>
            <w:r>
              <w:rPr>
                <w:color w:val="162B43"/>
                <w:sz w:val="16"/>
              </w:rPr>
              <w:t>18.23%</w:t>
            </w:r>
          </w:p>
        </w:tc>
        <w:tc>
          <w:tcPr>
            <w:tcW w:type="dxa" w:w="1296"/>
            <w:vAlign w:val="center"/>
          </w:tcPr>
          <w:p>
            <w:pPr>
              <w:spacing w:after="20" w:before="20"/>
            </w:pPr>
            <w:r>
              <w:rPr>
                <w:color w:val="162B43"/>
                <w:sz w:val="16"/>
              </w:rPr>
              <w:t>1.373</w:t>
            </w:r>
          </w:p>
        </w:tc>
      </w:tr>
      <w:tr>
        <w:trPr>
          <w:cantSplit/>
        </w:trPr>
        <w:tc>
          <w:tcPr>
            <w:tcW w:type="dxa" w:w="2088"/>
            <w:vAlign w:val="center"/>
            <w:shd w:fill="F6F9FC"/>
            <w:shd w:fill="E4F0EA"/>
          </w:tcPr>
          <w:p>
            <w:pPr>
              <w:spacing w:after="20" w:before="20"/>
            </w:pPr>
            <w:r>
              <w:rPr>
                <w:color w:val="162B43"/>
                <w:sz w:val="16"/>
              </w:rPr>
              <w:t>Lasso</w:t>
            </w:r>
          </w:p>
        </w:tc>
        <w:tc>
          <w:tcPr>
            <w:tcW w:type="dxa" w:w="1181"/>
            <w:vAlign w:val="center"/>
            <w:shd w:fill="F6F9FC"/>
            <w:shd w:fill="E4F0EA"/>
          </w:tcPr>
          <w:p>
            <w:pPr>
              <w:spacing w:after="20" w:before="20"/>
            </w:pPr>
            <w:r>
              <w:rPr>
                <w:color w:val="162B43"/>
                <w:sz w:val="16"/>
              </w:rPr>
              <w:t>0.498</w:t>
            </w:r>
          </w:p>
        </w:tc>
        <w:tc>
          <w:tcPr>
            <w:tcW w:type="dxa" w:w="1152"/>
            <w:vAlign w:val="center"/>
            <w:shd w:fill="F6F9FC"/>
            <w:shd w:fill="E4F0EA"/>
          </w:tcPr>
          <w:p>
            <w:pPr>
              <w:spacing w:after="20" w:before="20"/>
            </w:pPr>
            <w:r>
              <w:rPr>
                <w:color w:val="162B43"/>
                <w:sz w:val="16"/>
              </w:rPr>
              <w:t>0.307</w:t>
            </w:r>
          </w:p>
        </w:tc>
        <w:tc>
          <w:tcPr>
            <w:tcW w:type="dxa" w:w="1296"/>
            <w:vAlign w:val="center"/>
            <w:shd w:fill="F6F9FC"/>
            <w:shd w:fill="E4F0EA"/>
          </w:tcPr>
          <w:p>
            <w:pPr>
              <w:spacing w:after="20" w:before="20"/>
            </w:pPr>
            <w:r>
              <w:rPr>
                <w:color w:val="162B43"/>
                <w:sz w:val="16"/>
              </w:rPr>
              <w:t>1.813</w:t>
            </w:r>
          </w:p>
        </w:tc>
        <w:tc>
          <w:tcPr>
            <w:tcW w:type="dxa" w:w="1512"/>
            <w:vAlign w:val="center"/>
            <w:shd w:fill="F6F9FC"/>
            <w:shd w:fill="E4F0EA"/>
          </w:tcPr>
          <w:p>
            <w:pPr>
              <w:spacing w:after="20" w:before="20"/>
            </w:pPr>
            <w:r>
              <w:rPr>
                <w:color w:val="162B43"/>
                <w:sz w:val="16"/>
              </w:rPr>
              <w:t>18.13%</w:t>
            </w:r>
          </w:p>
        </w:tc>
        <w:tc>
          <w:tcPr>
            <w:tcW w:type="dxa" w:w="1296"/>
            <w:vAlign w:val="center"/>
            <w:shd w:fill="F6F9FC"/>
            <w:shd w:fill="E4F0EA"/>
          </w:tcPr>
          <w:p>
            <w:pPr>
              <w:spacing w:after="20" w:before="20"/>
            </w:pPr>
            <w:r>
              <w:rPr>
                <w:color w:val="162B43"/>
                <w:sz w:val="16"/>
              </w:rPr>
              <w:t>1.360</w:t>
            </w:r>
          </w:p>
        </w:tc>
      </w:tr>
      <w:tr>
        <w:trPr>
          <w:cantSplit/>
        </w:trPr>
        <w:tc>
          <w:tcPr>
            <w:tcW w:type="dxa" w:w="2088"/>
            <w:vAlign w:val="center"/>
          </w:tcPr>
          <w:p>
            <w:pPr>
              <w:spacing w:after="20" w:before="20"/>
            </w:pPr>
            <w:r>
              <w:rPr>
                <w:color w:val="162B43"/>
                <w:sz w:val="16"/>
              </w:rPr>
              <w:t>Random forest</w:t>
            </w:r>
          </w:p>
        </w:tc>
        <w:tc>
          <w:tcPr>
            <w:tcW w:type="dxa" w:w="1181"/>
            <w:vAlign w:val="center"/>
          </w:tcPr>
          <w:p>
            <w:pPr>
              <w:spacing w:after="20" w:before="20"/>
            </w:pPr>
            <w:r>
              <w:rPr>
                <w:color w:val="162B43"/>
                <w:sz w:val="16"/>
              </w:rPr>
              <w:t>0.644</w:t>
            </w:r>
          </w:p>
        </w:tc>
        <w:tc>
          <w:tcPr>
            <w:tcW w:type="dxa" w:w="1152"/>
            <w:vAlign w:val="center"/>
          </w:tcPr>
          <w:p>
            <w:pPr>
              <w:spacing w:after="20" w:before="20"/>
            </w:pPr>
            <w:r>
              <w:rPr>
                <w:color w:val="162B43"/>
                <w:sz w:val="16"/>
              </w:rPr>
              <w:t>0.306</w:t>
            </w:r>
          </w:p>
        </w:tc>
        <w:tc>
          <w:tcPr>
            <w:tcW w:type="dxa" w:w="1296"/>
            <w:vAlign w:val="center"/>
          </w:tcPr>
          <w:p>
            <w:pPr>
              <w:spacing w:after="20" w:before="20"/>
            </w:pPr>
            <w:r>
              <w:rPr>
                <w:color w:val="162B43"/>
                <w:sz w:val="16"/>
              </w:rPr>
              <w:t>1.814</w:t>
            </w:r>
          </w:p>
        </w:tc>
        <w:tc>
          <w:tcPr>
            <w:tcW w:type="dxa" w:w="1512"/>
            <w:vAlign w:val="center"/>
          </w:tcPr>
          <w:p>
            <w:pPr>
              <w:spacing w:after="20" w:before="20"/>
            </w:pPr>
            <w:r>
              <w:rPr>
                <w:color w:val="162B43"/>
                <w:sz w:val="16"/>
              </w:rPr>
              <w:t>18.14%</w:t>
            </w:r>
          </w:p>
        </w:tc>
        <w:tc>
          <w:tcPr>
            <w:tcW w:type="dxa" w:w="1296"/>
            <w:vAlign w:val="center"/>
          </w:tcPr>
          <w:p>
            <w:pPr>
              <w:spacing w:after="20" w:before="20"/>
            </w:pPr>
            <w:r>
              <w:rPr>
                <w:color w:val="162B43"/>
                <w:sz w:val="16"/>
              </w:rPr>
              <w:t>1.382</w:t>
            </w:r>
          </w:p>
        </w:tc>
      </w:tr>
      <w:tr>
        <w:trPr>
          <w:cantSplit/>
        </w:trPr>
        <w:tc>
          <w:tcPr>
            <w:tcW w:type="dxa" w:w="2088"/>
            <w:vAlign w:val="center"/>
            <w:shd w:fill="F6F9FC"/>
          </w:tcPr>
          <w:p>
            <w:pPr>
              <w:spacing w:after="20" w:before="20"/>
            </w:pPr>
            <w:r>
              <w:rPr>
                <w:color w:val="162B43"/>
                <w:sz w:val="16"/>
              </w:rPr>
              <w:t>Gradient boosting</w:t>
            </w:r>
          </w:p>
        </w:tc>
        <w:tc>
          <w:tcPr>
            <w:tcW w:type="dxa" w:w="1181"/>
            <w:vAlign w:val="center"/>
            <w:shd w:fill="F6F9FC"/>
          </w:tcPr>
          <w:p>
            <w:pPr>
              <w:spacing w:after="20" w:before="20"/>
            </w:pPr>
            <w:r>
              <w:rPr>
                <w:color w:val="162B43"/>
                <w:sz w:val="16"/>
              </w:rPr>
              <w:t>0.616</w:t>
            </w:r>
          </w:p>
        </w:tc>
        <w:tc>
          <w:tcPr>
            <w:tcW w:type="dxa" w:w="1152"/>
            <w:vAlign w:val="center"/>
            <w:shd w:fill="F6F9FC"/>
          </w:tcPr>
          <w:p>
            <w:pPr>
              <w:spacing w:after="20" w:before="20"/>
            </w:pPr>
            <w:r>
              <w:rPr>
                <w:color w:val="162B43"/>
                <w:sz w:val="16"/>
              </w:rPr>
              <w:t>0.280</w:t>
            </w:r>
          </w:p>
        </w:tc>
        <w:tc>
          <w:tcPr>
            <w:tcW w:type="dxa" w:w="1296"/>
            <w:vAlign w:val="center"/>
            <w:shd w:fill="F6F9FC"/>
          </w:tcPr>
          <w:p>
            <w:pPr>
              <w:spacing w:after="20" w:before="20"/>
            </w:pPr>
            <w:r>
              <w:rPr>
                <w:color w:val="162B43"/>
                <w:sz w:val="16"/>
              </w:rPr>
              <w:t>1.848</w:t>
            </w:r>
          </w:p>
        </w:tc>
        <w:tc>
          <w:tcPr>
            <w:tcW w:type="dxa" w:w="1512"/>
            <w:vAlign w:val="center"/>
            <w:shd w:fill="F6F9FC"/>
          </w:tcPr>
          <w:p>
            <w:pPr>
              <w:spacing w:after="20" w:before="20"/>
            </w:pPr>
            <w:r>
              <w:rPr>
                <w:color w:val="162B43"/>
                <w:sz w:val="16"/>
              </w:rPr>
              <w:t>18.48%</w:t>
            </w:r>
          </w:p>
        </w:tc>
        <w:tc>
          <w:tcPr>
            <w:tcW w:type="dxa" w:w="1296"/>
            <w:vAlign w:val="center"/>
            <w:shd w:fill="F6F9FC"/>
          </w:tcPr>
          <w:p>
            <w:pPr>
              <w:spacing w:after="20" w:before="20"/>
            </w:pPr>
            <w:r>
              <w:rPr>
                <w:color w:val="162B43"/>
                <w:sz w:val="16"/>
              </w:rPr>
              <w:t>1.380</w:t>
            </w:r>
          </w:p>
        </w:tc>
      </w:tr>
    </w:tbl>
    <w:p>
      <w:pPr>
        <w:pStyle w:val="FigureCaption"/>
      </w:pPr>
      <w:r>
        <w:t>Table 2. Seed-42 80/20 test comparison (n test = 21).</w:t>
      </w:r>
    </w:p>
    <w:tbl>
      <w:tblPr>
        <w:tblStyle w:val="TableGrid"/>
        <w:tblW w:type="auto" w:w="0"/>
        <w:jc w:val="center"/>
        <w:tblLayout w:type="fixed"/>
        <w:tblLook w:firstColumn="1" w:firstRow="1" w:lastColumn="0" w:lastRow="0" w:noHBand="0" w:noVBand="1" w:val="04A0"/>
      </w:tblPr>
      <w:tblGrid>
        <w:gridCol w:w="2088"/>
        <w:gridCol w:w="1181"/>
        <w:gridCol w:w="1152"/>
        <w:gridCol w:w="1296"/>
        <w:gridCol w:w="1512"/>
        <w:gridCol w:w="1296"/>
      </w:tblGrid>
      <w:tr>
        <w:trPr>
          <w:cantSplit/>
          <w:tblHeader w:val="true"/>
        </w:trPr>
        <w:tc>
          <w:tcPr>
            <w:tcW w:type="dxa" w:w="2088"/>
            <w:shd w:fill="DCE7F3"/>
          </w:tcPr>
          <w:p>
            <w:pPr>
              <w:spacing w:after="20" w:before="20"/>
            </w:pPr>
            <w:r>
              <w:rPr>
                <w:b/>
                <w:color w:val="162B43"/>
                <w:sz w:val="16"/>
              </w:rPr>
              <w:t>Model</w:t>
            </w:r>
          </w:p>
        </w:tc>
        <w:tc>
          <w:tcPr>
            <w:tcW w:type="dxa" w:w="1181"/>
            <w:shd w:fill="DCE7F3"/>
          </w:tcPr>
          <w:p>
            <w:pPr>
              <w:spacing w:after="20" w:before="20"/>
            </w:pPr>
            <w:r>
              <w:rPr>
                <w:b/>
                <w:color w:val="162B43"/>
                <w:sz w:val="16"/>
              </w:rPr>
              <w:t>R² train</w:t>
            </w:r>
          </w:p>
        </w:tc>
        <w:tc>
          <w:tcPr>
            <w:tcW w:type="dxa" w:w="1152"/>
            <w:shd w:fill="DCE7F3"/>
          </w:tcPr>
          <w:p>
            <w:pPr>
              <w:spacing w:after="20" w:before="20"/>
            </w:pPr>
            <w:r>
              <w:rPr>
                <w:b/>
                <w:color w:val="162B43"/>
                <w:sz w:val="16"/>
              </w:rPr>
              <w:t>R² test</w:t>
            </w:r>
          </w:p>
        </w:tc>
        <w:tc>
          <w:tcPr>
            <w:tcW w:type="dxa" w:w="1296"/>
            <w:shd w:fill="DCE7F3"/>
          </w:tcPr>
          <w:p>
            <w:pPr>
              <w:spacing w:after="20" w:before="20"/>
            </w:pPr>
            <w:r>
              <w:rPr>
                <w:b/>
                <w:color w:val="162B43"/>
                <w:sz w:val="16"/>
              </w:rPr>
              <w:t>RMSE</w:t>
            </w:r>
          </w:p>
        </w:tc>
        <w:tc>
          <w:tcPr>
            <w:tcW w:type="dxa" w:w="1512"/>
            <w:shd w:fill="DCE7F3"/>
          </w:tcPr>
          <w:p>
            <w:pPr>
              <w:spacing w:after="20" w:before="20"/>
            </w:pPr>
            <w:r>
              <w:rPr>
                <w:b/>
                <w:color w:val="162B43"/>
                <w:sz w:val="16"/>
              </w:rPr>
              <w:t>NRMSE</w:t>
            </w:r>
          </w:p>
        </w:tc>
        <w:tc>
          <w:tcPr>
            <w:tcW w:type="dxa" w:w="1296"/>
            <w:shd w:fill="DCE7F3"/>
          </w:tcPr>
          <w:p>
            <w:pPr>
              <w:spacing w:after="20" w:before="20"/>
            </w:pPr>
            <w:r>
              <w:rPr>
                <w:b/>
                <w:color w:val="162B43"/>
                <w:sz w:val="16"/>
              </w:rPr>
              <w:t>MAE</w:t>
            </w:r>
          </w:p>
        </w:tc>
      </w:tr>
      <w:tr>
        <w:trPr>
          <w:cantSplit/>
        </w:trPr>
        <w:tc>
          <w:tcPr>
            <w:tcW w:type="dxa" w:w="2088"/>
            <w:vAlign w:val="center"/>
          </w:tcPr>
          <w:p>
            <w:pPr>
              <w:spacing w:after="20" w:before="20"/>
            </w:pPr>
            <w:r>
              <w:rPr>
                <w:color w:val="162B43"/>
                <w:sz w:val="16"/>
              </w:rPr>
              <w:t>Mean baseline</w:t>
            </w:r>
          </w:p>
        </w:tc>
        <w:tc>
          <w:tcPr>
            <w:tcW w:type="dxa" w:w="1181"/>
            <w:vAlign w:val="center"/>
          </w:tcPr>
          <w:p>
            <w:pPr>
              <w:spacing w:after="20" w:before="20"/>
            </w:pPr>
            <w:r>
              <w:rPr>
                <w:color w:val="162B43"/>
                <w:sz w:val="16"/>
              </w:rPr>
              <w:t>0.000</w:t>
            </w:r>
          </w:p>
        </w:tc>
        <w:tc>
          <w:tcPr>
            <w:tcW w:type="dxa" w:w="1152"/>
            <w:vAlign w:val="center"/>
          </w:tcPr>
          <w:p>
            <w:pPr>
              <w:spacing w:after="20" w:before="20"/>
            </w:pPr>
            <w:r>
              <w:rPr>
                <w:color w:val="162B43"/>
                <w:sz w:val="16"/>
              </w:rPr>
              <w:t>-0.001</w:t>
            </w:r>
          </w:p>
        </w:tc>
        <w:tc>
          <w:tcPr>
            <w:tcW w:type="dxa" w:w="1296"/>
            <w:vAlign w:val="center"/>
          </w:tcPr>
          <w:p>
            <w:pPr>
              <w:spacing w:after="20" w:before="20"/>
            </w:pPr>
            <w:r>
              <w:rPr>
                <w:color w:val="162B43"/>
                <w:sz w:val="16"/>
              </w:rPr>
              <w:t>2.239</w:t>
            </w:r>
          </w:p>
        </w:tc>
        <w:tc>
          <w:tcPr>
            <w:tcW w:type="dxa" w:w="1512"/>
            <w:vAlign w:val="center"/>
          </w:tcPr>
          <w:p>
            <w:pPr>
              <w:spacing w:after="20" w:before="20"/>
            </w:pPr>
            <w:r>
              <w:rPr>
                <w:color w:val="162B43"/>
                <w:sz w:val="16"/>
              </w:rPr>
              <w:t>22.39%</w:t>
            </w:r>
          </w:p>
        </w:tc>
        <w:tc>
          <w:tcPr>
            <w:tcW w:type="dxa" w:w="1296"/>
            <w:vAlign w:val="center"/>
          </w:tcPr>
          <w:p>
            <w:pPr>
              <w:spacing w:after="20" w:before="20"/>
            </w:pPr>
            <w:r>
              <w:rPr>
                <w:color w:val="162B43"/>
                <w:sz w:val="16"/>
              </w:rPr>
              <w:t>1.690</w:t>
            </w:r>
          </w:p>
        </w:tc>
      </w:tr>
      <w:tr>
        <w:trPr>
          <w:cantSplit/>
        </w:trPr>
        <w:tc>
          <w:tcPr>
            <w:tcW w:type="dxa" w:w="2088"/>
            <w:vAlign w:val="center"/>
            <w:shd w:fill="F6F9FC"/>
          </w:tcPr>
          <w:p>
            <w:pPr>
              <w:spacing w:after="20" w:before="20"/>
            </w:pPr>
            <w:r>
              <w:rPr>
                <w:color w:val="162B43"/>
                <w:sz w:val="16"/>
              </w:rPr>
              <w:t>OLS</w:t>
            </w:r>
          </w:p>
        </w:tc>
        <w:tc>
          <w:tcPr>
            <w:tcW w:type="dxa" w:w="1181"/>
            <w:vAlign w:val="center"/>
            <w:shd w:fill="F6F9FC"/>
          </w:tcPr>
          <w:p>
            <w:pPr>
              <w:spacing w:after="20" w:before="20"/>
            </w:pPr>
            <w:r>
              <w:rPr>
                <w:color w:val="162B43"/>
                <w:sz w:val="16"/>
              </w:rPr>
              <w:t>0.471</w:t>
            </w:r>
          </w:p>
        </w:tc>
        <w:tc>
          <w:tcPr>
            <w:tcW w:type="dxa" w:w="1152"/>
            <w:vAlign w:val="center"/>
            <w:shd w:fill="F6F9FC"/>
          </w:tcPr>
          <w:p>
            <w:pPr>
              <w:spacing w:after="20" w:before="20"/>
            </w:pPr>
            <w:r>
              <w:rPr>
                <w:color w:val="162B43"/>
                <w:sz w:val="16"/>
              </w:rPr>
              <w:t>0.344</w:t>
            </w:r>
          </w:p>
        </w:tc>
        <w:tc>
          <w:tcPr>
            <w:tcW w:type="dxa" w:w="1296"/>
            <w:vAlign w:val="center"/>
            <w:shd w:fill="F6F9FC"/>
          </w:tcPr>
          <w:p>
            <w:pPr>
              <w:spacing w:after="20" w:before="20"/>
            </w:pPr>
            <w:r>
              <w:rPr>
                <w:color w:val="162B43"/>
                <w:sz w:val="16"/>
              </w:rPr>
              <w:t>1.813</w:t>
            </w:r>
          </w:p>
        </w:tc>
        <w:tc>
          <w:tcPr>
            <w:tcW w:type="dxa" w:w="1512"/>
            <w:vAlign w:val="center"/>
            <w:shd w:fill="F6F9FC"/>
          </w:tcPr>
          <w:p>
            <w:pPr>
              <w:spacing w:after="20" w:before="20"/>
            </w:pPr>
            <w:r>
              <w:rPr>
                <w:color w:val="162B43"/>
                <w:sz w:val="16"/>
              </w:rPr>
              <w:t>18.13%</w:t>
            </w:r>
          </w:p>
        </w:tc>
        <w:tc>
          <w:tcPr>
            <w:tcW w:type="dxa" w:w="1296"/>
            <w:vAlign w:val="center"/>
            <w:shd w:fill="F6F9FC"/>
          </w:tcPr>
          <w:p>
            <w:pPr>
              <w:spacing w:after="20" w:before="20"/>
            </w:pPr>
            <w:r>
              <w:rPr>
                <w:color w:val="162B43"/>
                <w:sz w:val="16"/>
              </w:rPr>
              <w:t>1.311</w:t>
            </w:r>
          </w:p>
        </w:tc>
      </w:tr>
      <w:tr>
        <w:trPr>
          <w:cantSplit/>
        </w:trPr>
        <w:tc>
          <w:tcPr>
            <w:tcW w:type="dxa" w:w="2088"/>
            <w:vAlign w:val="center"/>
          </w:tcPr>
          <w:p>
            <w:pPr>
              <w:spacing w:after="20" w:before="20"/>
            </w:pPr>
            <w:r>
              <w:rPr>
                <w:color w:val="162B43"/>
                <w:sz w:val="16"/>
              </w:rPr>
              <w:t>Ridge</w:t>
            </w:r>
          </w:p>
        </w:tc>
        <w:tc>
          <w:tcPr>
            <w:tcW w:type="dxa" w:w="1181"/>
            <w:vAlign w:val="center"/>
          </w:tcPr>
          <w:p>
            <w:pPr>
              <w:spacing w:after="20" w:before="20"/>
            </w:pPr>
            <w:r>
              <w:rPr>
                <w:color w:val="162B43"/>
                <w:sz w:val="16"/>
              </w:rPr>
              <w:t>0.464</w:t>
            </w:r>
          </w:p>
        </w:tc>
        <w:tc>
          <w:tcPr>
            <w:tcW w:type="dxa" w:w="1152"/>
            <w:vAlign w:val="center"/>
          </w:tcPr>
          <w:p>
            <w:pPr>
              <w:spacing w:after="20" w:before="20"/>
            </w:pPr>
            <w:r>
              <w:rPr>
                <w:color w:val="162B43"/>
                <w:sz w:val="16"/>
              </w:rPr>
              <w:t>0.346</w:t>
            </w:r>
          </w:p>
        </w:tc>
        <w:tc>
          <w:tcPr>
            <w:tcW w:type="dxa" w:w="1296"/>
            <w:vAlign w:val="center"/>
          </w:tcPr>
          <w:p>
            <w:pPr>
              <w:spacing w:after="20" w:before="20"/>
            </w:pPr>
            <w:r>
              <w:rPr>
                <w:color w:val="162B43"/>
                <w:sz w:val="16"/>
              </w:rPr>
              <w:t>1.809</w:t>
            </w:r>
          </w:p>
        </w:tc>
        <w:tc>
          <w:tcPr>
            <w:tcW w:type="dxa" w:w="1512"/>
            <w:vAlign w:val="center"/>
          </w:tcPr>
          <w:p>
            <w:pPr>
              <w:spacing w:after="20" w:before="20"/>
            </w:pPr>
            <w:r>
              <w:rPr>
                <w:color w:val="162B43"/>
                <w:sz w:val="16"/>
              </w:rPr>
              <w:t>18.09%</w:t>
            </w:r>
          </w:p>
        </w:tc>
        <w:tc>
          <w:tcPr>
            <w:tcW w:type="dxa" w:w="1296"/>
            <w:vAlign w:val="center"/>
          </w:tcPr>
          <w:p>
            <w:pPr>
              <w:spacing w:after="20" w:before="20"/>
            </w:pPr>
            <w:r>
              <w:rPr>
                <w:color w:val="162B43"/>
                <w:sz w:val="16"/>
              </w:rPr>
              <w:t>1.316</w:t>
            </w:r>
          </w:p>
        </w:tc>
      </w:tr>
      <w:tr>
        <w:trPr>
          <w:cantSplit/>
        </w:trPr>
        <w:tc>
          <w:tcPr>
            <w:tcW w:type="dxa" w:w="2088"/>
            <w:vAlign w:val="center"/>
            <w:shd w:fill="F6F9FC"/>
          </w:tcPr>
          <w:p>
            <w:pPr>
              <w:spacing w:after="20" w:before="20"/>
            </w:pPr>
            <w:r>
              <w:rPr>
                <w:color w:val="162B43"/>
                <w:sz w:val="16"/>
              </w:rPr>
              <w:t>Lasso</w:t>
            </w:r>
          </w:p>
        </w:tc>
        <w:tc>
          <w:tcPr>
            <w:tcW w:type="dxa" w:w="1181"/>
            <w:vAlign w:val="center"/>
            <w:shd w:fill="F6F9FC"/>
          </w:tcPr>
          <w:p>
            <w:pPr>
              <w:spacing w:after="20" w:before="20"/>
            </w:pPr>
            <w:r>
              <w:rPr>
                <w:color w:val="162B43"/>
                <w:sz w:val="16"/>
              </w:rPr>
              <w:t>0.457</w:t>
            </w:r>
          </w:p>
        </w:tc>
        <w:tc>
          <w:tcPr>
            <w:tcW w:type="dxa" w:w="1152"/>
            <w:vAlign w:val="center"/>
            <w:shd w:fill="F6F9FC"/>
          </w:tcPr>
          <w:p>
            <w:pPr>
              <w:spacing w:after="20" w:before="20"/>
            </w:pPr>
            <w:r>
              <w:rPr>
                <w:color w:val="162B43"/>
                <w:sz w:val="16"/>
              </w:rPr>
              <w:t>0.342</w:t>
            </w:r>
          </w:p>
        </w:tc>
        <w:tc>
          <w:tcPr>
            <w:tcW w:type="dxa" w:w="1296"/>
            <w:vAlign w:val="center"/>
            <w:shd w:fill="F6F9FC"/>
          </w:tcPr>
          <w:p>
            <w:pPr>
              <w:spacing w:after="20" w:before="20"/>
            </w:pPr>
            <w:r>
              <w:rPr>
                <w:color w:val="162B43"/>
                <w:sz w:val="16"/>
              </w:rPr>
              <w:t>1.815</w:t>
            </w:r>
          </w:p>
        </w:tc>
        <w:tc>
          <w:tcPr>
            <w:tcW w:type="dxa" w:w="1512"/>
            <w:vAlign w:val="center"/>
            <w:shd w:fill="F6F9FC"/>
          </w:tcPr>
          <w:p>
            <w:pPr>
              <w:spacing w:after="20" w:before="20"/>
            </w:pPr>
            <w:r>
              <w:rPr>
                <w:color w:val="162B43"/>
                <w:sz w:val="16"/>
              </w:rPr>
              <w:t>18.15%</w:t>
            </w:r>
          </w:p>
        </w:tc>
        <w:tc>
          <w:tcPr>
            <w:tcW w:type="dxa" w:w="1296"/>
            <w:vAlign w:val="center"/>
            <w:shd w:fill="F6F9FC"/>
          </w:tcPr>
          <w:p>
            <w:pPr>
              <w:spacing w:after="20" w:before="20"/>
            </w:pPr>
            <w:r>
              <w:rPr>
                <w:color w:val="162B43"/>
                <w:sz w:val="16"/>
              </w:rPr>
              <w:t>1.318</w:t>
            </w:r>
          </w:p>
        </w:tc>
      </w:tr>
      <w:tr>
        <w:trPr>
          <w:cantSplit/>
        </w:trPr>
        <w:tc>
          <w:tcPr>
            <w:tcW w:type="dxa" w:w="2088"/>
            <w:vAlign w:val="center"/>
            <w:shd w:fill="E4F0EA"/>
          </w:tcPr>
          <w:p>
            <w:pPr>
              <w:spacing w:after="20" w:before="20"/>
            </w:pPr>
            <w:r>
              <w:rPr>
                <w:color w:val="162B43"/>
                <w:sz w:val="16"/>
              </w:rPr>
              <w:t>Random forest</w:t>
            </w:r>
          </w:p>
        </w:tc>
        <w:tc>
          <w:tcPr>
            <w:tcW w:type="dxa" w:w="1181"/>
            <w:vAlign w:val="center"/>
            <w:shd w:fill="E4F0EA"/>
          </w:tcPr>
          <w:p>
            <w:pPr>
              <w:spacing w:after="20" w:before="20"/>
            </w:pPr>
            <w:r>
              <w:rPr>
                <w:color w:val="162B43"/>
                <w:sz w:val="16"/>
              </w:rPr>
              <w:t>0.624</w:t>
            </w:r>
          </w:p>
        </w:tc>
        <w:tc>
          <w:tcPr>
            <w:tcW w:type="dxa" w:w="1152"/>
            <w:vAlign w:val="center"/>
            <w:shd w:fill="E4F0EA"/>
          </w:tcPr>
          <w:p>
            <w:pPr>
              <w:spacing w:after="20" w:before="20"/>
            </w:pPr>
            <w:r>
              <w:rPr>
                <w:color w:val="162B43"/>
                <w:sz w:val="16"/>
              </w:rPr>
              <w:t>0.365</w:t>
            </w:r>
          </w:p>
        </w:tc>
        <w:tc>
          <w:tcPr>
            <w:tcW w:type="dxa" w:w="1296"/>
            <w:vAlign w:val="center"/>
            <w:shd w:fill="E4F0EA"/>
          </w:tcPr>
          <w:p>
            <w:pPr>
              <w:spacing w:after="20" w:before="20"/>
            </w:pPr>
            <w:r>
              <w:rPr>
                <w:color w:val="162B43"/>
                <w:sz w:val="16"/>
              </w:rPr>
              <w:t>1.783</w:t>
            </w:r>
          </w:p>
        </w:tc>
        <w:tc>
          <w:tcPr>
            <w:tcW w:type="dxa" w:w="1512"/>
            <w:vAlign w:val="center"/>
            <w:shd w:fill="E4F0EA"/>
          </w:tcPr>
          <w:p>
            <w:pPr>
              <w:spacing w:after="20" w:before="20"/>
            </w:pPr>
            <w:r>
              <w:rPr>
                <w:color w:val="162B43"/>
                <w:sz w:val="16"/>
              </w:rPr>
              <w:t>17.83%</w:t>
            </w:r>
          </w:p>
        </w:tc>
        <w:tc>
          <w:tcPr>
            <w:tcW w:type="dxa" w:w="1296"/>
            <w:vAlign w:val="center"/>
            <w:shd w:fill="E4F0EA"/>
          </w:tcPr>
          <w:p>
            <w:pPr>
              <w:spacing w:after="20" w:before="20"/>
            </w:pPr>
            <w:r>
              <w:rPr>
                <w:color w:val="162B43"/>
                <w:sz w:val="16"/>
              </w:rPr>
              <w:t>1.379</w:t>
            </w:r>
          </w:p>
        </w:tc>
      </w:tr>
      <w:tr>
        <w:trPr>
          <w:cantSplit/>
        </w:trPr>
        <w:tc>
          <w:tcPr>
            <w:tcW w:type="dxa" w:w="2088"/>
            <w:vAlign w:val="center"/>
            <w:shd w:fill="F6F9FC"/>
          </w:tcPr>
          <w:p>
            <w:pPr>
              <w:spacing w:after="20" w:before="20"/>
            </w:pPr>
            <w:r>
              <w:rPr>
                <w:color w:val="162B43"/>
                <w:sz w:val="16"/>
              </w:rPr>
              <w:t>Gradient boosting</w:t>
            </w:r>
          </w:p>
        </w:tc>
        <w:tc>
          <w:tcPr>
            <w:tcW w:type="dxa" w:w="1181"/>
            <w:vAlign w:val="center"/>
            <w:shd w:fill="F6F9FC"/>
          </w:tcPr>
          <w:p>
            <w:pPr>
              <w:spacing w:after="20" w:before="20"/>
            </w:pPr>
            <w:r>
              <w:rPr>
                <w:color w:val="162B43"/>
                <w:sz w:val="16"/>
              </w:rPr>
              <w:t>0.553</w:t>
            </w:r>
          </w:p>
        </w:tc>
        <w:tc>
          <w:tcPr>
            <w:tcW w:type="dxa" w:w="1152"/>
            <w:vAlign w:val="center"/>
            <w:shd w:fill="F6F9FC"/>
          </w:tcPr>
          <w:p>
            <w:pPr>
              <w:spacing w:after="20" w:before="20"/>
            </w:pPr>
            <w:r>
              <w:rPr>
                <w:color w:val="162B43"/>
                <w:sz w:val="16"/>
              </w:rPr>
              <w:t>0.361</w:t>
            </w:r>
          </w:p>
        </w:tc>
        <w:tc>
          <w:tcPr>
            <w:tcW w:type="dxa" w:w="1296"/>
            <w:vAlign w:val="center"/>
            <w:shd w:fill="F6F9FC"/>
          </w:tcPr>
          <w:p>
            <w:pPr>
              <w:spacing w:after="20" w:before="20"/>
            </w:pPr>
            <w:r>
              <w:rPr>
                <w:color w:val="162B43"/>
                <w:sz w:val="16"/>
              </w:rPr>
              <w:t>1.789</w:t>
            </w:r>
          </w:p>
        </w:tc>
        <w:tc>
          <w:tcPr>
            <w:tcW w:type="dxa" w:w="1512"/>
            <w:vAlign w:val="center"/>
            <w:shd w:fill="F6F9FC"/>
          </w:tcPr>
          <w:p>
            <w:pPr>
              <w:spacing w:after="20" w:before="20"/>
            </w:pPr>
            <w:r>
              <w:rPr>
                <w:color w:val="162B43"/>
                <w:sz w:val="16"/>
              </w:rPr>
              <w:t>17.89%</w:t>
            </w:r>
          </w:p>
        </w:tc>
        <w:tc>
          <w:tcPr>
            <w:tcW w:type="dxa" w:w="1296"/>
            <w:vAlign w:val="center"/>
            <w:shd w:fill="F6F9FC"/>
          </w:tcPr>
          <w:p>
            <w:pPr>
              <w:spacing w:after="20" w:before="20"/>
            </w:pPr>
            <w:r>
              <w:rPr>
                <w:color w:val="162B43"/>
                <w:sz w:val="16"/>
              </w:rPr>
              <w:t>1.312</w:t>
            </w:r>
          </w:p>
        </w:tc>
      </w:tr>
    </w:tbl>
    <w:p>
      <w:r>
        <w:t>On the single 70/30 seed-42 split, Lasso leads marginally (R² = 0.307, NRMSE = 18.13%). On the 80/20 split, Random Forest leads (R² = 0.365, NRMSE = 17.83%). These rankings are sample-specific and should not be substituted for the 200-repeat results.</w:t>
      </w:r>
    </w:p>
    <w:p>
      <w:r>
        <w:br w:type="page"/>
      </w:r>
    </w:p>
    <w:p>
      <w:pPr>
        <w:pStyle w:val="Heading1"/>
      </w:pPr>
      <w:r>
        <w:t>4. Stability across 200 repeated splits</w:t>
      </w:r>
    </w:p>
    <w:p>
      <w:pPr>
        <w:pStyle w:val="FigureCaption"/>
      </w:pPr>
      <w:r>
        <w:t>Table 3. Repeated held-out results, mean ± sample SD (n = 200 per row). Mean RMSE and MAE are expressed in goals.</w:t>
      </w:r>
    </w:p>
    <w:tbl>
      <w:tblPr>
        <w:tblStyle w:val="TableGrid"/>
        <w:tblW w:type="auto" w:w="0"/>
        <w:jc w:val="center"/>
        <w:tblLayout w:type="fixed"/>
        <w:tblLook w:firstColumn="1" w:firstRow="1" w:lastColumn="0" w:lastRow="0" w:noHBand="0" w:noVBand="1" w:val="04A0"/>
      </w:tblPr>
      <w:tblGrid>
        <w:gridCol w:w="2376"/>
        <w:gridCol w:w="1944"/>
        <w:gridCol w:w="2462"/>
        <w:gridCol w:w="1066"/>
        <w:gridCol w:w="1037"/>
      </w:tblGrid>
      <w:tr>
        <w:trPr>
          <w:cantSplit/>
          <w:tblHeader w:val="true"/>
        </w:trPr>
        <w:tc>
          <w:tcPr>
            <w:tcW w:type="dxa" w:w="2376"/>
            <w:shd w:fill="DCE7F3"/>
          </w:tcPr>
          <w:p>
            <w:pPr>
              <w:spacing w:after="20" w:before="20"/>
            </w:pPr>
            <w:r>
              <w:rPr>
                <w:b/>
                <w:color w:val="162B43"/>
                <w:sz w:val="14"/>
              </w:rPr>
              <w:t>Split / model</w:t>
            </w:r>
          </w:p>
        </w:tc>
        <w:tc>
          <w:tcPr>
            <w:tcW w:type="dxa" w:w="1944"/>
            <w:shd w:fill="DCE7F3"/>
          </w:tcPr>
          <w:p>
            <w:pPr>
              <w:spacing w:after="20" w:before="20"/>
            </w:pPr>
            <w:r>
              <w:rPr>
                <w:b/>
                <w:color w:val="162B43"/>
                <w:sz w:val="14"/>
              </w:rPr>
              <w:t>Test R² mean ± SD</w:t>
            </w:r>
          </w:p>
        </w:tc>
        <w:tc>
          <w:tcPr>
            <w:tcW w:type="dxa" w:w="2462"/>
            <w:shd w:fill="DCE7F3"/>
          </w:tcPr>
          <w:p>
            <w:pPr>
              <w:spacing w:after="20" w:before="20"/>
            </w:pPr>
            <w:r>
              <w:rPr>
                <w:b/>
                <w:color w:val="162B43"/>
                <w:sz w:val="14"/>
              </w:rPr>
              <w:t>Test NRMSE mean ± SD</w:t>
            </w:r>
          </w:p>
        </w:tc>
        <w:tc>
          <w:tcPr>
            <w:tcW w:type="dxa" w:w="1066"/>
            <w:shd w:fill="DCE7F3"/>
          </w:tcPr>
          <w:p>
            <w:pPr>
              <w:spacing w:after="20" w:before="20"/>
            </w:pPr>
            <w:r>
              <w:rPr>
                <w:b/>
                <w:color w:val="162B43"/>
                <w:sz w:val="14"/>
              </w:rPr>
              <w:t>RMSE</w:t>
            </w:r>
          </w:p>
        </w:tc>
        <w:tc>
          <w:tcPr>
            <w:tcW w:type="dxa" w:w="1037"/>
            <w:shd w:fill="DCE7F3"/>
          </w:tcPr>
          <w:p>
            <w:pPr>
              <w:spacing w:after="20" w:before="20"/>
            </w:pPr>
            <w:r>
              <w:rPr>
                <w:b/>
                <w:color w:val="162B43"/>
                <w:sz w:val="14"/>
              </w:rPr>
              <w:t>MAE</w:t>
            </w:r>
          </w:p>
        </w:tc>
      </w:tr>
      <w:tr>
        <w:trPr>
          <w:cantSplit/>
        </w:trPr>
        <w:tc>
          <w:tcPr>
            <w:tcW w:type="dxa" w:w="2376"/>
            <w:vAlign w:val="center"/>
          </w:tcPr>
          <w:p>
            <w:pPr>
              <w:spacing w:after="20" w:before="20"/>
            </w:pPr>
            <w:r>
              <w:rPr>
                <w:color w:val="162B43"/>
                <w:sz w:val="14"/>
              </w:rPr>
              <w:t>70/30 — Mean baseline</w:t>
            </w:r>
          </w:p>
        </w:tc>
        <w:tc>
          <w:tcPr>
            <w:tcW w:type="dxa" w:w="1944"/>
            <w:vAlign w:val="center"/>
          </w:tcPr>
          <w:p>
            <w:pPr>
              <w:spacing w:after="20" w:before="20"/>
            </w:pPr>
            <w:r>
              <w:rPr>
                <w:color w:val="162B43"/>
                <w:sz w:val="14"/>
              </w:rPr>
              <w:t>-0.041 ± 0.064</w:t>
            </w:r>
          </w:p>
        </w:tc>
        <w:tc>
          <w:tcPr>
            <w:tcW w:type="dxa" w:w="2462"/>
            <w:vAlign w:val="center"/>
          </w:tcPr>
          <w:p>
            <w:pPr>
              <w:spacing w:after="20" w:before="20"/>
            </w:pPr>
            <w:r>
              <w:rPr>
                <w:color w:val="162B43"/>
                <w:sz w:val="14"/>
              </w:rPr>
              <w:t>23.34% ± 2.21 pp</w:t>
            </w:r>
          </w:p>
        </w:tc>
        <w:tc>
          <w:tcPr>
            <w:tcW w:type="dxa" w:w="1066"/>
            <w:vAlign w:val="center"/>
          </w:tcPr>
          <w:p>
            <w:pPr>
              <w:spacing w:after="20" w:before="20"/>
            </w:pPr>
            <w:r>
              <w:rPr>
                <w:color w:val="162B43"/>
                <w:sz w:val="14"/>
              </w:rPr>
              <w:t>1.992</w:t>
            </w:r>
          </w:p>
        </w:tc>
        <w:tc>
          <w:tcPr>
            <w:tcW w:type="dxa" w:w="1037"/>
            <w:vAlign w:val="center"/>
          </w:tcPr>
          <w:p>
            <w:pPr>
              <w:spacing w:after="20" w:before="20"/>
            </w:pPr>
            <w:r>
              <w:rPr>
                <w:color w:val="162B43"/>
                <w:sz w:val="14"/>
              </w:rPr>
              <w:t>1.570</w:t>
            </w:r>
          </w:p>
        </w:tc>
      </w:tr>
      <w:tr>
        <w:trPr>
          <w:cantSplit/>
        </w:trPr>
        <w:tc>
          <w:tcPr>
            <w:tcW w:type="dxa" w:w="2376"/>
            <w:vAlign w:val="center"/>
            <w:shd w:fill="F6F9FC"/>
          </w:tcPr>
          <w:p>
            <w:pPr>
              <w:spacing w:after="20" w:before="20"/>
            </w:pPr>
            <w:r>
              <w:rPr>
                <w:color w:val="162B43"/>
                <w:sz w:val="14"/>
              </w:rPr>
              <w:t>70/30 — OLS</w:t>
            </w:r>
          </w:p>
        </w:tc>
        <w:tc>
          <w:tcPr>
            <w:tcW w:type="dxa" w:w="1944"/>
            <w:vAlign w:val="center"/>
            <w:shd w:fill="F6F9FC"/>
          </w:tcPr>
          <w:p>
            <w:pPr>
              <w:spacing w:after="20" w:before="20"/>
            </w:pPr>
            <w:r>
              <w:rPr>
                <w:color w:val="162B43"/>
                <w:sz w:val="14"/>
              </w:rPr>
              <w:t>0.245 ± 0.222</w:t>
            </w:r>
          </w:p>
        </w:tc>
        <w:tc>
          <w:tcPr>
            <w:tcW w:type="dxa" w:w="2462"/>
            <w:vAlign w:val="center"/>
            <w:shd w:fill="F6F9FC"/>
          </w:tcPr>
          <w:p>
            <w:pPr>
              <w:spacing w:after="20" w:before="20"/>
            </w:pPr>
            <w:r>
              <w:rPr>
                <w:color w:val="162B43"/>
                <w:sz w:val="14"/>
              </w:rPr>
              <w:t>19.67% ± 3.06 pp</w:t>
            </w:r>
          </w:p>
        </w:tc>
        <w:tc>
          <w:tcPr>
            <w:tcW w:type="dxa" w:w="1066"/>
            <w:vAlign w:val="center"/>
            <w:shd w:fill="F6F9FC"/>
          </w:tcPr>
          <w:p>
            <w:pPr>
              <w:spacing w:after="20" w:before="20"/>
            </w:pPr>
            <w:r>
              <w:rPr>
                <w:color w:val="162B43"/>
                <w:sz w:val="14"/>
              </w:rPr>
              <w:t>1.668</w:t>
            </w:r>
          </w:p>
        </w:tc>
        <w:tc>
          <w:tcPr>
            <w:tcW w:type="dxa" w:w="1037"/>
            <w:vAlign w:val="center"/>
            <w:shd w:fill="F6F9FC"/>
          </w:tcPr>
          <w:p>
            <w:pPr>
              <w:spacing w:after="20" w:before="20"/>
            </w:pPr>
            <w:r>
              <w:rPr>
                <w:color w:val="162B43"/>
                <w:sz w:val="14"/>
              </w:rPr>
              <w:t>1.294</w:t>
            </w:r>
          </w:p>
        </w:tc>
      </w:tr>
      <w:tr>
        <w:trPr>
          <w:cantSplit/>
        </w:trPr>
        <w:tc>
          <w:tcPr>
            <w:tcW w:type="dxa" w:w="2376"/>
            <w:vAlign w:val="center"/>
          </w:tcPr>
          <w:p>
            <w:pPr>
              <w:spacing w:after="20" w:before="20"/>
            </w:pPr>
            <w:r>
              <w:rPr>
                <w:color w:val="162B43"/>
                <w:sz w:val="14"/>
              </w:rPr>
              <w:t>70/30 — Ridge</w:t>
            </w:r>
          </w:p>
        </w:tc>
        <w:tc>
          <w:tcPr>
            <w:tcW w:type="dxa" w:w="1944"/>
            <w:vAlign w:val="center"/>
          </w:tcPr>
          <w:p>
            <w:pPr>
              <w:spacing w:after="20" w:before="20"/>
            </w:pPr>
            <w:r>
              <w:rPr>
                <w:color w:val="162B43"/>
                <w:sz w:val="14"/>
              </w:rPr>
              <w:t>0.277 ± 0.176</w:t>
            </w:r>
          </w:p>
        </w:tc>
        <w:tc>
          <w:tcPr>
            <w:tcW w:type="dxa" w:w="2462"/>
            <w:vAlign w:val="center"/>
          </w:tcPr>
          <w:p>
            <w:pPr>
              <w:spacing w:after="20" w:before="20"/>
            </w:pPr>
            <w:r>
              <w:rPr>
                <w:color w:val="162B43"/>
                <w:sz w:val="14"/>
              </w:rPr>
              <w:t>19.31% ± 2.65 pp</w:t>
            </w:r>
          </w:p>
        </w:tc>
        <w:tc>
          <w:tcPr>
            <w:tcW w:type="dxa" w:w="1066"/>
            <w:vAlign w:val="center"/>
          </w:tcPr>
          <w:p>
            <w:pPr>
              <w:spacing w:after="20" w:before="20"/>
            </w:pPr>
            <w:r>
              <w:rPr>
                <w:color w:val="162B43"/>
                <w:sz w:val="14"/>
              </w:rPr>
              <w:t>1.642</w:t>
            </w:r>
          </w:p>
        </w:tc>
        <w:tc>
          <w:tcPr>
            <w:tcW w:type="dxa" w:w="1037"/>
            <w:vAlign w:val="center"/>
          </w:tcPr>
          <w:p>
            <w:pPr>
              <w:spacing w:after="20" w:before="20"/>
            </w:pPr>
            <w:r>
              <w:rPr>
                <w:color w:val="162B43"/>
                <w:sz w:val="14"/>
              </w:rPr>
              <w:t>1.270</w:t>
            </w:r>
          </w:p>
        </w:tc>
      </w:tr>
      <w:tr>
        <w:trPr>
          <w:cantSplit/>
        </w:trPr>
        <w:tc>
          <w:tcPr>
            <w:tcW w:type="dxa" w:w="2376"/>
            <w:vAlign w:val="center"/>
            <w:shd w:fill="F6F9FC"/>
            <w:shd w:fill="E4F0EA"/>
          </w:tcPr>
          <w:p>
            <w:pPr>
              <w:spacing w:after="20" w:before="20"/>
            </w:pPr>
            <w:r>
              <w:rPr>
                <w:color w:val="162B43"/>
                <w:sz w:val="14"/>
              </w:rPr>
              <w:t>70/30 — Lasso</w:t>
            </w:r>
          </w:p>
        </w:tc>
        <w:tc>
          <w:tcPr>
            <w:tcW w:type="dxa" w:w="1944"/>
            <w:vAlign w:val="center"/>
            <w:shd w:fill="F6F9FC"/>
            <w:shd w:fill="E4F0EA"/>
          </w:tcPr>
          <w:p>
            <w:pPr>
              <w:spacing w:after="20" w:before="20"/>
            </w:pPr>
            <w:r>
              <w:rPr>
                <w:color w:val="162B43"/>
                <w:sz w:val="14"/>
              </w:rPr>
              <w:t>0.321 ± 0.178</w:t>
            </w:r>
          </w:p>
        </w:tc>
        <w:tc>
          <w:tcPr>
            <w:tcW w:type="dxa" w:w="2462"/>
            <w:vAlign w:val="center"/>
            <w:shd w:fill="F6F9FC"/>
            <w:shd w:fill="E4F0EA"/>
          </w:tcPr>
          <w:p>
            <w:pPr>
              <w:spacing w:after="20" w:before="20"/>
            </w:pPr>
            <w:r>
              <w:rPr>
                <w:color w:val="162B43"/>
                <w:sz w:val="14"/>
              </w:rPr>
              <w:t>18.70% ± 2.65 pp</w:t>
            </w:r>
          </w:p>
        </w:tc>
        <w:tc>
          <w:tcPr>
            <w:tcW w:type="dxa" w:w="1066"/>
            <w:vAlign w:val="center"/>
            <w:shd w:fill="F6F9FC"/>
            <w:shd w:fill="E4F0EA"/>
          </w:tcPr>
          <w:p>
            <w:pPr>
              <w:spacing w:after="20" w:before="20"/>
            </w:pPr>
            <w:r>
              <w:rPr>
                <w:color w:val="162B43"/>
                <w:sz w:val="14"/>
              </w:rPr>
              <w:t>1.590</w:t>
            </w:r>
          </w:p>
        </w:tc>
        <w:tc>
          <w:tcPr>
            <w:tcW w:type="dxa" w:w="1037"/>
            <w:vAlign w:val="center"/>
            <w:shd w:fill="F6F9FC"/>
            <w:shd w:fill="E4F0EA"/>
          </w:tcPr>
          <w:p>
            <w:pPr>
              <w:spacing w:after="20" w:before="20"/>
            </w:pPr>
            <w:r>
              <w:rPr>
                <w:color w:val="162B43"/>
                <w:sz w:val="14"/>
              </w:rPr>
              <w:t>1.236</w:t>
            </w:r>
          </w:p>
        </w:tc>
      </w:tr>
      <w:tr>
        <w:trPr>
          <w:cantSplit/>
        </w:trPr>
        <w:tc>
          <w:tcPr>
            <w:tcW w:type="dxa" w:w="2376"/>
            <w:vAlign w:val="center"/>
          </w:tcPr>
          <w:p>
            <w:pPr>
              <w:spacing w:after="20" w:before="20"/>
            </w:pPr>
            <w:r>
              <w:rPr>
                <w:color w:val="162B43"/>
                <w:sz w:val="14"/>
              </w:rPr>
              <w:t>70/30 — Random forest</w:t>
            </w:r>
          </w:p>
        </w:tc>
        <w:tc>
          <w:tcPr>
            <w:tcW w:type="dxa" w:w="1944"/>
            <w:vAlign w:val="center"/>
          </w:tcPr>
          <w:p>
            <w:pPr>
              <w:spacing w:after="20" w:before="20"/>
            </w:pPr>
            <w:r>
              <w:rPr>
                <w:color w:val="162B43"/>
                <w:sz w:val="14"/>
              </w:rPr>
              <w:t>0.296 ± 0.151</w:t>
            </w:r>
          </w:p>
        </w:tc>
        <w:tc>
          <w:tcPr>
            <w:tcW w:type="dxa" w:w="2462"/>
            <w:vAlign w:val="center"/>
          </w:tcPr>
          <w:p>
            <w:pPr>
              <w:spacing w:after="20" w:before="20"/>
            </w:pPr>
            <w:r>
              <w:rPr>
                <w:color w:val="162B43"/>
                <w:sz w:val="14"/>
              </w:rPr>
              <w:t>19.08% ± 2.28 pp</w:t>
            </w:r>
          </w:p>
        </w:tc>
        <w:tc>
          <w:tcPr>
            <w:tcW w:type="dxa" w:w="1066"/>
            <w:vAlign w:val="center"/>
          </w:tcPr>
          <w:p>
            <w:pPr>
              <w:spacing w:after="20" w:before="20"/>
            </w:pPr>
            <w:r>
              <w:rPr>
                <w:color w:val="162B43"/>
                <w:sz w:val="14"/>
              </w:rPr>
              <w:t>1.622</w:t>
            </w:r>
          </w:p>
        </w:tc>
        <w:tc>
          <w:tcPr>
            <w:tcW w:type="dxa" w:w="1037"/>
            <w:vAlign w:val="center"/>
          </w:tcPr>
          <w:p>
            <w:pPr>
              <w:spacing w:after="20" w:before="20"/>
            </w:pPr>
            <w:r>
              <w:rPr>
                <w:color w:val="162B43"/>
                <w:sz w:val="14"/>
              </w:rPr>
              <w:t>1.278</w:t>
            </w:r>
          </w:p>
        </w:tc>
      </w:tr>
      <w:tr>
        <w:trPr>
          <w:cantSplit/>
        </w:trPr>
        <w:tc>
          <w:tcPr>
            <w:tcW w:type="dxa" w:w="2376"/>
            <w:vAlign w:val="center"/>
            <w:shd w:fill="F6F9FC"/>
          </w:tcPr>
          <w:p>
            <w:pPr>
              <w:spacing w:after="20" w:before="20"/>
            </w:pPr>
            <w:r>
              <w:rPr>
                <w:color w:val="162B43"/>
                <w:sz w:val="14"/>
              </w:rPr>
              <w:t>70/30 — Gradient boosting</w:t>
            </w:r>
          </w:p>
        </w:tc>
        <w:tc>
          <w:tcPr>
            <w:tcW w:type="dxa" w:w="1944"/>
            <w:vAlign w:val="center"/>
            <w:shd w:fill="F6F9FC"/>
          </w:tcPr>
          <w:p>
            <w:pPr>
              <w:spacing w:after="20" w:before="20"/>
            </w:pPr>
            <w:r>
              <w:rPr>
                <w:color w:val="162B43"/>
                <w:sz w:val="14"/>
              </w:rPr>
              <w:t>0.309 ± 0.130</w:t>
            </w:r>
          </w:p>
        </w:tc>
        <w:tc>
          <w:tcPr>
            <w:tcW w:type="dxa" w:w="2462"/>
            <w:vAlign w:val="center"/>
            <w:shd w:fill="F6F9FC"/>
          </w:tcPr>
          <w:p>
            <w:pPr>
              <w:spacing w:after="20" w:before="20"/>
            </w:pPr>
            <w:r>
              <w:rPr>
                <w:color w:val="162B43"/>
                <w:sz w:val="14"/>
              </w:rPr>
              <w:t>18.92% ± 2.11 pp</w:t>
            </w:r>
          </w:p>
        </w:tc>
        <w:tc>
          <w:tcPr>
            <w:tcW w:type="dxa" w:w="1066"/>
            <w:vAlign w:val="center"/>
            <w:shd w:fill="F6F9FC"/>
          </w:tcPr>
          <w:p>
            <w:pPr>
              <w:spacing w:after="20" w:before="20"/>
            </w:pPr>
            <w:r>
              <w:rPr>
                <w:color w:val="162B43"/>
                <w:sz w:val="14"/>
              </w:rPr>
              <w:t>1.612</w:t>
            </w:r>
          </w:p>
        </w:tc>
        <w:tc>
          <w:tcPr>
            <w:tcW w:type="dxa" w:w="1037"/>
            <w:vAlign w:val="center"/>
            <w:shd w:fill="F6F9FC"/>
          </w:tcPr>
          <w:p>
            <w:pPr>
              <w:spacing w:after="20" w:before="20"/>
            </w:pPr>
            <w:r>
              <w:rPr>
                <w:color w:val="162B43"/>
                <w:sz w:val="14"/>
              </w:rPr>
              <w:t>1.261</w:t>
            </w:r>
          </w:p>
        </w:tc>
      </w:tr>
      <w:tr>
        <w:trPr>
          <w:cantSplit/>
        </w:trPr>
        <w:tc>
          <w:tcPr>
            <w:tcW w:type="dxa" w:w="2376"/>
            <w:vAlign w:val="center"/>
          </w:tcPr>
          <w:p>
            <w:pPr>
              <w:spacing w:after="20" w:before="20"/>
            </w:pPr>
            <w:r>
              <w:rPr>
                <w:color w:val="162B43"/>
                <w:sz w:val="14"/>
              </w:rPr>
              <w:t>80/20 — Mean baseline</w:t>
            </w:r>
          </w:p>
        </w:tc>
        <w:tc>
          <w:tcPr>
            <w:tcW w:type="dxa" w:w="1944"/>
            <w:vAlign w:val="center"/>
          </w:tcPr>
          <w:p>
            <w:pPr>
              <w:spacing w:after="20" w:before="20"/>
            </w:pPr>
            <w:r>
              <w:rPr>
                <w:color w:val="162B43"/>
                <w:sz w:val="14"/>
              </w:rPr>
              <w:t>-0.067 ± 0.096</w:t>
            </w:r>
          </w:p>
        </w:tc>
        <w:tc>
          <w:tcPr>
            <w:tcW w:type="dxa" w:w="2462"/>
            <w:vAlign w:val="center"/>
          </w:tcPr>
          <w:p>
            <w:pPr>
              <w:spacing w:after="20" w:before="20"/>
            </w:pPr>
            <w:r>
              <w:rPr>
                <w:color w:val="162B43"/>
                <w:sz w:val="14"/>
              </w:rPr>
              <w:t>25.98% ± 3.05 pp</w:t>
            </w:r>
          </w:p>
        </w:tc>
        <w:tc>
          <w:tcPr>
            <w:tcW w:type="dxa" w:w="1066"/>
            <w:vAlign w:val="center"/>
          </w:tcPr>
          <w:p>
            <w:pPr>
              <w:spacing w:after="20" w:before="20"/>
            </w:pPr>
            <w:r>
              <w:rPr>
                <w:color w:val="162B43"/>
                <w:sz w:val="14"/>
              </w:rPr>
              <w:t>2.000</w:t>
            </w:r>
          </w:p>
        </w:tc>
        <w:tc>
          <w:tcPr>
            <w:tcW w:type="dxa" w:w="1037"/>
            <w:vAlign w:val="center"/>
          </w:tcPr>
          <w:p>
            <w:pPr>
              <w:spacing w:after="20" w:before="20"/>
            </w:pPr>
            <w:r>
              <w:rPr>
                <w:color w:val="162B43"/>
                <w:sz w:val="14"/>
              </w:rPr>
              <w:t>1.586</w:t>
            </w:r>
          </w:p>
        </w:tc>
      </w:tr>
      <w:tr>
        <w:trPr>
          <w:cantSplit/>
        </w:trPr>
        <w:tc>
          <w:tcPr>
            <w:tcW w:type="dxa" w:w="2376"/>
            <w:vAlign w:val="center"/>
            <w:shd w:fill="F6F9FC"/>
          </w:tcPr>
          <w:p>
            <w:pPr>
              <w:spacing w:after="20" w:before="20"/>
            </w:pPr>
            <w:r>
              <w:rPr>
                <w:color w:val="162B43"/>
                <w:sz w:val="14"/>
              </w:rPr>
              <w:t>80/20 — OLS</w:t>
            </w:r>
          </w:p>
        </w:tc>
        <w:tc>
          <w:tcPr>
            <w:tcW w:type="dxa" w:w="1944"/>
            <w:vAlign w:val="center"/>
            <w:shd w:fill="F6F9FC"/>
          </w:tcPr>
          <w:p>
            <w:pPr>
              <w:spacing w:after="20" w:before="20"/>
            </w:pPr>
            <w:r>
              <w:rPr>
                <w:color w:val="162B43"/>
                <w:sz w:val="14"/>
              </w:rPr>
              <w:t>0.241 ± 0.277</w:t>
            </w:r>
          </w:p>
        </w:tc>
        <w:tc>
          <w:tcPr>
            <w:tcW w:type="dxa" w:w="2462"/>
            <w:vAlign w:val="center"/>
            <w:shd w:fill="F6F9FC"/>
          </w:tcPr>
          <w:p>
            <w:pPr>
              <w:spacing w:after="20" w:before="20"/>
            </w:pPr>
            <w:r>
              <w:rPr>
                <w:color w:val="162B43"/>
                <w:sz w:val="14"/>
              </w:rPr>
              <w:t>21.54% ± 3.84 pp</w:t>
            </w:r>
          </w:p>
        </w:tc>
        <w:tc>
          <w:tcPr>
            <w:tcW w:type="dxa" w:w="1066"/>
            <w:vAlign w:val="center"/>
            <w:shd w:fill="F6F9FC"/>
          </w:tcPr>
          <w:p>
            <w:pPr>
              <w:spacing w:after="20" w:before="20"/>
            </w:pPr>
            <w:r>
              <w:rPr>
                <w:color w:val="162B43"/>
                <w:sz w:val="14"/>
              </w:rPr>
              <w:t>1.645</w:t>
            </w:r>
          </w:p>
        </w:tc>
        <w:tc>
          <w:tcPr>
            <w:tcW w:type="dxa" w:w="1037"/>
            <w:vAlign w:val="center"/>
            <w:shd w:fill="F6F9FC"/>
          </w:tcPr>
          <w:p>
            <w:pPr>
              <w:spacing w:after="20" w:before="20"/>
            </w:pPr>
            <w:r>
              <w:rPr>
                <w:color w:val="162B43"/>
                <w:sz w:val="14"/>
              </w:rPr>
              <w:t>1.281</w:t>
            </w:r>
          </w:p>
        </w:tc>
      </w:tr>
      <w:tr>
        <w:trPr>
          <w:cantSplit/>
        </w:trPr>
        <w:tc>
          <w:tcPr>
            <w:tcW w:type="dxa" w:w="2376"/>
            <w:vAlign w:val="center"/>
          </w:tcPr>
          <w:p>
            <w:pPr>
              <w:spacing w:after="20" w:before="20"/>
            </w:pPr>
            <w:r>
              <w:rPr>
                <w:color w:val="162B43"/>
                <w:sz w:val="14"/>
              </w:rPr>
              <w:t>80/20 — Ridge</w:t>
            </w:r>
          </w:p>
        </w:tc>
        <w:tc>
          <w:tcPr>
            <w:tcW w:type="dxa" w:w="1944"/>
            <w:vAlign w:val="center"/>
          </w:tcPr>
          <w:p>
            <w:pPr>
              <w:spacing w:after="20" w:before="20"/>
            </w:pPr>
            <w:r>
              <w:rPr>
                <w:color w:val="162B43"/>
                <w:sz w:val="14"/>
              </w:rPr>
              <w:t>0.269 ± 0.226</w:t>
            </w:r>
          </w:p>
        </w:tc>
        <w:tc>
          <w:tcPr>
            <w:tcW w:type="dxa" w:w="2462"/>
            <w:vAlign w:val="center"/>
          </w:tcPr>
          <w:p>
            <w:pPr>
              <w:spacing w:after="20" w:before="20"/>
            </w:pPr>
            <w:r>
              <w:rPr>
                <w:color w:val="162B43"/>
                <w:sz w:val="14"/>
              </w:rPr>
              <w:t>21.22% ± 3.38 pp</w:t>
            </w:r>
          </w:p>
        </w:tc>
        <w:tc>
          <w:tcPr>
            <w:tcW w:type="dxa" w:w="1066"/>
            <w:vAlign w:val="center"/>
          </w:tcPr>
          <w:p>
            <w:pPr>
              <w:spacing w:after="20" w:before="20"/>
            </w:pPr>
            <w:r>
              <w:rPr>
                <w:color w:val="162B43"/>
                <w:sz w:val="14"/>
              </w:rPr>
              <w:t>1.626</w:t>
            </w:r>
          </w:p>
        </w:tc>
        <w:tc>
          <w:tcPr>
            <w:tcW w:type="dxa" w:w="1037"/>
            <w:vAlign w:val="center"/>
          </w:tcPr>
          <w:p>
            <w:pPr>
              <w:spacing w:after="20" w:before="20"/>
            </w:pPr>
            <w:r>
              <w:rPr>
                <w:color w:val="162B43"/>
                <w:sz w:val="14"/>
              </w:rPr>
              <w:t>1.260</w:t>
            </w:r>
          </w:p>
        </w:tc>
      </w:tr>
      <w:tr>
        <w:trPr>
          <w:cantSplit/>
        </w:trPr>
        <w:tc>
          <w:tcPr>
            <w:tcW w:type="dxa" w:w="2376"/>
            <w:vAlign w:val="center"/>
            <w:shd w:fill="F6F9FC"/>
          </w:tcPr>
          <w:p>
            <w:pPr>
              <w:spacing w:after="20" w:before="20"/>
            </w:pPr>
            <w:r>
              <w:rPr>
                <w:color w:val="162B43"/>
                <w:sz w:val="14"/>
              </w:rPr>
              <w:t>80/20 — Lasso</w:t>
            </w:r>
          </w:p>
        </w:tc>
        <w:tc>
          <w:tcPr>
            <w:tcW w:type="dxa" w:w="1944"/>
            <w:vAlign w:val="center"/>
            <w:shd w:fill="F6F9FC"/>
          </w:tcPr>
          <w:p>
            <w:pPr>
              <w:spacing w:after="20" w:before="20"/>
            </w:pPr>
            <w:r>
              <w:rPr>
                <w:color w:val="162B43"/>
                <w:sz w:val="14"/>
              </w:rPr>
              <w:t>0.315 ± 0.221</w:t>
            </w:r>
          </w:p>
        </w:tc>
        <w:tc>
          <w:tcPr>
            <w:tcW w:type="dxa" w:w="2462"/>
            <w:vAlign w:val="center"/>
            <w:shd w:fill="F6F9FC"/>
          </w:tcPr>
          <w:p>
            <w:pPr>
              <w:spacing w:after="20" w:before="20"/>
            </w:pPr>
            <w:r>
              <w:rPr>
                <w:color w:val="162B43"/>
                <w:sz w:val="14"/>
              </w:rPr>
              <w:t>20.54% ± 3.34 pp</w:t>
            </w:r>
          </w:p>
        </w:tc>
        <w:tc>
          <w:tcPr>
            <w:tcW w:type="dxa" w:w="1066"/>
            <w:vAlign w:val="center"/>
            <w:shd w:fill="F6F9FC"/>
          </w:tcPr>
          <w:p>
            <w:pPr>
              <w:spacing w:after="20" w:before="20"/>
            </w:pPr>
            <w:r>
              <w:rPr>
                <w:color w:val="162B43"/>
                <w:sz w:val="14"/>
              </w:rPr>
              <w:t>1.573</w:t>
            </w:r>
          </w:p>
        </w:tc>
        <w:tc>
          <w:tcPr>
            <w:tcW w:type="dxa" w:w="1037"/>
            <w:vAlign w:val="center"/>
            <w:shd w:fill="F6F9FC"/>
          </w:tcPr>
          <w:p>
            <w:pPr>
              <w:spacing w:after="20" w:before="20"/>
            </w:pPr>
            <w:r>
              <w:rPr>
                <w:color w:val="162B43"/>
                <w:sz w:val="14"/>
              </w:rPr>
              <w:t>1.228</w:t>
            </w:r>
          </w:p>
        </w:tc>
      </w:tr>
      <w:tr>
        <w:trPr>
          <w:cantSplit/>
        </w:trPr>
        <w:tc>
          <w:tcPr>
            <w:tcW w:type="dxa" w:w="2376"/>
            <w:vAlign w:val="center"/>
          </w:tcPr>
          <w:p>
            <w:pPr>
              <w:spacing w:after="20" w:before="20"/>
            </w:pPr>
            <w:r>
              <w:rPr>
                <w:color w:val="162B43"/>
                <w:sz w:val="14"/>
              </w:rPr>
              <w:t>80/20 — Random forest</w:t>
            </w:r>
          </w:p>
        </w:tc>
        <w:tc>
          <w:tcPr>
            <w:tcW w:type="dxa" w:w="1944"/>
            <w:vAlign w:val="center"/>
          </w:tcPr>
          <w:p>
            <w:pPr>
              <w:spacing w:after="20" w:before="20"/>
            </w:pPr>
            <w:r>
              <w:rPr>
                <w:color w:val="162B43"/>
                <w:sz w:val="14"/>
              </w:rPr>
              <w:t>0.271 ± 0.197</w:t>
            </w:r>
          </w:p>
        </w:tc>
        <w:tc>
          <w:tcPr>
            <w:tcW w:type="dxa" w:w="2462"/>
            <w:vAlign w:val="center"/>
          </w:tcPr>
          <w:p>
            <w:pPr>
              <w:spacing w:after="20" w:before="20"/>
            </w:pPr>
            <w:r>
              <w:rPr>
                <w:color w:val="162B43"/>
                <w:sz w:val="14"/>
              </w:rPr>
              <w:t>21.24% ± 3.02 pp</w:t>
            </w:r>
          </w:p>
        </w:tc>
        <w:tc>
          <w:tcPr>
            <w:tcW w:type="dxa" w:w="1066"/>
            <w:vAlign w:val="center"/>
          </w:tcPr>
          <w:p>
            <w:pPr>
              <w:spacing w:after="20" w:before="20"/>
            </w:pPr>
            <w:r>
              <w:rPr>
                <w:color w:val="162B43"/>
                <w:sz w:val="14"/>
              </w:rPr>
              <w:t>1.625</w:t>
            </w:r>
          </w:p>
        </w:tc>
        <w:tc>
          <w:tcPr>
            <w:tcW w:type="dxa" w:w="1037"/>
            <w:vAlign w:val="center"/>
          </w:tcPr>
          <w:p>
            <w:pPr>
              <w:spacing w:after="20" w:before="20"/>
            </w:pPr>
            <w:r>
              <w:rPr>
                <w:color w:val="162B43"/>
                <w:sz w:val="14"/>
              </w:rPr>
              <w:t>1.284</w:t>
            </w:r>
          </w:p>
        </w:tc>
      </w:tr>
      <w:tr>
        <w:trPr>
          <w:cantSplit/>
        </w:trPr>
        <w:tc>
          <w:tcPr>
            <w:tcW w:type="dxa" w:w="2376"/>
            <w:vAlign w:val="center"/>
            <w:shd w:fill="F6F9FC"/>
          </w:tcPr>
          <w:p>
            <w:pPr>
              <w:spacing w:after="20" w:before="20"/>
            </w:pPr>
            <w:r>
              <w:rPr>
                <w:color w:val="162B43"/>
                <w:sz w:val="14"/>
              </w:rPr>
              <w:t>80/20 — Gradient boosting</w:t>
            </w:r>
          </w:p>
        </w:tc>
        <w:tc>
          <w:tcPr>
            <w:tcW w:type="dxa" w:w="1944"/>
            <w:vAlign w:val="center"/>
            <w:shd w:fill="F6F9FC"/>
          </w:tcPr>
          <w:p>
            <w:pPr>
              <w:spacing w:after="20" w:before="20"/>
            </w:pPr>
            <w:r>
              <w:rPr>
                <w:color w:val="162B43"/>
                <w:sz w:val="14"/>
              </w:rPr>
              <w:t>0.299 ± 0.169</w:t>
            </w:r>
          </w:p>
        </w:tc>
        <w:tc>
          <w:tcPr>
            <w:tcW w:type="dxa" w:w="2462"/>
            <w:vAlign w:val="center"/>
            <w:shd w:fill="F6F9FC"/>
          </w:tcPr>
          <w:p>
            <w:pPr>
              <w:spacing w:after="20" w:before="20"/>
            </w:pPr>
            <w:r>
              <w:rPr>
                <w:color w:val="162B43"/>
                <w:sz w:val="14"/>
              </w:rPr>
              <w:t>20.86% ± 2.78 pp</w:t>
            </w:r>
          </w:p>
        </w:tc>
        <w:tc>
          <w:tcPr>
            <w:tcW w:type="dxa" w:w="1066"/>
            <w:vAlign w:val="center"/>
            <w:shd w:fill="F6F9FC"/>
          </w:tcPr>
          <w:p>
            <w:pPr>
              <w:spacing w:after="20" w:before="20"/>
            </w:pPr>
            <w:r>
              <w:rPr>
                <w:color w:val="162B43"/>
                <w:sz w:val="14"/>
              </w:rPr>
              <w:t>1.602</w:t>
            </w:r>
          </w:p>
        </w:tc>
        <w:tc>
          <w:tcPr>
            <w:tcW w:type="dxa" w:w="1037"/>
            <w:vAlign w:val="center"/>
            <w:shd w:fill="F6F9FC"/>
          </w:tcPr>
          <w:p>
            <w:pPr>
              <w:spacing w:after="20" w:before="20"/>
            </w:pPr>
            <w:r>
              <w:rPr>
                <w:color w:val="162B43"/>
                <w:sz w:val="14"/>
              </w:rPr>
              <w:t>1.257</w:t>
            </w:r>
          </w:p>
        </w:tc>
      </w:tr>
    </w:tbl>
    <w:p>
      <w:pPr>
        <w:spacing w:after="40"/>
        <w:jc w:val="center"/>
      </w:pPr>
      <w:r>
        <w:drawing>
          <wp:inline xmlns:a="http://schemas.openxmlformats.org/drawingml/2006/main" xmlns:pic="http://schemas.openxmlformats.org/drawingml/2006/picture">
            <wp:extent cx="5669280" cy="2365975"/>
            <wp:docPr id="1" name="Picture 1"/>
            <wp:cNvGraphicFramePr>
              <a:graphicFrameLocks noChangeAspect="1"/>
            </wp:cNvGraphicFramePr>
            <a:graphic>
              <a:graphicData uri="http://schemas.openxmlformats.org/drawingml/2006/picture">
                <pic:pic>
                  <pic:nvPicPr>
                    <pic:cNvPr id="0" name="figure_repeated_r2.png"/>
                    <pic:cNvPicPr/>
                  </pic:nvPicPr>
                  <pic:blipFill>
                    <a:blip r:embed="rId11"/>
                    <a:stretch>
                      <a:fillRect/>
                    </a:stretch>
                  </pic:blipFill>
                  <pic:spPr>
                    <a:xfrm>
                      <a:off x="0" y="0"/>
                      <a:ext cx="5669280" cy="2365975"/>
                    </a:xfrm>
                    <a:prstGeom prst="rect"/>
                  </pic:spPr>
                </pic:pic>
              </a:graphicData>
            </a:graphic>
          </wp:inline>
        </w:drawing>
      </w:r>
    </w:p>
    <w:p>
      <w:pPr>
        <w:pStyle w:val="FigureCaption"/>
      </w:pPr>
      <w:r>
        <w:t>Figure 1. Mean test R² ± descriptive SD for 200 overlapping random splits. Error bars are not confidence intervals.</w:t>
      </w:r>
    </w:p>
    <w:p>
      <w:r>
        <w:t>At 70/30, Lasso mean test R² is 0.321 (SD 0.178), against Ridge 0.277 and Gradient Boosting 0.309. At 80/20, Lasso scores 0.315 (SD 0.221), against Ridge 0.269 and Gradient Boosting 0.299. The stronger overall Lasso mean is accompanied by meaningful split-dependent variation and only 21 held-out matches for 80/20.</w:t>
      </w:r>
    </w:p>
    <w:p>
      <w:r>
        <w:br w:type="page"/>
      </w:r>
    </w:p>
    <w:p>
      <w:pPr>
        <w:pStyle w:val="Heading1"/>
      </w:pPr>
      <w:r>
        <w:t>5. Training-only exploratory assessment</w:t>
      </w:r>
    </w:p>
    <w:p>
      <w:r>
        <w:t>Feature–target correlations and variance inflation factors were calculated using only the seed-42 80/20 training partition (n = 83), avoiding exploratory inspection of the corresponding held-out outcomes. These statistics are descriptive and do not indicate causality.</w:t>
      </w:r>
    </w:p>
    <w:tbl>
      <w:tblPr>
        <w:tblStyle w:val="TableGrid"/>
        <w:tblW w:type="auto" w:w="0"/>
        <w:jc w:val="center"/>
        <w:tblLayout w:type="fixed"/>
        <w:tblLook w:firstColumn="1" w:firstRow="1" w:lastColumn="0" w:lastRow="0" w:noHBand="0" w:noVBand="1" w:val="04A0"/>
      </w:tblPr>
      <w:tblGrid>
        <w:gridCol w:w="4680"/>
        <w:gridCol w:w="2376"/>
        <w:gridCol w:w="1656"/>
      </w:tblGrid>
      <w:tr>
        <w:trPr>
          <w:cantSplit/>
          <w:tblHeader w:val="true"/>
        </w:trPr>
        <w:tc>
          <w:tcPr>
            <w:tcW w:type="dxa" w:w="4680"/>
            <w:shd w:fill="DCE7F3"/>
          </w:tcPr>
          <w:p>
            <w:pPr>
              <w:spacing w:after="20" w:before="20"/>
            </w:pPr>
            <w:r>
              <w:rPr>
                <w:b/>
                <w:color w:val="162B43"/>
                <w:sz w:val="16"/>
              </w:rPr>
              <w:t>Feature</w:t>
            </w:r>
          </w:p>
        </w:tc>
        <w:tc>
          <w:tcPr>
            <w:tcW w:type="dxa" w:w="2376"/>
            <w:shd w:fill="DCE7F3"/>
          </w:tcPr>
          <w:p>
            <w:pPr>
              <w:spacing w:after="20" w:before="20"/>
            </w:pPr>
            <w:r>
              <w:rPr>
                <w:b/>
                <w:color w:val="162B43"/>
                <w:sz w:val="16"/>
              </w:rPr>
              <w:t>Training Pearson r</w:t>
            </w:r>
          </w:p>
        </w:tc>
        <w:tc>
          <w:tcPr>
            <w:tcW w:type="dxa" w:w="1656"/>
            <w:shd w:fill="DCE7F3"/>
          </w:tcPr>
          <w:p>
            <w:pPr>
              <w:spacing w:after="20" w:before="20"/>
            </w:pPr>
            <w:r>
              <w:rPr>
                <w:b/>
                <w:color w:val="162B43"/>
                <w:sz w:val="16"/>
              </w:rPr>
              <w:t>VIF</w:t>
            </w:r>
          </w:p>
        </w:tc>
      </w:tr>
      <w:tr>
        <w:trPr>
          <w:cantSplit/>
        </w:trPr>
        <w:tc>
          <w:tcPr>
            <w:tcW w:type="dxa" w:w="4680"/>
            <w:vAlign w:val="center"/>
          </w:tcPr>
          <w:p>
            <w:pPr>
              <w:spacing w:after="20" w:before="20"/>
            </w:pPr>
            <w:r>
              <w:rPr>
                <w:color w:val="162B43"/>
                <w:sz w:val="16"/>
              </w:rPr>
              <w:t>fifa_points diff.</w:t>
            </w:r>
          </w:p>
        </w:tc>
        <w:tc>
          <w:tcPr>
            <w:tcW w:type="dxa" w:w="2376"/>
            <w:vAlign w:val="center"/>
          </w:tcPr>
          <w:p>
            <w:pPr>
              <w:spacing w:after="20" w:before="20"/>
            </w:pPr>
            <w:r>
              <w:rPr>
                <w:color w:val="162B43"/>
                <w:sz w:val="16"/>
              </w:rPr>
              <w:t>+0.669</w:t>
            </w:r>
          </w:p>
        </w:tc>
        <w:tc>
          <w:tcPr>
            <w:tcW w:type="dxa" w:w="1656"/>
            <w:vAlign w:val="center"/>
          </w:tcPr>
          <w:p>
            <w:pPr>
              <w:spacing w:after="20" w:before="20"/>
            </w:pPr>
            <w:r>
              <w:rPr>
                <w:color w:val="162B43"/>
                <w:sz w:val="16"/>
              </w:rPr>
              <w:t>1.60</w:t>
            </w:r>
          </w:p>
        </w:tc>
      </w:tr>
      <w:tr>
        <w:trPr>
          <w:cantSplit/>
        </w:trPr>
        <w:tc>
          <w:tcPr>
            <w:tcW w:type="dxa" w:w="4680"/>
            <w:vAlign w:val="center"/>
            <w:shd w:fill="F6F9FC"/>
          </w:tcPr>
          <w:p>
            <w:pPr>
              <w:spacing w:after="20" w:before="20"/>
            </w:pPr>
            <w:r>
              <w:rPr>
                <w:color w:val="162B43"/>
                <w:sz w:val="16"/>
              </w:rPr>
              <w:t>points_per_match diff.</w:t>
            </w:r>
          </w:p>
        </w:tc>
        <w:tc>
          <w:tcPr>
            <w:tcW w:type="dxa" w:w="2376"/>
            <w:vAlign w:val="center"/>
            <w:shd w:fill="F6F9FC"/>
          </w:tcPr>
          <w:p>
            <w:pPr>
              <w:spacing w:after="20" w:before="20"/>
            </w:pPr>
            <w:r>
              <w:rPr>
                <w:color w:val="162B43"/>
                <w:sz w:val="16"/>
              </w:rPr>
              <w:t>+0.373</w:t>
            </w:r>
          </w:p>
        </w:tc>
        <w:tc>
          <w:tcPr>
            <w:tcW w:type="dxa" w:w="1656"/>
            <w:vAlign w:val="center"/>
            <w:shd w:fill="F6F9FC"/>
          </w:tcPr>
          <w:p>
            <w:pPr>
              <w:spacing w:after="20" w:before="20"/>
            </w:pPr>
            <w:r>
              <w:rPr>
                <w:color w:val="162B43"/>
                <w:sz w:val="16"/>
              </w:rPr>
              <w:t>5.31</w:t>
            </w:r>
          </w:p>
        </w:tc>
      </w:tr>
      <w:tr>
        <w:trPr>
          <w:cantSplit/>
        </w:trPr>
        <w:tc>
          <w:tcPr>
            <w:tcW w:type="dxa" w:w="4680"/>
            <w:vAlign w:val="center"/>
          </w:tcPr>
          <w:p>
            <w:pPr>
              <w:spacing w:after="20" w:before="20"/>
            </w:pPr>
            <w:r>
              <w:rPr>
                <w:color w:val="162B43"/>
                <w:sz w:val="16"/>
              </w:rPr>
              <w:t>avg_goals_conceded diff.</w:t>
            </w:r>
          </w:p>
        </w:tc>
        <w:tc>
          <w:tcPr>
            <w:tcW w:type="dxa" w:w="2376"/>
            <w:vAlign w:val="center"/>
          </w:tcPr>
          <w:p>
            <w:pPr>
              <w:spacing w:after="20" w:before="20"/>
            </w:pPr>
            <w:r>
              <w:rPr>
                <w:color w:val="162B43"/>
                <w:sz w:val="16"/>
              </w:rPr>
              <w:t>-0.351</w:t>
            </w:r>
          </w:p>
        </w:tc>
        <w:tc>
          <w:tcPr>
            <w:tcW w:type="dxa" w:w="1656"/>
            <w:vAlign w:val="center"/>
          </w:tcPr>
          <w:p>
            <w:pPr>
              <w:spacing w:after="20" w:before="20"/>
            </w:pPr>
            <w:r>
              <w:rPr>
                <w:color w:val="162B43"/>
                <w:sz w:val="16"/>
              </w:rPr>
              <w:t>2.07</w:t>
            </w:r>
          </w:p>
        </w:tc>
      </w:tr>
      <w:tr>
        <w:trPr>
          <w:cantSplit/>
        </w:trPr>
        <w:tc>
          <w:tcPr>
            <w:tcW w:type="dxa" w:w="4680"/>
            <w:vAlign w:val="center"/>
            <w:shd w:fill="F6F9FC"/>
          </w:tcPr>
          <w:p>
            <w:pPr>
              <w:spacing w:after="20" w:before="20"/>
            </w:pPr>
            <w:r>
              <w:rPr>
                <w:color w:val="162B43"/>
                <w:sz w:val="16"/>
              </w:rPr>
              <w:t>avg_goals_scored diff.</w:t>
            </w:r>
          </w:p>
        </w:tc>
        <w:tc>
          <w:tcPr>
            <w:tcW w:type="dxa" w:w="2376"/>
            <w:vAlign w:val="center"/>
            <w:shd w:fill="F6F9FC"/>
          </w:tcPr>
          <w:p>
            <w:pPr>
              <w:spacing w:after="20" w:before="20"/>
            </w:pPr>
            <w:r>
              <w:rPr>
                <w:color w:val="162B43"/>
                <w:sz w:val="16"/>
              </w:rPr>
              <w:t>+0.275</w:t>
            </w:r>
          </w:p>
        </w:tc>
        <w:tc>
          <w:tcPr>
            <w:tcW w:type="dxa" w:w="1656"/>
            <w:vAlign w:val="center"/>
            <w:shd w:fill="F6F9FC"/>
          </w:tcPr>
          <w:p>
            <w:pPr>
              <w:spacing w:after="20" w:before="20"/>
            </w:pPr>
            <w:r>
              <w:rPr>
                <w:color w:val="162B43"/>
                <w:sz w:val="16"/>
              </w:rPr>
              <w:t>6.10</w:t>
            </w:r>
          </w:p>
        </w:tc>
      </w:tr>
    </w:tbl>
    <w:p>
      <w:r>
        <w:t>FIFA strength is the strongest univariate signal (r = +0.669), followed by points per match (+0.373), goals conceded (−0.351) and goals scored (+0.275). The maximum observed VIF is 6.10 for average goals scored, with points per match at 5.31: substantial but not automatically disqualifying overlap, which regularisation can moderate.</w:t>
      </w:r>
    </w:p>
    <w:p>
      <w:pPr>
        <w:spacing w:after="40"/>
        <w:jc w:val="center"/>
      </w:pPr>
      <w:r>
        <w:drawing>
          <wp:inline xmlns:a="http://schemas.openxmlformats.org/drawingml/2006/main" xmlns:pic="http://schemas.openxmlformats.org/drawingml/2006/picture">
            <wp:extent cx="5029200" cy="3520440"/>
            <wp:docPr id="2" name="Picture 2"/>
            <wp:cNvGraphicFramePr>
              <a:graphicFrameLocks noChangeAspect="1"/>
            </wp:cNvGraphicFramePr>
            <a:graphic>
              <a:graphicData uri="http://schemas.openxmlformats.org/drawingml/2006/picture">
                <pic:pic>
                  <pic:nvPicPr>
                    <pic:cNvPr id="0" name="regression_2_1_correlation_heatmap.png"/>
                    <pic:cNvPicPr/>
                  </pic:nvPicPr>
                  <pic:blipFill>
                    <a:blip r:embed="rId12"/>
                    <a:stretch>
                      <a:fillRect/>
                    </a:stretch>
                  </pic:blipFill>
                  <pic:spPr>
                    <a:xfrm>
                      <a:off x="0" y="0"/>
                      <a:ext cx="5029200" cy="3520440"/>
                    </a:xfrm>
                    <a:prstGeom prst="rect"/>
                  </pic:spPr>
                </pic:pic>
              </a:graphicData>
            </a:graphic>
          </wp:inline>
        </w:drawing>
      </w:r>
    </w:p>
    <w:p>
      <w:pPr>
        <w:pStyle w:val="FigureCaption"/>
      </w:pPr>
      <w:r>
        <w:t>Figure 2. Correlation matrix of the eight locked predictors on the 80/20 training partition (n = 83).</w:t>
      </w:r>
    </w:p>
    <w:p>
      <w:r>
        <w:t>All eight feature columns were retained in the model comparison. Feature-selection decisions were not based on the held-out outcomes.</w:t>
      </w:r>
    </w:p>
    <w:p>
      <w:r>
        <w:br w:type="page"/>
      </w:r>
    </w:p>
    <w:p>
      <w:pPr>
        <w:pStyle w:val="Heading1"/>
      </w:pPr>
      <w:r>
        <w:t>6. OLS residual and influence diagnostics</w:t>
      </w:r>
    </w:p>
    <w:p>
      <w:r>
        <w:t>Diagnostics refer to the seed-42 OLS fit on the 80/20 training sample (n = 83), not to the separately tuned Lasso model. These are model checks rather than proof of the statistical assumptions.</w:t>
      </w:r>
    </w:p>
    <w:tbl>
      <w:tblPr>
        <w:tblStyle w:val="TableGrid"/>
        <w:tblW w:type="auto" w:w="0"/>
        <w:jc w:val="center"/>
        <w:tblLayout w:type="fixed"/>
        <w:tblLook w:firstColumn="1" w:firstRow="1" w:lastColumn="0" w:lastRow="0" w:noHBand="0" w:noVBand="1" w:val="04A0"/>
      </w:tblPr>
      <w:tblGrid>
        <w:gridCol w:w="2419"/>
        <w:gridCol w:w="2419"/>
        <w:gridCol w:w="4349"/>
      </w:tblGrid>
      <w:tr>
        <w:trPr>
          <w:cantSplit/>
          <w:tblHeader w:val="true"/>
        </w:trPr>
        <w:tc>
          <w:tcPr>
            <w:tcW w:type="dxa" w:w="2419"/>
            <w:shd w:fill="DCE7F3"/>
          </w:tcPr>
          <w:p>
            <w:pPr>
              <w:spacing w:after="20" w:before="20"/>
            </w:pPr>
            <w:r>
              <w:rPr>
                <w:b/>
                <w:color w:val="162B43"/>
                <w:sz w:val="15"/>
              </w:rPr>
              <w:t>Diagnostic</w:t>
            </w:r>
          </w:p>
        </w:tc>
        <w:tc>
          <w:tcPr>
            <w:tcW w:type="dxa" w:w="2419"/>
            <w:shd w:fill="DCE7F3"/>
          </w:tcPr>
          <w:p>
            <w:pPr>
              <w:spacing w:after="20" w:before="20"/>
            </w:pPr>
            <w:r>
              <w:rPr>
                <w:b/>
                <w:color w:val="162B43"/>
                <w:sz w:val="15"/>
              </w:rPr>
              <w:t>Updated result</w:t>
            </w:r>
          </w:p>
        </w:tc>
        <w:tc>
          <w:tcPr>
            <w:tcW w:type="dxa" w:w="4349"/>
            <w:shd w:fill="DCE7F3"/>
          </w:tcPr>
          <w:p>
            <w:pPr>
              <w:spacing w:after="20" w:before="20"/>
            </w:pPr>
            <w:r>
              <w:rPr>
                <w:b/>
                <w:color w:val="162B43"/>
                <w:sz w:val="15"/>
              </w:rPr>
              <w:t>Interpretation</w:t>
            </w:r>
          </w:p>
        </w:tc>
      </w:tr>
      <w:tr>
        <w:trPr>
          <w:cantSplit/>
        </w:trPr>
        <w:tc>
          <w:tcPr>
            <w:tcW w:type="dxa" w:w="2419"/>
            <w:vAlign w:val="center"/>
          </w:tcPr>
          <w:p>
            <w:pPr>
              <w:spacing w:after="20" w:before="20"/>
            </w:pPr>
            <w:r>
              <w:rPr>
                <w:color w:val="162B43"/>
                <w:sz w:val="15"/>
              </w:rPr>
              <w:t>Breusch–Pagan LM test</w:t>
            </w:r>
          </w:p>
        </w:tc>
        <w:tc>
          <w:tcPr>
            <w:tcW w:type="dxa" w:w="2419"/>
            <w:vAlign w:val="center"/>
          </w:tcPr>
          <w:p>
            <w:pPr>
              <w:spacing w:after="20" w:before="20"/>
            </w:pPr>
            <w:r>
              <w:rPr>
                <w:color w:val="162B43"/>
                <w:sz w:val="15"/>
              </w:rPr>
              <w:t>p = 0.271</w:t>
            </w:r>
          </w:p>
        </w:tc>
        <w:tc>
          <w:tcPr>
            <w:tcW w:type="dxa" w:w="4349"/>
            <w:vAlign w:val="center"/>
          </w:tcPr>
          <w:p>
            <w:pPr>
              <w:spacing w:after="20" w:before="20"/>
            </w:pPr>
            <w:r>
              <w:rPr>
                <w:color w:val="162B43"/>
                <w:sz w:val="15"/>
              </w:rPr>
              <w:t>No rejection of constant error variance at 5%</w:t>
            </w:r>
          </w:p>
        </w:tc>
      </w:tr>
      <w:tr>
        <w:trPr>
          <w:cantSplit/>
        </w:trPr>
        <w:tc>
          <w:tcPr>
            <w:tcW w:type="dxa" w:w="2419"/>
            <w:vAlign w:val="center"/>
            <w:shd w:fill="F6F9FC"/>
          </w:tcPr>
          <w:p>
            <w:pPr>
              <w:spacing w:after="20" w:before="20"/>
            </w:pPr>
            <w:r>
              <w:rPr>
                <w:color w:val="162B43"/>
                <w:sz w:val="15"/>
              </w:rPr>
              <w:t>Breusch–Pagan F test</w:t>
            </w:r>
          </w:p>
        </w:tc>
        <w:tc>
          <w:tcPr>
            <w:tcW w:type="dxa" w:w="2419"/>
            <w:vAlign w:val="center"/>
            <w:shd w:fill="F6F9FC"/>
          </w:tcPr>
          <w:p>
            <w:pPr>
              <w:spacing w:after="20" w:before="20"/>
            </w:pPr>
            <w:r>
              <w:rPr>
                <w:color w:val="162B43"/>
                <w:sz w:val="15"/>
              </w:rPr>
              <w:t>p = 0.281</w:t>
            </w:r>
          </w:p>
        </w:tc>
        <w:tc>
          <w:tcPr>
            <w:tcW w:type="dxa" w:w="4349"/>
            <w:vAlign w:val="center"/>
            <w:shd w:fill="F6F9FC"/>
          </w:tcPr>
          <w:p>
            <w:pPr>
              <w:spacing w:after="20" w:before="20"/>
            </w:pPr>
            <w:r>
              <w:rPr>
                <w:color w:val="162B43"/>
                <w:sz w:val="15"/>
              </w:rPr>
              <w:t>Consistent with LM conclusion</w:t>
            </w:r>
          </w:p>
        </w:tc>
      </w:tr>
      <w:tr>
        <w:trPr>
          <w:cantSplit/>
        </w:trPr>
        <w:tc>
          <w:tcPr>
            <w:tcW w:type="dxa" w:w="2419"/>
            <w:vAlign w:val="center"/>
          </w:tcPr>
          <w:p>
            <w:pPr>
              <w:spacing w:after="20" w:before="20"/>
            </w:pPr>
            <w:r>
              <w:rPr>
                <w:color w:val="162B43"/>
                <w:sz w:val="15"/>
              </w:rPr>
              <w:t>Shapiro–Wilk exploratory</w:t>
            </w:r>
          </w:p>
        </w:tc>
        <w:tc>
          <w:tcPr>
            <w:tcW w:type="dxa" w:w="2419"/>
            <w:vAlign w:val="center"/>
          </w:tcPr>
          <w:p>
            <w:pPr>
              <w:spacing w:after="20" w:before="20"/>
            </w:pPr>
            <w:r>
              <w:rPr>
                <w:color w:val="162B43"/>
                <w:sz w:val="15"/>
              </w:rPr>
              <w:t>p = 0.659</w:t>
            </w:r>
          </w:p>
        </w:tc>
        <w:tc>
          <w:tcPr>
            <w:tcW w:type="dxa" w:w="4349"/>
            <w:vAlign w:val="center"/>
          </w:tcPr>
          <w:p>
            <w:pPr>
              <w:spacing w:after="20" w:before="20"/>
            </w:pPr>
            <w:r>
              <w:rPr>
                <w:color w:val="162B43"/>
                <w:sz w:val="15"/>
              </w:rPr>
              <w:t>No clear normality rejection; not proof</w:t>
            </w:r>
          </w:p>
        </w:tc>
      </w:tr>
      <w:tr>
        <w:trPr>
          <w:cantSplit/>
        </w:trPr>
        <w:tc>
          <w:tcPr>
            <w:tcW w:type="dxa" w:w="2419"/>
            <w:vAlign w:val="center"/>
            <w:shd w:fill="F6F9FC"/>
          </w:tcPr>
          <w:p>
            <w:pPr>
              <w:spacing w:after="20" w:before="20"/>
            </w:pPr>
            <w:r>
              <w:rPr>
                <w:color w:val="162B43"/>
                <w:sz w:val="15"/>
              </w:rPr>
              <w:t>Cook’s distance</w:t>
            </w:r>
          </w:p>
        </w:tc>
        <w:tc>
          <w:tcPr>
            <w:tcW w:type="dxa" w:w="2419"/>
            <w:vAlign w:val="center"/>
            <w:shd w:fill="F6F9FC"/>
          </w:tcPr>
          <w:p>
            <w:pPr>
              <w:spacing w:after="20" w:before="20"/>
            </w:pPr>
            <w:r>
              <w:rPr>
                <w:color w:val="162B43"/>
                <w:sz w:val="15"/>
              </w:rPr>
              <w:t>4 above 4/n</w:t>
            </w:r>
          </w:p>
        </w:tc>
        <w:tc>
          <w:tcPr>
            <w:tcW w:type="dxa" w:w="4349"/>
            <w:vAlign w:val="center"/>
            <w:shd w:fill="F6F9FC"/>
          </w:tcPr>
          <w:p>
            <w:pPr>
              <w:spacing w:after="20" w:before="20"/>
            </w:pPr>
            <w:r>
              <w:rPr>
                <w:color w:val="162B43"/>
                <w:sz w:val="15"/>
              </w:rPr>
              <w:t>Threshold 0.048</w:t>
            </w:r>
          </w:p>
        </w:tc>
      </w:tr>
      <w:tr>
        <w:trPr>
          <w:cantSplit/>
        </w:trPr>
        <w:tc>
          <w:tcPr>
            <w:tcW w:type="dxa" w:w="2419"/>
            <w:vAlign w:val="center"/>
          </w:tcPr>
          <w:p>
            <w:pPr>
              <w:spacing w:after="20" w:before="20"/>
            </w:pPr>
            <w:r>
              <w:rPr>
                <w:color w:val="162B43"/>
                <w:sz w:val="15"/>
              </w:rPr>
              <w:t>Maximum Cook’s distance</w:t>
            </w:r>
          </w:p>
        </w:tc>
        <w:tc>
          <w:tcPr>
            <w:tcW w:type="dxa" w:w="2419"/>
            <w:vAlign w:val="center"/>
          </w:tcPr>
          <w:p>
            <w:pPr>
              <w:spacing w:after="20" w:before="20"/>
            </w:pPr>
            <w:r>
              <w:rPr>
                <w:color w:val="162B43"/>
                <w:sz w:val="15"/>
              </w:rPr>
              <w:t>0.471</w:t>
            </w:r>
          </w:p>
        </w:tc>
        <w:tc>
          <w:tcPr>
            <w:tcW w:type="dxa" w:w="4349"/>
            <w:vAlign w:val="center"/>
          </w:tcPr>
          <w:p>
            <w:pPr>
              <w:spacing w:after="20" w:before="20"/>
            </w:pPr>
            <w:r>
              <w:rPr>
                <w:color w:val="162B43"/>
                <w:sz w:val="15"/>
              </w:rPr>
              <w:t>Influential row requires inspection</w:t>
            </w:r>
          </w:p>
        </w:tc>
      </w:tr>
    </w:tbl>
    <w:tbl>
      <w:tblPr>
        <w:tblW w:type="auto" w:w="0"/>
        <w:tblLayout w:type="fixed"/>
        <w:tblLook w:firstColumn="1" w:firstRow="1" w:lastColumn="0" w:lastRow="0" w:noHBand="0" w:noVBand="1" w:val="04A0"/>
      </w:tblPr>
      <w:tblGrid>
        <w:gridCol w:w="4903"/>
        <w:gridCol w:w="4903"/>
      </w:tblGrid>
      <w:tr>
        <w:tc>
          <w:tcPr>
            <w:tcW w:type="dxa" w:w="4464"/>
          </w:tcPr>
          <w:p>
            <w:pPr>
              <w:jc w:val="center"/>
            </w:pPr>
            <w:r>
              <w:drawing>
                <wp:inline xmlns:a="http://schemas.openxmlformats.org/drawingml/2006/main" xmlns:pic="http://schemas.openxmlformats.org/drawingml/2006/picture">
                  <wp:extent cx="2816352" cy="1993111"/>
                  <wp:docPr id="3" name="Picture 3"/>
                  <wp:cNvGraphicFramePr>
                    <a:graphicFrameLocks noChangeAspect="1"/>
                  </wp:cNvGraphicFramePr>
                  <a:graphic>
                    <a:graphicData uri="http://schemas.openxmlformats.org/drawingml/2006/picture">
                      <pic:pic>
                        <pic:nvPicPr>
                          <pic:cNvPr id="0" name="regression_2_1_residuals_vs_fitted.png"/>
                          <pic:cNvPicPr/>
                        </pic:nvPicPr>
                        <pic:blipFill>
                          <a:blip r:embed="rId13"/>
                          <a:stretch>
                            <a:fillRect/>
                          </a:stretch>
                        </pic:blipFill>
                        <pic:spPr>
                          <a:xfrm>
                            <a:off x="0" y="0"/>
                            <a:ext cx="2816352" cy="1993111"/>
                          </a:xfrm>
                          <a:prstGeom prst="rect"/>
                        </pic:spPr>
                      </pic:pic>
                    </a:graphicData>
                  </a:graphic>
                </wp:inline>
              </w:drawing>
            </w:r>
          </w:p>
        </w:tc>
        <w:tc>
          <w:tcPr>
            <w:tcW w:type="dxa" w:w="4464"/>
          </w:tcPr>
          <w:p>
            <w:pPr>
              <w:jc w:val="center"/>
            </w:pPr>
            <w:r>
              <w:drawing>
                <wp:inline xmlns:a="http://schemas.openxmlformats.org/drawingml/2006/main" xmlns:pic="http://schemas.openxmlformats.org/drawingml/2006/picture">
                  <wp:extent cx="2816352" cy="1408176"/>
                  <wp:docPr id="4" name="Picture 4"/>
                  <wp:cNvGraphicFramePr>
                    <a:graphicFrameLocks noChangeAspect="1"/>
                  </wp:cNvGraphicFramePr>
                  <a:graphic>
                    <a:graphicData uri="http://schemas.openxmlformats.org/drawingml/2006/picture">
                      <pic:pic>
                        <pic:nvPicPr>
                          <pic:cNvPr id="0" name="regression_2_1_cooks_distance.png"/>
                          <pic:cNvPicPr/>
                        </pic:nvPicPr>
                        <pic:blipFill>
                          <a:blip r:embed="rId14"/>
                          <a:stretch>
                            <a:fillRect/>
                          </a:stretch>
                        </pic:blipFill>
                        <pic:spPr>
                          <a:xfrm>
                            <a:off x="0" y="0"/>
                            <a:ext cx="2816352" cy="1408176"/>
                          </a:xfrm>
                          <a:prstGeom prst="rect"/>
                        </pic:spPr>
                      </pic:pic>
                    </a:graphicData>
                  </a:graphic>
                </wp:inline>
              </w:drawing>
            </w:r>
          </w:p>
        </w:tc>
      </w:tr>
    </w:tbl>
    <w:p>
      <w:pPr>
        <w:pStyle w:val="FigureCaption"/>
      </w:pPr>
      <w:r>
        <w:t>Figure 3. OLS training residuals versus fitted values (left) and Cook’s-distance screen (right).</w:t>
      </w:r>
    </w:p>
    <w:p>
      <w:r>
        <w:t>Breusch–Pagan p = 0.271 and the F-test p = 0.281 do not supply evidence against constant variance at α = .05, but neither proves homoscedasticity. The Q–Q and residual plots should be used alongside the tests. Four observations exceed the 4/n Cook’s screening threshold (0.048), with the largest Cook’s distance 0.471 for match ID 400021465. These cases merit contextual review rather than automatic deletion.</w:t>
      </w:r>
    </w:p>
    <w:p>
      <w:r>
        <w:t>The OLS host-effect estimate is +0.663 goals (p = 0.213) and the intercept is +0.121 (p = 0.491). They are not individually statistically distinguishable from zero at the conventional 5% threshold in this sample.</w:t>
      </w:r>
    </w:p>
    <w:p>
      <w:r>
        <w:br w:type="page"/>
      </w:r>
    </w:p>
    <w:p>
      <w:pPr>
        <w:pStyle w:val="Heading1"/>
      </w:pPr>
      <w:r>
        <w:t>7. Coefficients and model recommendation</w:t>
      </w:r>
    </w:p>
    <w:p>
      <w:r>
        <w:t>Because Ridge and Lasso are fitted to standardised inputs, their fitted standardised coefficients provide a conditional comparison of predictive weights—not causal effects. Collinearity can alter individual signs or weights even when univariate feature–target correlations are positive.</w:t>
      </w:r>
    </w:p>
    <w:p>
      <w:pPr>
        <w:spacing w:after="40"/>
        <w:jc w:val="center"/>
      </w:pPr>
      <w:r>
        <w:drawing>
          <wp:inline xmlns:a="http://schemas.openxmlformats.org/drawingml/2006/main" xmlns:pic="http://schemas.openxmlformats.org/drawingml/2006/picture">
            <wp:extent cx="5577840" cy="3346704"/>
            <wp:docPr id="5" name="Picture 5"/>
            <wp:cNvGraphicFramePr>
              <a:graphicFrameLocks noChangeAspect="1"/>
            </wp:cNvGraphicFramePr>
            <a:graphic>
              <a:graphicData uri="http://schemas.openxmlformats.org/drawingml/2006/picture">
                <pic:pic>
                  <pic:nvPicPr>
                    <pic:cNvPr id="0" name="regression_2_1_coefficients_comparison.png"/>
                    <pic:cNvPicPr/>
                  </pic:nvPicPr>
                  <pic:blipFill>
                    <a:blip r:embed="rId15"/>
                    <a:stretch>
                      <a:fillRect/>
                    </a:stretch>
                  </pic:blipFill>
                  <pic:spPr>
                    <a:xfrm>
                      <a:off x="0" y="0"/>
                      <a:ext cx="5577840" cy="3346704"/>
                    </a:xfrm>
                    <a:prstGeom prst="rect"/>
                  </pic:spPr>
                </pic:pic>
              </a:graphicData>
            </a:graphic>
          </wp:inline>
        </w:drawing>
      </w:r>
    </w:p>
    <w:p>
      <w:pPr>
        <w:pStyle w:val="FigureCaption"/>
      </w:pPr>
      <w:r>
        <w:t>Figure 4. Standardised Ridge and Lasso coefficients on the seed-42 80/20 training set.</w:t>
      </w:r>
    </w:p>
    <w:p>
      <w:pPr>
        <w:pStyle w:val="Heading2"/>
      </w:pPr>
      <w:r>
        <w:t>7.1 Preferred model with a predictor-lock caveat</w:t>
      </w:r>
    </w:p>
    <w:p>
      <w:r>
        <w:t>Lasso is the accuracy-based primary recommendation because it has the highest mean test R² and lowest mean test NRMSE for each repeated-split ratio. However, it sets 2/8 predictor coefficients to zero at the 70/30 fixed seed and 5/8 at 80/20, leaving six and three nonzero coefficients, respectively. This may conflict with a stricter interpretation that all eight predictors must remain active in the final fitted model.</w:t>
      </w:r>
    </w:p>
    <w:p>
      <w:r>
        <w:t>If the assessment requires eight columns only, report Lasso as the lead model and retain all inputs as specified. If it requires eight nonzero effects, report Ridge as the compliant regularised primary candidate and Lasso as a sensitivity benchmark, subject to lecturer/team confirmation. Ridge preserves all eight coefficients, though its average test performance is weaker than Lasso.</w:t>
      </w:r>
    </w:p>
    <w:p>
      <w:r>
        <w:br w:type="page"/>
      </w:r>
    </w:p>
    <w:p>
      <w:pPr>
        <w:pStyle w:val="Heading1"/>
      </w:pPr>
      <w:r>
        <w:t>8. Limitations, provenance and handoff</w:t>
      </w:r>
    </w:p>
    <w:p>
      <w:pPr>
        <w:pStyle w:val="Heading2"/>
      </w:pPr>
      <w:r>
        <w:t>8.1 Interpretation limits</w:t>
      </w:r>
    </w:p>
    <w:p>
      <w:r>
        <w:t>These results concern 104 World Cup match observations rather than an independent prospective validation cohort. With 21–32 matches in a test fold, R² can fluctuate materially. The 200 random splits re-use observations and share team identities; their means and SDs are descriptive summaries, not 200 independent experiments or confidence intervals. Random holdouts may perform optimistically when similar teams appear in both training and test fixtures. A chronological or team-held-out stress test could be proposed separately without replacing the required split design.</w:t>
      </w:r>
    </w:p>
    <w:p>
      <w:pPr>
        <w:pStyle w:val="Heading2"/>
      </w:pPr>
      <w:r>
        <w:t>8.2 Provenance checklist before final submission</w:t>
      </w:r>
    </w:p>
    <w:p>
      <w:pPr>
        <w:ind w:left="274" w:hanging="158"/>
      </w:pPr>
      <w:r>
        <w:t xml:space="preserve">•  </w:t>
      </w:r>
      <w:r>
        <w:t>Retain regression_2_1_dataset_latest.csv as the current modelling source and do not silently substitute the old corrected CSV.</w:t>
      </w:r>
    </w:p>
    <w:p>
      <w:pPr>
        <w:ind w:left="274" w:hanging="158"/>
      </w:pPr>
      <w:r>
        <w:t xml:space="preserve">•  </w:t>
      </w:r>
      <w:r>
        <w:t>Replace or separately archive the older pre_tournament_matches.csv and pre_tournament_baselines.csv inside the ZIP. The current packaged pre-match file still contains 18 records dated 11 June 2026 or later, although the newer modelling dataset does not use those contaminated values.</w:t>
      </w:r>
    </w:p>
    <w:p>
      <w:pPr>
        <w:ind w:left="274" w:hanging="158"/>
      </w:pPr>
      <w:r>
        <w:t xml:space="preserve">•  </w:t>
      </w:r>
      <w:r>
        <w:t>Include the updated feature-building scripts and their regenerated historical source files when documenting complete point-in-time reproducibility. The saved integrity CSV still flags the six historical predictors as not independently verified by that script.</w:t>
      </w:r>
    </w:p>
    <w:p>
      <w:pPr>
        <w:ind w:left="274" w:hanging="158"/>
      </w:pPr>
      <w:r>
        <w:t xml:space="preserve">•  </w:t>
      </w:r>
      <w:r>
        <w:t>Confirm whether the locked-eight requirement means eight supplied predictors or eight nonzero coefficients before making Lasso the sole reported final estimator.</w:t>
      </w:r>
    </w:p>
    <w:p>
      <w:pPr>
        <w:ind w:left="274" w:hanging="158"/>
      </w:pPr>
      <w:r>
        <w:t xml:space="preserve">•  </w:t>
      </w:r>
      <w:r>
        <w:t>Replace stale tables and figures in any group report with the results_latest outputs; do not combine old and new performance figures.</w:t>
      </w:r>
    </w:p>
    <w:p>
      <w:pPr>
        <w:pStyle w:val="Heading2"/>
      </w:pPr>
      <w:r>
        <w:t>8.3 Reproducibility</w:t>
      </w:r>
    </w:p>
    <w:p>
      <w:r>
        <w:t>Execution: python regression_2_1_modeling_reviewed.py --data regression_2_1_dataset_latest.csv --output results_latest --repeats 200. The supplied run_metadata.csv records Python 3.10.11, scikit-learn 1.7.2, seed 42 and five-fold shuffled training-only CV. The script additionally uses NumPy, pandas, SciPy, statsmodels, Matplotlib and joblib.</w:t>
      </w:r>
    </w:p>
    <w:p>
      <w:pPr>
        <w:pStyle w:val="Heading2"/>
      </w:pPr>
      <w:r>
        <w:t>Evidence and reference sources</w:t>
      </w:r>
    </w:p>
    <w:p>
      <w:pPr>
        <w:pStyle w:val="SmallNote"/>
      </w:pPr>
      <w:r>
        <w:t>Internal: Regression_2_1_Scientific_Review_Validated(1).zip; regression_2_1_dataset_latest.csv; regression_2_1_modeling_reviewed.py; results_latest/regression_2_1_results.csv; regression_2_1_model_details.csv; regression_2_1_repeated_splits.csv; regression_2_1_repeated_summary.csv; regression_2_1_diagnostic_tests.csv; regression_2_1_coefficients.csv; regression_2_1_data_integrity.csv; run_metadata.csv.</w:t>
      </w:r>
    </w:p>
    <w:p>
      <w:pPr>
        <w:pStyle w:val="SmallNote"/>
      </w:pPr>
      <w:r>
        <w:t>FIFA. (2026, June 11). Argentina reclaim top spot in the FIFA/Coca-Cola Men’s World Ranking. https://grassroots.fifa.com/fifa-rankings/world-ranking/men/news/argentina-reclaim-top-spot-mens-world-ranking-fifa-coca-cola</w:t>
      </w:r>
    </w:p>
    <w:p>
      <w:pPr>
        <w:pStyle w:val="SmallNote"/>
      </w:pPr>
      <w:r>
        <w:t>FIFA. (2026, July 12). Top four in FIFA/Coca-Cola World Ranking set for historic semi-final showdown. https://www.fifa.com/en/tournaments/mens/worldcup/canadamexicousa2026/articles/top-four-fifa-coca-cola-ranking-semi-final</w:t>
      </w:r>
    </w:p>
    <w:p>
      <w:pPr>
        <w:pStyle w:val="SmallNote"/>
      </w:pPr>
      <w:r>
        <w:t>Status: Updated performance report, internally cross-checked against the ZIP outputs. Final grading readiness remains dependent on the exact unit rubric and group agreement about the predictor-lock interpretation.</w:t>
      </w:r>
    </w:p>
    <w:sectPr w:rsidR="00FC693F" w:rsidRPr="0006063C" w:rsidSect="00034616">
      <w:headerReference w:type="default" r:id="rId9"/>
      <w:footerReference w:type="default" r:id="rId10"/>
      <w:pgSz w:w="11909" w:h="16834"/>
      <w:pgMar w:top="1094" w:right="1051" w:bottom="1008" w:left="1051"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Regression 2.1  •  15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HIT140  /  REGRESSION 2.1                                     UPDATED 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162B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F4C7B"/>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C7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62B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rFonts w:ascii="Aptos" w:hAnsi="Aptos"/>
      <w:color w:val="5D6C7D"/>
      <w:sz w:val="16"/>
    </w:rPr>
  </w:style>
  <w:style w:type="paragraph" w:customStyle="1" w:styleId="FigureCaption">
    <w:name w:val="Figure Caption"/>
    <w:basedOn w:val="Normal"/>
    <w:pPr>
      <w:keepNext w:val="0"/>
      <w:spacing w:after="140"/>
    </w:pPr>
    <w:rPr>
      <w:i/>
      <w:color w:val="5D6C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HIT140 Regression 2.1 – Updated Model Evaluation</dc:title>
  <dc:subject>Goal-difference regression; updated dataset and 200-repeat stability</dc:subject>
  <dc:creator>HIT140 Regression 2.1 contributor</dc:creator>
  <cp:keywords/>
  <dc:description>generated by python-docx</dc:description>
  <cp:lastModifiedBy/>
  <cp:revision>1</cp:revision>
  <dcterms:created xsi:type="dcterms:W3CDTF">2013-12-23T23:15:00Z</dcterms:created>
  <dcterms:modified xsi:type="dcterms:W3CDTF">2013-12-23T23:15:00Z</dcterms:modified>
  <cp:category/>
</cp:coreProperties>
</file>