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cb03e900f150e3ede785c0af2effe1360d7faf"/>
    <w:p>
      <w:pPr>
        <w:pStyle w:val="Heading1"/>
      </w:pPr>
      <w:r>
        <w:t xml:space="preserve">Assessment 3 — Objective 2: Regression 2.1 (Goal-Difference Modelling)</w:t>
      </w:r>
    </w:p>
    <w:p>
      <w:pPr>
        <w:pStyle w:val="FirstParagraph"/>
      </w:pPr>
      <w:r>
        <w:rPr>
          <w:b/>
          <w:bCs/>
        </w:rPr>
        <w:t xml:space="preserve">Contributor:</w:t>
      </w:r>
      <w:r>
        <w:t xml:space="preserve"> </w:t>
      </w:r>
      <w:r>
        <w:t xml:space="preserve">Bibek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Reproducible analysis prepared for group integration; the source-data correction and optional competitor section require approval from Saurab.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104 matches, one observation per match, eight locked predictors.</w:t>
      </w:r>
      <w:r>
        <w:br/>
      </w:r>
      <w:r>
        <w:rPr>
          <w:b/>
          <w:bCs/>
        </w:rPr>
        <w:t xml:space="preserve">Shared protocol:</w:t>
      </w:r>
      <w:r>
        <w:t xml:space="preserve"> </w:t>
      </w:r>
      <w:r>
        <w:t xml:space="preserve">Seed 42; 70/30 and 80/20; train/test R² and range-normalised RMSE; 200 repeated random splits.</w:t>
      </w:r>
    </w:p>
    <w:bookmarkStart w:id="20" w:name="Xf632b035bed7ec31338ef95bf4a0a1ebebe254a"/>
    <w:p>
      <w:pPr>
        <w:pStyle w:val="Heading2"/>
      </w:pPr>
      <w:r>
        <w:t xml:space="preserve">1. Data and predictor justification</w:t>
      </w:r>
    </w:p>
    <w:p>
      <w:pPr>
        <w:pStyle w:val="FirstParagraph"/>
      </w:pPr>
      <w:r>
        <w:t xml:space="preserve">The response variable is</w:t>
      </w:r>
      <w:r>
        <w:t xml:space="preserve"> </w:t>
      </w:r>
      <w:r>
        <w:rPr>
          <w:rStyle w:val="VerbatimChar"/>
          <w:b/>
          <w:bCs/>
        </w:rPr>
        <w:t xml:space="preserve">goal_difference = home_goals − away_goals</w:t>
      </w:r>
      <w:r>
        <w:t xml:space="preserve">. A positive number favours the listed home/Team A side, and a negative number favours the listed away/Team B side. Because goal difference can be negative, count models (Poisson) and log/square-root transformations are not appropriate by default for this continuous-outcome task.</w:t>
      </w:r>
    </w:p>
    <w:p>
      <w:pPr>
        <w:pStyle w:val="BodyText"/>
      </w:pPr>
      <w:r>
        <w:t xml:space="preserve">The following eight predictors are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and used in every fitted model: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Predictor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Football rationale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fifa_points_difference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Relative FIFA rating strength of home vs away team before the tournament.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points_per_match_difference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Prior match-form/points efficiency difference.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avg_goals_scored_difference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Attacking production difference.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avg_goals_conceded_difference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Defensive vulnerability difference; the sign must remain home minus away.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scoring_match_rate_difference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Relative frequency of scoring in earlier matches.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scoring_consistency_difference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Difference in variability of prior scoring, representing consistency rather than average output.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clean_sheet_rate_difference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Difference in frequency of conceding no goals.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host_country_indicator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Signed host-side marker: +1 if home is host, −1 if away is host, 0 otherwise.</w:t>
            </w:r>
          </w:p>
        </w:tc>
      </w:tr>
    </w:tbl>
    <w:p>
      <w:pPr>
        <w:pStyle w:val="BodyText"/>
      </w:pPr>
      <w:r>
        <w:t xml:space="preserve">No match outcomes, team identifiers, match stages or dates are supplied as predictors. The FIFA rating feature was verified against</w:t>
      </w:r>
      <w:r>
        <w:t xml:space="preserve"> </w:t>
      </w:r>
      <w:r>
        <w:rPr>
          <w:rStyle w:val="VerbatimChar"/>
        </w:rPr>
        <w:t xml:space="preserve">fifa_rankings_11_june_2026.csv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home FIFA points minus away FIFA points</w:t>
      </w:r>
      <w:r>
        <w:t xml:space="preserve"> </w:t>
      </w:r>
      <w:r>
        <w:t xml:space="preserve">for all 104 observations. The target was separately verified as</w:t>
      </w:r>
      <w:r>
        <w:t xml:space="preserve"> </w:t>
      </w:r>
      <w:r>
        <w:rPr>
          <w:rStyle w:val="VerbatimChar"/>
        </w:rPr>
        <w:t xml:space="preserve">home_goals − away_goals</w:t>
      </w:r>
      <w:r>
        <w:t xml:space="preserve"> </w:t>
      </w:r>
      <w:r>
        <w:t xml:space="preserve">for all matches. Independent row-level reconstruction of the</w:t>
      </w:r>
      <w:r>
        <w:t xml:space="preserve"> </w:t>
      </w:r>
      <w:r>
        <w:rPr>
          <w:i/>
          <w:iCs/>
        </w:rPr>
        <w:t xml:space="preserve">other six</w:t>
      </w:r>
      <w:r>
        <w:t xml:space="preserve"> </w:t>
      </w:r>
      <w:r>
        <w:t xml:space="preserve">pre-match difference features requires the team's upstream team-match source table, which has not been provided here; this is a remaining provenance check.</w:t>
      </w:r>
    </w:p>
    <w:p>
      <w:pPr>
        <w:pStyle w:val="BodyText"/>
      </w:pPr>
      <w:r>
        <w:t xml:space="preserve">The modelling matrix contains</w:t>
      </w:r>
      <w:r>
        <w:t xml:space="preserve"> </w:t>
      </w:r>
      <w:r>
        <w:rPr>
          <w:b/>
          <w:bCs/>
        </w:rPr>
        <w:t xml:space="preserve">no missing or non-finite predictor/target values</w:t>
      </w:r>
      <w:r>
        <w:t xml:space="preserve">, and all 104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entries are unique. For the signed host variable, there are</w:t>
      </w:r>
      <w:r>
        <w:t xml:space="preserve"> </w:t>
      </w:r>
      <w:r>
        <w:rPr>
          <w:b/>
          <w:bCs/>
        </w:rPr>
        <w:t xml:space="preserve">11 values of +1, four of −1 and 89 of 0</w:t>
      </w:r>
      <w:r>
        <w:t xml:space="preserve">. The indicator is sparse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binary. In line with the locked-predictor rule, no features were removed.</w:t>
      </w:r>
    </w:p>
    <w:p>
      <w:pPr>
        <w:pStyle w:val="BodyText"/>
      </w:pPr>
      <w:r>
        <w:rPr>
          <w:b/>
          <w:bCs/>
        </w:rPr>
        <w:t xml:space="preserve">Exploratory relationships.</w:t>
      </w:r>
      <w:r>
        <w:t xml:space="preserve"> </w:t>
      </w:r>
      <w:r>
        <w:t xml:space="preserve">The largest observed absolute Pearson correlation between distinct predictors is</w:t>
      </w:r>
      <w:r>
        <w:t xml:space="preserve"> </w:t>
      </w:r>
      <w:r>
        <w:rPr>
          <w:b/>
          <w:bCs/>
        </w:rPr>
        <w:t xml:space="preserve">0.647</w:t>
      </w:r>
      <w:r>
        <w:t xml:space="preserve"> </w:t>
      </w:r>
      <w:r>
        <w:t xml:space="preserve">(</w:t>
      </w:r>
      <w:r>
        <w:rPr>
          <w:rStyle w:val="VerbatimChar"/>
        </w:rPr>
        <w:t xml:space="preserve">points_per_match_difference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avg_goals_scored_difference</w:t>
      </w:r>
      <w:r>
        <w:t xml:space="preserve">), indicating overlapping information but not perfect collinearity. The maximum predictor</w:t>
      </w:r>
      <w:r>
        <w:t xml:space="preserve"> </w:t>
      </w:r>
      <w:r>
        <w:rPr>
          <w:b/>
          <w:bCs/>
        </w:rPr>
        <w:t xml:space="preserve">variance-inflation factor (VIF) is 4.31</w:t>
      </w:r>
      <w:r>
        <w:t xml:space="preserve">, for</w:t>
      </w:r>
      <w:r>
        <w:t xml:space="preserve"> </w:t>
      </w:r>
      <w:r>
        <w:rPr>
          <w:rStyle w:val="VerbatimChar"/>
        </w:rPr>
        <w:t xml:space="preserve">points_per_match_difference</w:t>
      </w:r>
      <w:r>
        <w:t xml:space="preserve"> </w:t>
      </w:r>
      <w:r>
        <w:t xml:space="preserve">(next: 4.01 for</w:t>
      </w:r>
      <w:r>
        <w:t xml:space="preserve"> </w:t>
      </w:r>
      <w:r>
        <w:rPr>
          <w:rStyle w:val="VerbatimChar"/>
        </w:rPr>
        <w:t xml:space="preserve">avg_goals_scored_difference</w:t>
      </w:r>
      <w:r>
        <w:t xml:space="preserve">). These are moderate correlations/multicollinearity; they should be discussed because related attack/form variables overlap, but the values do not justify quietly substituting new predictors. The accompanying correlation, VIF and missingness CSVs document all eight predictors.</w:t>
      </w:r>
    </w:p>
    <w:bookmarkEnd w:id="20"/>
    <w:bookmarkStart w:id="23" w:name="X891499a6fb9c0dc42f1a167b67ba6514dafd4dd"/>
    <w:p>
      <w:pPr>
        <w:pStyle w:val="Heading2"/>
      </w:pPr>
      <w:r>
        <w:t xml:space="preserve">2. Baseline multiple linear regression and split comparison</w:t>
      </w:r>
    </w:p>
    <w:p>
      <w:pPr>
        <w:pStyle w:val="FirstParagraph"/>
      </w:pPr>
      <w:r>
        <w:rPr>
          <w:b/>
          <w:bCs/>
        </w:rPr>
        <w:t xml:space="preserve">Splitting.</w:t>
      </w:r>
      <w:r>
        <w:t xml:space="preserve"> </w:t>
      </w:r>
      <w:r>
        <w:t xml:space="preserve">With a shared seed of</w:t>
      </w:r>
      <w:r>
        <w:t xml:space="preserve"> </w:t>
      </w:r>
      <w:r>
        <w:rPr>
          <w:b/>
          <w:bCs/>
        </w:rPr>
        <w:t xml:space="preserve">42</w:t>
      </w:r>
      <w:r>
        <w:t xml:space="preserve">, the data are randomly split at match level into 72 train / 32 test (70/30) and 83 train / 21 test (80/20). Unlike Regression 2.2, which has two team-level rows per match and needs grouping to keep a match together, Regression 2.1 contains</w:t>
      </w:r>
      <w:r>
        <w:t xml:space="preserve"> </w:t>
      </w:r>
      <w:r>
        <w:rPr>
          <w:b/>
          <w:bCs/>
        </w:rPr>
        <w:t xml:space="preserve">one row per match</w:t>
      </w:r>
      <w:r>
        <w:t xml:space="preserve">; a conventional randomized split is therefore appropriate for preventing duplicate-match leakage. That does not rule out broader dependence where teams appear in several different matches.</w:t>
      </w:r>
    </w:p>
    <w:p>
      <w:pPr>
        <w:pStyle w:val="BodyText"/>
      </w:pPr>
      <w:r>
        <w:rPr>
          <w:b/>
          <w:bCs/>
        </w:rPr>
        <w:t xml:space="preserve">Baselines and scoring.</w:t>
      </w:r>
      <w:r>
        <w:t xml:space="preserve"> </w:t>
      </w:r>
      <w:r>
        <w:t xml:space="preserve">A mean-only dummy estimator provides a minimal benchmark. The required interpretable baseline is ordinary</w:t>
      </w:r>
      <w:r>
        <w:t xml:space="preserve"> </w:t>
      </w:r>
      <w:r>
        <w:rPr>
          <w:b/>
          <w:bCs/>
        </w:rPr>
        <w:t xml:space="preserve">multiple linear regression (OLS)</w:t>
      </w:r>
      <w:r>
        <w:t xml:space="preserve"> </w:t>
      </w:r>
      <w:r>
        <w:t xml:space="preserve">using all eight predictors. Both OLS and Ridge receive train-only standardization through a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pipeline. The response is not transformed.</w:t>
      </w:r>
    </w:p>
    <w:p>
      <w:pPr>
        <w:pStyle w:val="BodyText"/>
      </w:pPr>
      <w:r>
        <w:t xml:space="preserve">The reported metrics have the teammate-requested column names</w:t>
      </w:r>
      <w:r>
        <w:t xml:space="preserve"> </w:t>
      </w:r>
      <w:r>
        <w:rPr>
          <w:rStyle w:val="VerbatimChar"/>
        </w:rPr>
        <w:t xml:space="preserve">model, split, R2_train, R2_test, NRMSE_train, NRMSE_test</w:t>
      </w:r>
      <w:r>
        <w:t xml:space="preserve">. For each partition,</w:t>
      </w:r>
      <w:r>
        <w:t xml:space="preserve"> </w:t>
      </w:r>
      <w:r>
        <w:rPr>
          <w:b/>
          <w:bCs/>
        </w:rPr>
        <w:t xml:space="preserve">NRMSE = RMSE ÷ [max(observed goal difference) − min(observed goal difference)]</w:t>
      </w:r>
      <w:r>
        <w:t xml:space="preserve">. The training and testing ranges are calculated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from their respective observed outcomes; NRMSE is stored as a fraction (0.18 = 18%). Confirm with your group that Regression 2.2 uses this exact range convention; some alternatives use a single global range. An R² closer to 1 is better, and a lower NRMSE is better.</w:t>
      </w:r>
    </w:p>
    <w:bookmarkStart w:id="21" w:name="X9359a5c66b5f431a98e04f9b7d80add9e5b9519"/>
    <w:p>
      <w:pPr>
        <w:pStyle w:val="Heading3"/>
      </w:pPr>
      <w:r>
        <w:t xml:space="preserve">Locked seed-42 train and held-out test results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Model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Split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R² train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R² test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NRMSE train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NRMSE test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Mean baseline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0.0000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−0.0029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19.36%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21.82%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Multiple linear regression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0.5273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0.2553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13.31%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18.80%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5"/>
              </w:rPr>
              <w:t xml:space="preserve">Ridge (tuned)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0.5127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0.2948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13.51%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18.29%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Mean baseline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0.0000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−0.0009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19.54%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22.39%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Multiple linear regression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0.4722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0.3436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14.19%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18.13%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5"/>
              </w:rPr>
              <w:t xml:space="preserve">Ridge (tuned)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0.4644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0.3448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14.30%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18.11%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Ridge improves held-out fit modestly over unregularised OLS on both fixed splits. However, the 80/20 advantage is extremely small (R² 0.3448 vs 0.3436). These are not evidence of a universally best split because each ratio tests on a different selection of matches.</w:t>
      </w:r>
    </w:p>
    <w:bookmarkEnd w:id="21"/>
    <w:bookmarkStart w:id="22" w:name="X2907176780bc42ecd74b14fa177cdd5afdc2f8d"/>
    <w:p>
      <w:pPr>
        <w:pStyle w:val="Heading3"/>
      </w:pPr>
      <w:r>
        <w:t xml:space="preserve">Reliability across 200 repeated random splits</w:t>
      </w:r>
    </w:p>
    <w:p>
      <w:pPr>
        <w:pStyle w:val="FirstParagraph"/>
      </w:pPr>
      <w:r>
        <w:t xml:space="preserve">The script repeats</w:t>
      </w:r>
      <w:r>
        <w:t xml:space="preserve"> </w:t>
      </w:r>
      <w:r>
        <w:rPr>
          <w:b/>
          <w:bCs/>
        </w:rPr>
        <w:t xml:space="preserve">200 shuffled match-level partitions per requested split</w:t>
      </w:r>
      <w:r>
        <w:t xml:space="preserve">, using seeds</w:t>
      </w:r>
      <w:r>
        <w:t xml:space="preserve"> </w:t>
      </w:r>
      <w:r>
        <w:rPr>
          <w:b/>
          <w:bCs/>
        </w:rPr>
        <w:t xml:space="preserve">42–241</w:t>
      </w:r>
      <w:r>
        <w:t xml:space="preserve">. For each partition, all models are fitted anew, and Ridge tuning is performed only inside that partition's training data. Values below are the</w:t>
      </w:r>
      <w:r>
        <w:t xml:space="preserve"> </w:t>
      </w:r>
      <w:r>
        <w:rPr>
          <w:b/>
          <w:bCs/>
        </w:rPr>
        <w:t xml:space="preserve">mean ± sample standard deviation across repetitions</w:t>
      </w:r>
      <w:r>
        <w:t xml:space="preserve"> </w:t>
      </w:r>
      <w:r>
        <w:t xml:space="preserve">(these are split-sensitivity statistics, not confidence intervals from independent future datasets).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Model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Split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R² test, mean ± SD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Test NRMSE, mean ± SD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Mean baseline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−0.0407 ± 0.0638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23.34% ± 2.21 pp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Multiple linear regression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0.2446 ± 0.2243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19.67% ± 3.07 pp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5"/>
              </w:rPr>
              <w:t xml:space="preserve">Ridge (tuned)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0.2826 ± 0.1766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19.24% ± 2.68 pp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Mean baseline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−0.0672 ± 0.0963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25.98% ± 3.05 pp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Multiple linear regression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0.2404 ± 0.2801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21.54% ± 3.85 pp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5"/>
              </w:rPr>
              <w:t xml:space="preserve">Ridge (tuned)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0.2801 ± 0.2154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b/>
                <w:bCs/>
                <w:sz w:val="15"/>
              </w:rPr>
              <w:t xml:space="preserve">21.08% ± 3.32 pp</w:t>
            </w:r>
          </w:p>
        </w:tc>
      </w:tr>
    </w:tbl>
    <w:p>
      <w:pPr>
        <w:pStyle w:val="BodyText"/>
      </w:pPr>
      <w:r>
        <w:t xml:space="preserve">The accompanying repeated-summary CSV also includes</w:t>
      </w:r>
      <w:r>
        <w:t xml:space="preserve"> </w:t>
      </w:r>
      <w:r>
        <w:rPr>
          <w:b/>
          <w:bCs/>
        </w:rPr>
        <w:t xml:space="preserve">training R² and NRMSE means and SDs</w:t>
      </w:r>
      <w:r>
        <w:t xml:space="preserve">, and the repeated-splits CSV contains all 1,200 individual model/split/repetition results. The substantial held-out R² variability demonstrates why reporting only a single random split is unreliable with 32 or 21 test matches. Across repetitions, Ridge remains somewhat more stable and has a higher mean held-out R² than OLS for each split.</w:t>
      </w:r>
    </w:p>
    <w:bookmarkEnd w:id="22"/>
    <w:bookmarkEnd w:id="23"/>
    <w:bookmarkStart w:id="24" w:name="Xf92cfdd2c0278922d317ee24430d6f5511d0566"/>
    <w:p>
      <w:pPr>
        <w:pStyle w:val="Heading2"/>
      </w:pPr>
      <w:r>
        <w:t xml:space="preserve">3. Diagnostics and weaknesses</w:t>
      </w:r>
    </w:p>
    <w:p>
      <w:pPr>
        <w:pStyle w:val="FirstParagraph"/>
      </w:pPr>
      <w:r>
        <w:t xml:space="preserve">Training-set diagnostics were assessed on the</w:t>
      </w:r>
      <w:r>
        <w:t xml:space="preserve"> </w:t>
      </w:r>
      <w:r>
        <w:rPr>
          <w:b/>
          <w:bCs/>
        </w:rPr>
        <w:t xml:space="preserve">80/20 training portion only</w:t>
      </w:r>
      <w:r>
        <w:t xml:space="preserve"> </w:t>
      </w:r>
      <w:r>
        <w:t xml:space="preserve">for the unregularised OLS baseline, so test responses were not used for model diagnostics or tuning. The package includes diagnostic plots and CSVs: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Residuals vs fitted:</w:t>
      </w:r>
      <w:r>
        <w:t xml:space="preserve"> </w:t>
      </w:r>
      <w:r>
        <w:t xml:space="preserve">visual check for curvature, heterogeneous spread, or influential extreme goal-difference matches. Inspect the plot rather than declaring a pattern from a test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 Q–Q:</w:t>
      </w:r>
      <w:r>
        <w:t xml:space="preserve"> </w:t>
      </w:r>
      <w:r>
        <w:t xml:space="preserve">visual check of residual normality; goal-difference outcomes are discrete integers, so perfect normal residuals are unlikely.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Breusch–Pagan:</w:t>
      </w:r>
      <w:r>
        <w:t xml:space="preserve"> </w:t>
      </w:r>
      <w:r>
        <w:t xml:space="preserve">the heteroskedasticity test yielded</w:t>
      </w:r>
      <w:r>
        <w:t xml:space="preserve"> </w:t>
      </w:r>
      <w:r>
        <w:rPr>
          <w:b/>
          <w:bCs/>
        </w:rPr>
        <w:t xml:space="preserve">LM p = 0.195</w:t>
      </w:r>
      <w:r>
        <w:t xml:space="preserve"> </w:t>
      </w:r>
      <w:r>
        <w:t xml:space="preserve">(F p = 0.198). There is insufficient evidence to reject constant residual variance at a 5% level;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prove the assumption 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Cook's distance:</w:t>
      </w:r>
      <w:r>
        <w:t xml:space="preserve"> </w:t>
      </w:r>
      <w:r>
        <w:rPr>
          <w:b/>
          <w:bCs/>
        </w:rPr>
        <w:t xml:space="preserve">six of 83</w:t>
      </w:r>
      <w:r>
        <w:t xml:space="preserve"> </w:t>
      </w:r>
      <w:r>
        <w:t xml:space="preserve">training points exceed the conventional exploratory</w:t>
      </w:r>
      <w:r>
        <w:t xml:space="preserve"> </w:t>
      </w:r>
      <w:r>
        <w:rPr>
          <w:b/>
          <w:bCs/>
        </w:rPr>
        <w:t xml:space="preserve">4/n = 0.0482</w:t>
      </w:r>
      <w:r>
        <w:t xml:space="preserve"> </w:t>
      </w:r>
      <w:r>
        <w:t xml:space="preserve">flag, and the maximum is</w:t>
      </w:r>
      <w:r>
        <w:t xml:space="preserve"> </w:t>
      </w:r>
      <w:r>
        <w:rPr>
          <w:b/>
          <w:bCs/>
        </w:rPr>
        <w:t xml:space="preserve">0.467</w:t>
      </w:r>
      <w:r>
        <w:t xml:space="preserve">. Large wins/losses may exert disproportionate influence; these are review flags, not automatic exclusions.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Intercept and host indicator:</w:t>
      </w:r>
      <w:r>
        <w:t xml:space="preserve"> </w:t>
      </w:r>
      <w:r>
        <w:t xml:space="preserve">the raw-scale OLS intercept is</w:t>
      </w:r>
      <w:r>
        <w:t xml:space="preserve"> </w:t>
      </w:r>
      <w:r>
        <w:rPr>
          <w:b/>
          <w:bCs/>
        </w:rPr>
        <w:t xml:space="preserve">+0.120 goals</w:t>
      </w:r>
      <w:r>
        <w:t xml:space="preserve"> </w:t>
      </w:r>
      <w:r>
        <w:t xml:space="preserve">(p = 0.493), close to zero here. The signed host coefficient is</w:t>
      </w:r>
      <w:r>
        <w:t xml:space="preserve"> </w:t>
      </w:r>
      <w:r>
        <w:rPr>
          <w:b/>
          <w:bCs/>
        </w:rPr>
        <w:t xml:space="preserve">+0.649</w:t>
      </w:r>
      <w:r>
        <w:t xml:space="preserve"> </w:t>
      </w:r>
      <w:r>
        <w:t xml:space="preserve">(p = 0.218) in the training OLS, not statistically distinguishable from zero in this small sample. With only 15 nonzero host indicator rows overall, inference is imprecise; absence of statistical significance is not proof of no home-host effect.</w:t>
      </w:r>
    </w:p>
    <w:bookmarkEnd w:id="24"/>
    <w:bookmarkStart w:id="25" w:name="X621eaf6672802357e636c9fae66409f518156b4"/>
    <w:p>
      <w:pPr>
        <w:pStyle w:val="Heading2"/>
      </w:pPr>
      <w:r>
        <w:t xml:space="preserve">4. Optimisation without changing predictors</w:t>
      </w:r>
    </w:p>
    <w:p>
      <w:pPr>
        <w:pStyle w:val="FirstParagraph"/>
      </w:pPr>
      <w:r>
        <w:t xml:space="preserve">The optimisation step uses</w:t>
      </w:r>
      <w:r>
        <w:t xml:space="preserve"> </w:t>
      </w:r>
      <w:r>
        <w:rPr>
          <w:b/>
          <w:bCs/>
        </w:rPr>
        <w:t xml:space="preserve">Ridge regression</w:t>
      </w:r>
      <w:r>
        <w:t xml:space="preserve"> </w:t>
      </w:r>
      <w:r>
        <w:t xml:space="preserve">(L2 regularisation), retaining all eight inputs. For every training partition, the Ridge alpha is selected from</w:t>
      </w:r>
      <w:r>
        <w:t xml:space="preserve"> </w:t>
      </w:r>
      <w:r>
        <w:rPr>
          <w:b/>
          <w:bCs/>
        </w:rPr>
        <w:t xml:space="preserve">{0.01, 0.1, 1, 10, 100}</w:t>
      </w:r>
      <w:r>
        <w:t xml:space="preserve"> </w:t>
      </w:r>
      <w:r>
        <w:t xml:space="preserve">by efficient training-only leave-one-out cross-validation via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. The seed-42 70/30 and 80/20 training partitions both select</w:t>
      </w:r>
      <w:r>
        <w:t xml:space="preserve"> </w:t>
      </w:r>
      <w:r>
        <w:rPr>
          <w:b/>
          <w:bCs/>
        </w:rPr>
        <w:t xml:space="preserve">alpha = 10</w:t>
      </w:r>
      <w:r>
        <w:t xml:space="preserve">. This differs intentionally from the previous fixed-alpha=1 report. The test-set target values never participate in alpha selection. No features are dropped or swapped.</w:t>
      </w:r>
    </w:p>
    <w:p>
      <w:pPr>
        <w:pStyle w:val="BodyText"/>
      </w:pPr>
      <w:r>
        <w:t xml:space="preserve">Ridge regularisation is appropriate here as related attacking/form variables show correlation, but it is not a cure for inaccurate prematch features or a tiny test set.</w:t>
      </w:r>
    </w:p>
    <w:bookmarkEnd w:id="25"/>
    <w:bookmarkStart w:id="26" w:name="Xc8b149606af2bb6369439a7dc78dee0c5ef30b5"/>
    <w:p>
      <w:pPr>
        <w:pStyle w:val="Heading2"/>
      </w:pPr>
      <w:r>
        <w:t xml:space="preserve">5. Competing algorithms — OPTIONAL, pending Saurab's approval</w:t>
      </w:r>
    </w:p>
    <w:p>
      <w:pPr>
        <w:pStyle w:val="FirstParagraph"/>
      </w:pPr>
      <w:r>
        <w:t xml:space="preserve">A separate, explicitly optional run compares tuned Lasso, Random Forest and Gradient Boosting against the baseline, OLS and Ridge using the</w:t>
      </w:r>
      <w:r>
        <w:t xml:space="preserve"> </w:t>
      </w:r>
      <w:r>
        <w:rPr>
          <w:b/>
          <w:bCs/>
        </w:rPr>
        <w:t xml:space="preserve">same locked eight predictors</w:t>
      </w:r>
      <w:r>
        <w:t xml:space="preserve">, seed and two splits. These additional one-split-per-ratio scores are available in</w:t>
      </w:r>
      <w:r>
        <w:t xml:space="preserve"> </w:t>
      </w:r>
      <w:r>
        <w:rPr>
          <w:rStyle w:val="VerbatimChar"/>
        </w:rPr>
        <w:t xml:space="preserve">results_optional_competitors/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should not be merged into the group's common plot until the team agrees that Objective 2.1 includes competing algorithms</w:t>
      </w:r>
      <w:r>
        <w:t xml:space="preserve">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Optional model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R² test 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NRMSE test 70/30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R² test 80/20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NRMSE test 80/20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Lasso (tuned)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0.3068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18.14%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0.3403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18.17%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Random Forest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0.2377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19.02%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0.3473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18.08%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Gradient Boosting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0.1566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20.01%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0.2520</w:t>
            </w:r>
          </w:p>
        </w:tc>
        <w:tc>
          <w:tcPr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sz w:val="15"/>
              </w:rPr>
              <w:t xml:space="preserve">19.35%</w:t>
            </w:r>
          </w:p>
        </w:tc>
      </w:tr>
    </w:tbl>
    <w:p>
      <w:pPr>
        <w:pStyle w:val="BodyText"/>
      </w:pPr>
      <w:r>
        <w:t xml:space="preserve">Random Forest is marginally ahead of Ridge on one particular 80/20 held-out sample, but it shows much higher training R² and provides no demonstrated repeat-split advantage here. The</w:t>
      </w:r>
      <w:r>
        <w:t xml:space="preserve"> </w:t>
      </w:r>
      <w:r>
        <w:rPr>
          <w:b/>
          <w:bCs/>
        </w:rPr>
        <w:t xml:space="preserve">200-repeat summary currently evaluates the three agreed core models</w:t>
      </w:r>
      <w:r>
        <w:t xml:space="preserve"> </w:t>
      </w:r>
      <w:r>
        <w:t xml:space="preserve">(mean baseline, OLS and tuned Ridge), not the optional algorithms; an explicit</w:t>
      </w:r>
      <w:r>
        <w:t xml:space="preserve"> </w:t>
      </w:r>
      <w:r>
        <w:rPr>
          <w:rStyle w:val="VerbatimChar"/>
        </w:rPr>
        <w:t xml:space="preserve">--repeat-competitors</w:t>
      </w:r>
      <w:r>
        <w:t xml:space="preserve"> </w:t>
      </w:r>
      <w:r>
        <w:t xml:space="preserve">switch is available if the group requests repeated competitor comparisons.</w:t>
      </w:r>
    </w:p>
    <w:bookmarkEnd w:id="26"/>
    <w:bookmarkStart w:id="27" w:name="Xaf07c775cd5768020eb3252d5b6d8b21444def0"/>
    <w:p>
      <w:pPr>
        <w:pStyle w:val="Heading2"/>
      </w:pPr>
      <w:r>
        <w:t xml:space="preserve">6. Limitations and data-provenance warning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Provisional input correction:</w:t>
      </w:r>
      <w:r>
        <w:t xml:space="preserve"> </w:t>
      </w:r>
      <w:r>
        <w:t xml:space="preserve">the originally provided</w:t>
      </w:r>
      <w:r>
        <w:t xml:space="preserve"> </w:t>
      </w:r>
      <w:r>
        <w:rPr>
          <w:rStyle w:val="VerbatimChar"/>
        </w:rPr>
        <w:t xml:space="preserve">pre_tournament_matches.csv</w:t>
      </w:r>
      <w:r>
        <w:t xml:space="preserve"> </w:t>
      </w:r>
      <w:r>
        <w:t xml:space="preserve">contains 18 team-level entries from nine World Cup fixtures that were used in supposedly pre-tournament team baseline statistics. A separate correction script excludes records dated on or after 11 June 2026 and reconstructs six affected feature values for nine identified fixture rows (52 feature cells change). The resulting</w:t>
      </w:r>
      <w:r>
        <w:t xml:space="preserve"> </w:t>
      </w:r>
      <w:r>
        <w:rPr>
          <w:rStyle w:val="VerbatimChar"/>
        </w:rPr>
        <w:t xml:space="preserve">regression_2_1_dataset_corrected.csv</w:t>
      </w:r>
      <w:r>
        <w:t xml:space="preserve"> </w:t>
      </w:r>
      <w:r>
        <w:t xml:space="preserve">is used here,</w:t>
      </w:r>
      <w:r>
        <w:t xml:space="preserve"> </w:t>
      </w:r>
      <w:r>
        <w:rPr>
          <w:b/>
          <w:bCs/>
        </w:rPr>
        <w:t xml:space="preserve">without overwriting the team's source datasets</w:t>
      </w:r>
      <w:r>
        <w:t xml:space="preserve">. Saurab must confirm the correction and whether other derived features for later matches were computed strictly from information available prior to each relevant fixture; the current inputs alone do not independently prove that every one of the 104 rows is leakage-free.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Small, dependent football sample:</w:t>
      </w:r>
      <w:r>
        <w:t xml:space="preserve"> </w:t>
      </w:r>
      <w:r>
        <w:t xml:space="preserve">104 rows are a modest regression dataset. Repeated participation by the same national teams means match observations are not entirely independent. A random match split is correct for avoiding within-match duplicate leakage in Regression 2.1, but results may still be optimistic relative to genuinely unseen teams/tournaments.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held-out groups:</w:t>
      </w:r>
      <w:r>
        <w:t xml:space="preserve"> </w:t>
      </w:r>
      <w:r>
        <w:t xml:space="preserve">the 70/30 and 80/20 test sets contain only 32 and 21 matches. High repeated-split variance cautions against overinterpreting a seed-42 ranking.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checks:</w:t>
      </w:r>
      <w:r>
        <w:t xml:space="preserve"> </w:t>
      </w:r>
      <w:r>
        <w:t xml:space="preserve">the OLS diagnostic flags and feature correlations are reasons to interpret inference cautiously; neither suggest changing the locked features without group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causal claims:</w:t>
      </w:r>
      <w:r>
        <w:t xml:space="preserve"> </w:t>
      </w:r>
      <w:r>
        <w:t xml:space="preserve">coefficients and held-out scores describe predictive associations, not causes, guaranteed outcomes, or betting recommendations.</w:t>
      </w:r>
    </w:p>
    <w:bookmarkEnd w:id="27"/>
    <w:bookmarkStart w:id="28" w:name="X10ea22534142e5fc847992e54e47a93f9931311"/>
    <w:p>
      <w:pPr>
        <w:pStyle w:val="Heading2"/>
      </w:pPr>
      <w:r>
        <w:t xml:space="preserve">7. Reproducibility and handover</w:t>
      </w:r>
    </w:p>
    <w:p>
      <w:pPr>
        <w:pStyle w:val="FirstParagraph"/>
      </w:pPr>
      <w:r>
        <w:t xml:space="preserve">Run from the package directory: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pandas numpy scikit-learn scipy statsmodels matplotlib</w:t>
      </w:r>
      <w:r>
        <w:br/>
      </w:r>
      <w:r>
        <w:rPr>
          <w:rStyle w:val="NormalTok"/>
        </w:rPr>
        <w:t xml:space="preserve">python regression_2_1_modeling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 regression_2_1_dataset_corrected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results_aligned</w:t>
      </w:r>
    </w:p>
    <w:p>
      <w:pPr>
        <w:pStyle w:val="FirstParagraph"/>
      </w:pPr>
      <w:r>
        <w:t xml:space="preserve">The first model run writes: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results_aligned/regression_2_1_results.csv</w:t>
      </w:r>
      <w:r>
        <w:t xml:space="preserve"> </w:t>
      </w:r>
      <w:r>
        <w:t xml:space="preserve">— primary common-format six-column table for Shuvo (</w:t>
      </w:r>
      <w:r>
        <w:rPr>
          <w:rStyle w:val="VerbatimChar"/>
        </w:rPr>
        <w:t xml:space="preserve">model, split, R2_train, R2_test, NRMSE_train, NRMSE_test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results_aligned/regression_2_1_repeated_summary.csv</w:t>
      </w:r>
      <w:r>
        <w:t xml:space="preserve"> </w:t>
      </w:r>
      <w:r>
        <w:t xml:space="preserve">— 200-repetition means and SDs for all four train/test metrics.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results_aligned/regression_2_1_repeated_splits.csv</w:t>
      </w:r>
      <w:r>
        <w:t xml:space="preserve"> </w:t>
      </w:r>
      <w:r>
        <w:t xml:space="preserve">— results for every repeated partition; same six columns plus</w:t>
      </w:r>
      <w:r>
        <w:t xml:space="preserve"> </w:t>
      </w:r>
      <w:r>
        <w:rPr>
          <w:rStyle w:val="VerbatimChar"/>
        </w:rPr>
        <w:t xml:space="preserve">repeat_id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results_aligned/regression_2_1_predictions.csv</w:t>
      </w:r>
      <w:r>
        <w:t xml:space="preserve"> </w:t>
      </w:r>
      <w:r>
        <w:t xml:space="preserve">— match ID, actual and predicted goal differences for Shuvo's plotting.</w:t>
      </w:r>
    </w:p>
    <w:p>
      <w:pPr>
        <w:pStyle w:val="Compact"/>
        <w:numPr>
          <w:ilvl w:val="0"/>
          <w:numId w:val="1003"/>
        </w:numPr>
      </w:pPr>
      <w:r>
        <w:t xml:space="preserve">Supporting CSVs: data integrity, EDA summary, correlations, VIF, coefficients, detailed model metrics, Breusch–Pagan/Cook test results and influential-match review; three diagnostic PNGs and a correlation heatmap.</w:t>
      </w:r>
    </w:p>
    <w:p>
      <w:pPr>
        <w:pStyle w:val="FirstParagraph"/>
      </w:pPr>
      <w:r>
        <w:t xml:space="preserve">For team-approved competitor comparison only:</w:t>
      </w:r>
    </w:p>
    <w:p>
      <w:pPr>
        <w:pStyle w:val="SourceCode"/>
      </w:pPr>
      <w:r>
        <w:rPr>
          <w:rStyle w:val="NormalTok"/>
        </w:rPr>
        <w:t xml:space="preserve">python regression_2_1_modeling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 regression_2_1_dataset_corrected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results_optional_competitors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competitors</w:t>
      </w:r>
    </w:p>
    <w:p>
      <w:pPr>
        <w:pStyle w:val="FirstParagraph"/>
      </w:pPr>
      <w:r>
        <w:rPr>
          <w:b/>
          <w:bCs/>
        </w:rPr>
        <w:t xml:space="preserve">Before merging:</w:t>
      </w:r>
      <w:r>
        <w:t xml:space="preserve"> </w:t>
      </w:r>
      <w:r>
        <w:t xml:space="preserve">(a) Saurab confirms source-data correction and optional competitor scope; (b) the group checks NRMSE is normalised the same way in Regression 2.2; (c) Shuvo confirms the six exact column names and expected numeric proportions rather than percentages. Neither code nor results should overwrite the existing Regression 2.2 branch/files.</w:t>
      </w:r>
    </w:p>
    <w:bookmarkEnd w:id="28"/>
    <w:bookmarkEnd w:id="29"/>
    <w:p>
      <w:pPr>
        <w:pStyle w:val="Heading2"/>
        <w:pageBreakBefore/>
      </w:pPr>
      <w:r>
        <w:t>Appendix — EDA and diagnostic plots</w:t>
      </w:r>
    </w:p>
    <w:p>
      <w:pPr>
        <w:jc w:val="center"/>
      </w:pPr>
      <w:r>
        <w:drawing>
          <wp:inline>
            <wp:extent cx="4754880" cy="332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2_1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6"/>
        </w:rPr>
        <w:t>Figure A1. Predictor correlation heatmap</w:t>
      </w:r>
    </w:p>
    <w:p>
      <w:pPr>
        <w:jc w:val="center"/>
      </w:pPr>
      <w:r>
        <w:drawing>
          <wp:inline>
            <wp:extent cx="4754880" cy="339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2_1_residuals_vs_fit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6"/>
        </w:rPr>
        <w:t>Figure A2. Residuals versus fitted values (80/20 training)</w:t>
      </w:r>
    </w:p>
    <w:p>
      <w:pPr>
        <w:jc w:val="center"/>
      </w:pPr>
      <w:r>
        <w:drawing>
          <wp:inline>
            <wp:extent cx="475488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2_1_qq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6"/>
        </w:rPr>
        <w:t>Figure A3. OLS residual Q–Q plot (80/20 training)</w:t>
      </w:r>
    </w:p>
    <w:p>
      <w:pPr>
        <w:jc w:val="center"/>
      </w:pPr>
      <w:r>
        <w:drawing>
          <wp:inline>
            <wp:extent cx="475488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2_1_cooks_d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6"/>
        </w:rPr>
        <w:t>Figure A4. Cook’s distance (80/20 training)</w:t>
      </w:r>
    </w:p>
    <w:sectPr>
      <w:footerReference w:type="default" r:id="rId13"/>
      <w:pgMar w:top="1037" w:bottom="1037" w:left="965" w:right="96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A64"/>
        <w:sz w:val="16"/>
      </w:rPr>
      <w:t>Assessment 3  •  Regression 2.1  •  Bibek  •  provisional team review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Aptos" w:hAnsi="Aptos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2026-10-11T14:44:54Z</dcterms:created>
  <dcterms:modified xsi:type="dcterms:W3CDTF">2026-10-11T14:44:54Z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