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233A"/>
          <w:sz w:val="32"/>
        </w:rPr>
        <w:t>CHANAKYA UNIVERSITY</w:t>
      </w:r>
    </w:p>
    <w:p>
      <w:pPr>
        <w:jc w:val="center"/>
      </w:pPr>
      <w:r>
        <w:rPr>
          <w:b w:val="0"/>
          <w:color w:val="606060"/>
          <w:sz w:val="24"/>
        </w:rPr>
        <w:t>Department of Computer Science and Applications</w:t>
      </w:r>
    </w:p>
    <w:p/>
    <w:p>
      <w:pPr>
        <w:jc w:val="center"/>
      </w:pPr>
      <w:r>
        <w:rPr>
          <w:b/>
          <w:color w:val="1A233A"/>
          <w:sz w:val="44"/>
        </w:rPr>
        <w:t>UniSphere Academic Portal</w:t>
      </w:r>
    </w:p>
    <w:p>
      <w:pPr>
        <w:jc w:val="center"/>
      </w:pPr>
      <w:r>
        <w:rPr>
          <w:b w:val="0"/>
          <w:color w:val="1F509E"/>
          <w:sz w:val="26"/>
        </w:rPr>
        <w:t>Master Project Index and Team Directory</w:t>
      </w:r>
    </w:p>
    <w:p/>
    <w:tbl>
      <w:tblPr>
        <w:tblStyle w:val="TableGrid"/>
        <w:tblW w:type="auto" w:w="0"/>
        <w:jc w:val="left"/>
        <w:tblLook w:firstColumn="1" w:firstRow="1" w:lastColumn="0" w:lastRow="0" w:noHBand="0" w:noVBand="1" w:val="04A0"/>
      </w:tblPr>
      <w:tblGrid>
        <w:gridCol w:w="1520"/>
        <w:gridCol w:w="1520"/>
        <w:gridCol w:w="1520"/>
        <w:gridCol w:w="1520"/>
        <w:gridCol w:w="1520"/>
        <w:gridCol w:w="1520"/>
      </w:tblGrid>
      <w:tr>
        <w:tc>
          <w:tcPr>
            <w:tcW w:type="dxa" w:w="1152"/>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Team</w:t>
            </w:r>
          </w:p>
        </w:tc>
        <w:tc>
          <w:tcPr>
            <w:tcW w:type="dxa" w:w="4032"/>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Module Name</w:t>
            </w:r>
          </w:p>
        </w:tc>
        <w:tc>
          <w:tcPr>
            <w:tcW w:type="dxa" w:w="2736"/>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Folder</w:t>
            </w:r>
          </w:p>
        </w:tc>
        <w:tc>
          <w:tcPr>
            <w:tcW w:type="dxa" w:w="1008"/>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Port</w:t>
            </w:r>
          </w:p>
        </w:tc>
        <w:tc>
          <w:tcPr>
            <w:tcW w:type="dxa" w:w="1440"/>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Database</w:t>
            </w:r>
          </w:p>
        </w:tc>
        <w:tc>
          <w:tcPr>
            <w:tcW w:type="dxa" w:w="1152"/>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DB Port</w:t>
            </w:r>
          </w:p>
        </w:tc>
      </w:tr>
      <w:tr>
        <w:tc>
          <w:tcPr>
            <w:tcW w:type="dxa" w:w="115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Team 01</w:t>
            </w:r>
          </w:p>
        </w:tc>
        <w:tc>
          <w:tcPr>
            <w:tcW w:type="dxa" w:w="403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EduHRMS -- Human Resource Management</w:t>
            </w:r>
          </w:p>
        </w:tc>
        <w:tc>
          <w:tcPr>
            <w:tcW w:type="dxa" w:w="2736"/>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team01_HRMS</w:t>
            </w:r>
          </w:p>
        </w:tc>
        <w:tc>
          <w:tcPr>
            <w:tcW w:type="dxa" w:w="1008"/>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4001</w:t>
            </w:r>
          </w:p>
        </w:tc>
        <w:tc>
          <w:tcPr>
            <w:tcW w:type="dxa" w:w="144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hrms_db</w:t>
            </w:r>
          </w:p>
        </w:tc>
        <w:tc>
          <w:tcPr>
            <w:tcW w:type="dxa" w:w="115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5432</w:t>
            </w:r>
          </w:p>
        </w:tc>
      </w:tr>
      <w:tr>
        <w:tc>
          <w:tcPr>
            <w:tcW w:type="dxa" w:w="115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Team 02</w:t>
            </w:r>
          </w:p>
        </w:tc>
        <w:tc>
          <w:tcPr>
            <w:tcW w:type="dxa" w:w="403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SmartAttend -- Student Attendance</w:t>
            </w:r>
          </w:p>
        </w:tc>
        <w:tc>
          <w:tcPr>
            <w:tcW w:type="dxa" w:w="2736"/>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team02_SmartAttendance</w:t>
            </w:r>
          </w:p>
        </w:tc>
        <w:tc>
          <w:tcPr>
            <w:tcW w:type="dxa" w:w="1008"/>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4002</w:t>
            </w:r>
          </w:p>
        </w:tc>
        <w:tc>
          <w:tcPr>
            <w:tcW w:type="dxa" w:w="144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attend_db</w:t>
            </w:r>
          </w:p>
        </w:tc>
        <w:tc>
          <w:tcPr>
            <w:tcW w:type="dxa" w:w="115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5433</w:t>
            </w:r>
          </w:p>
        </w:tc>
      </w:tr>
      <w:tr>
        <w:tc>
          <w:tcPr>
            <w:tcW w:type="dxa" w:w="115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Team 03</w:t>
            </w:r>
          </w:p>
        </w:tc>
        <w:tc>
          <w:tcPr>
            <w:tcW w:type="dxa" w:w="403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ExamShield -- Online Examination</w:t>
            </w:r>
          </w:p>
        </w:tc>
        <w:tc>
          <w:tcPr>
            <w:tcW w:type="dxa" w:w="2736"/>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team03_OnlineExams</w:t>
            </w:r>
          </w:p>
        </w:tc>
        <w:tc>
          <w:tcPr>
            <w:tcW w:type="dxa" w:w="1008"/>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4003</w:t>
            </w:r>
          </w:p>
        </w:tc>
        <w:tc>
          <w:tcPr>
            <w:tcW w:type="dxa" w:w="144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exam_db</w:t>
            </w:r>
          </w:p>
        </w:tc>
        <w:tc>
          <w:tcPr>
            <w:tcW w:type="dxa" w:w="115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5434</w:t>
            </w:r>
          </w:p>
        </w:tc>
      </w:tr>
      <w:tr>
        <w:tc>
          <w:tcPr>
            <w:tcW w:type="dxa" w:w="115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Team 04</w:t>
            </w:r>
          </w:p>
        </w:tc>
        <w:tc>
          <w:tcPr>
            <w:tcW w:type="dxa" w:w="403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CodeArena -- Coding Practice</w:t>
            </w:r>
          </w:p>
        </w:tc>
        <w:tc>
          <w:tcPr>
            <w:tcW w:type="dxa" w:w="2736"/>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team04_CodeArena</w:t>
            </w:r>
          </w:p>
        </w:tc>
        <w:tc>
          <w:tcPr>
            <w:tcW w:type="dxa" w:w="1008"/>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4004</w:t>
            </w:r>
          </w:p>
        </w:tc>
        <w:tc>
          <w:tcPr>
            <w:tcW w:type="dxa" w:w="144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code_db</w:t>
            </w:r>
          </w:p>
        </w:tc>
        <w:tc>
          <w:tcPr>
            <w:tcW w:type="dxa" w:w="115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5435</w:t>
            </w:r>
          </w:p>
        </w:tc>
      </w:tr>
      <w:tr>
        <w:tc>
          <w:tcPr>
            <w:tcW w:type="dxa" w:w="115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Team 05</w:t>
            </w:r>
          </w:p>
        </w:tc>
        <w:tc>
          <w:tcPr>
            <w:tcW w:type="dxa" w:w="403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PresentAI -- Online Presentation Evaluation</w:t>
            </w:r>
          </w:p>
        </w:tc>
        <w:tc>
          <w:tcPr>
            <w:tcW w:type="dxa" w:w="2736"/>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team05_PresentationAI</w:t>
            </w:r>
          </w:p>
        </w:tc>
        <w:tc>
          <w:tcPr>
            <w:tcW w:type="dxa" w:w="1008"/>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4005</w:t>
            </w:r>
          </w:p>
        </w:tc>
        <w:tc>
          <w:tcPr>
            <w:tcW w:type="dxa" w:w="144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pres_db</w:t>
            </w:r>
          </w:p>
        </w:tc>
        <w:tc>
          <w:tcPr>
            <w:tcW w:type="dxa" w:w="115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5436</w:t>
            </w:r>
          </w:p>
        </w:tc>
      </w:tr>
      <w:tr>
        <w:tc>
          <w:tcPr>
            <w:tcW w:type="dxa" w:w="115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Team 06</w:t>
            </w:r>
          </w:p>
        </w:tc>
        <w:tc>
          <w:tcPr>
            <w:tcW w:type="dxa" w:w="403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CampusBot -- AI Campus Assistant</w:t>
            </w:r>
          </w:p>
        </w:tc>
        <w:tc>
          <w:tcPr>
            <w:tcW w:type="dxa" w:w="2736"/>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team06_CampusAIBot</w:t>
            </w:r>
          </w:p>
        </w:tc>
        <w:tc>
          <w:tcPr>
            <w:tcW w:type="dxa" w:w="1008"/>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4006</w:t>
            </w:r>
          </w:p>
        </w:tc>
        <w:tc>
          <w:tcPr>
            <w:tcW w:type="dxa" w:w="144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bot_db</w:t>
            </w:r>
          </w:p>
        </w:tc>
        <w:tc>
          <w:tcPr>
            <w:tcW w:type="dxa" w:w="115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5437</w:t>
            </w:r>
          </w:p>
        </w:tc>
      </w:tr>
      <w:tr>
        <w:tc>
          <w:tcPr>
            <w:tcW w:type="dxa" w:w="115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Team 07</w:t>
            </w:r>
          </w:p>
        </w:tc>
        <w:tc>
          <w:tcPr>
            <w:tcW w:type="dxa" w:w="403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UniHub -- Research and Project Repository</w:t>
            </w:r>
          </w:p>
        </w:tc>
        <w:tc>
          <w:tcPr>
            <w:tcW w:type="dxa" w:w="2736"/>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team07_UniHub</w:t>
            </w:r>
          </w:p>
        </w:tc>
        <w:tc>
          <w:tcPr>
            <w:tcW w:type="dxa" w:w="1008"/>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4007</w:t>
            </w:r>
          </w:p>
        </w:tc>
        <w:tc>
          <w:tcPr>
            <w:tcW w:type="dxa" w:w="144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hub_db</w:t>
            </w:r>
          </w:p>
        </w:tc>
        <w:tc>
          <w:tcPr>
            <w:tcW w:type="dxa" w:w="115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5438</w:t>
            </w:r>
          </w:p>
        </w:tc>
      </w:tr>
      <w:tr>
        <w:tc>
          <w:tcPr>
            <w:tcW w:type="dxa" w:w="115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Team 08</w:t>
            </w:r>
          </w:p>
        </w:tc>
        <w:tc>
          <w:tcPr>
            <w:tcW w:type="dxa" w:w="403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TrackIt -- Project and Internship Track</w:t>
            </w:r>
          </w:p>
        </w:tc>
        <w:tc>
          <w:tcPr>
            <w:tcW w:type="dxa" w:w="2736"/>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team08_ProjectInternshipTrack</w:t>
            </w:r>
          </w:p>
        </w:tc>
        <w:tc>
          <w:tcPr>
            <w:tcW w:type="dxa" w:w="1008"/>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4008</w:t>
            </w:r>
          </w:p>
        </w:tc>
        <w:tc>
          <w:tcPr>
            <w:tcW w:type="dxa" w:w="144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track_db</w:t>
            </w:r>
          </w:p>
        </w:tc>
        <w:tc>
          <w:tcPr>
            <w:tcW w:type="dxa" w:w="115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5439</w:t>
            </w:r>
          </w:p>
        </w:tc>
      </w:tr>
    </w:tbl>
    <w:p/>
    <w:p>
      <w:pPr>
        <w:pStyle w:val="Heading1"/>
        <w:spacing w:before="240" w:after="80"/>
      </w:pPr>
      <w:r>
        <w:rPr>
          <w:b/>
          <w:color w:val="1A233A"/>
          <w:sz w:val="32"/>
        </w:rPr>
        <w:t>Database Isolation Strategy</w:t>
      </w:r>
    </w:p>
    <w:p>
      <w:pPr>
        <w:spacing w:after="80"/>
      </w:pPr>
      <w:r>
        <w:rPr>
          <w:color w:val="606060"/>
          <w:sz w:val="21"/>
        </w:rPr>
        <w:t>Each team maintains its own isolated PostgreSQL database instance. The schema design is coordinated but instances are physically separate to prevent deployment conflicts during parallel development. Teams reference data from other modules exclusively through internal REST API calls via the Central API Gateway.</w:t>
      </w:r>
    </w:p>
    <w:tbl>
      <w:tblPr>
        <w:tblStyle w:val="TableGrid"/>
        <w:tblW w:type="auto" w:w="0"/>
        <w:jc w:val="left"/>
        <w:tblLook w:firstColumn="1" w:firstRow="1" w:lastColumn="0" w:lastRow="0" w:noHBand="0" w:noVBand="1" w:val="04A0"/>
      </w:tblPr>
      <w:tblGrid>
        <w:gridCol w:w="4561"/>
        <w:gridCol w:w="4561"/>
      </w:tblGrid>
      <w:tr>
        <w:tc>
          <w:tcPr>
            <w:tcW w:type="dxa" w:w="2880"/>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Rule</w:t>
            </w:r>
          </w:p>
        </w:tc>
        <w:tc>
          <w:tcPr>
            <w:tcW w:type="dxa" w:w="7200"/>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Description</w:t>
            </w:r>
          </w:p>
        </w:tc>
      </w:tr>
      <w:tr>
        <w:tc>
          <w:tcPr>
            <w:tcW w:type="dxa" w:w="288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No shared database servers</w:t>
            </w:r>
          </w:p>
        </w:tc>
        <w:tc>
          <w:tcPr>
            <w:tcW w:type="dxa" w:w="720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Each team's Docker Compose file specifies a unique PostgreSQL container name and host port.</w:t>
            </w:r>
          </w:p>
        </w:tc>
      </w:tr>
      <w:tr>
        <w:tc>
          <w:tcPr>
            <w:tcW w:type="dxa" w:w="288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No direct cross-DB queries</w:t>
            </w:r>
          </w:p>
        </w:tc>
        <w:tc>
          <w:tcPr>
            <w:tcW w:type="dxa" w:w="720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Cross-module data access is only permitted via internal HTTP API calls using the INTERNAL_GATEWAY_TOKEN.</w:t>
            </w:r>
          </w:p>
        </w:tc>
      </w:tr>
      <w:tr>
        <w:tc>
          <w:tcPr>
            <w:tcW w:type="dxa" w:w="288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Schema coordination</w:t>
            </w:r>
          </w:p>
        </w:tc>
        <w:tc>
          <w:tcPr>
            <w:tcW w:type="dxa" w:w="720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Teams must communicate any changes to their public API contract at least one sprint in advance.</w:t>
            </w:r>
          </w:p>
        </w:tc>
      </w:tr>
      <w:tr>
        <w:tc>
          <w:tcPr>
            <w:tcW w:type="dxa" w:w="288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Environment isolation</w:t>
            </w:r>
          </w:p>
        </w:tc>
        <w:tc>
          <w:tcPr>
            <w:tcW w:type="dxa" w:w="720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DATABASE_URL in each team's .env file points exclusively to their own database instance.</w:t>
            </w:r>
          </w:p>
        </w:tc>
      </w:tr>
      <w:tr>
        <w:tc>
          <w:tcPr>
            <w:tcW w:type="dxa" w:w="288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Integration testing</w:t>
            </w:r>
          </w:p>
        </w:tc>
        <w:tc>
          <w:tcPr>
            <w:tcW w:type="dxa" w:w="720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End-to-end tests run only in the shared staging environment, never against individual development databases.</w:t>
            </w:r>
          </w:p>
        </w:tc>
      </w:tr>
    </w:tbl>
    <w:p/>
    <w:p>
      <w:pPr>
        <w:pStyle w:val="Heading1"/>
        <w:spacing w:before="240" w:after="80"/>
      </w:pPr>
      <w:r>
        <w:rPr>
          <w:b/>
          <w:color w:val="1A233A"/>
          <w:sz w:val="32"/>
        </w:rPr>
        <w:t>Technology Stack Reference</w:t>
      </w:r>
    </w:p>
    <w:tbl>
      <w:tblPr>
        <w:tblStyle w:val="TableGrid"/>
        <w:tblW w:type="auto" w:w="0"/>
        <w:jc w:val="left"/>
        <w:tblLook w:firstColumn="1" w:firstRow="1" w:lastColumn="0" w:lastRow="0" w:noHBand="0" w:noVBand="1" w:val="04A0"/>
      </w:tblPr>
      <w:tblGrid>
        <w:gridCol w:w="3041"/>
        <w:gridCol w:w="3041"/>
        <w:gridCol w:w="3041"/>
      </w:tblGrid>
      <w:tr>
        <w:tc>
          <w:tcPr>
            <w:tcW w:type="dxa" w:w="2880"/>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Layer</w:t>
            </w:r>
          </w:p>
        </w:tc>
        <w:tc>
          <w:tcPr>
            <w:tcW w:type="dxa" w:w="4320"/>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Technology</w:t>
            </w:r>
          </w:p>
        </w:tc>
        <w:tc>
          <w:tcPr>
            <w:tcW w:type="dxa" w:w="2880"/>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Version</w:t>
            </w:r>
          </w:p>
        </w:tc>
      </w:tr>
      <w:tr>
        <w:tc>
          <w:tcPr>
            <w:tcW w:type="dxa" w:w="288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Frontend Framework</w:t>
            </w:r>
          </w:p>
        </w:tc>
        <w:tc>
          <w:tcPr>
            <w:tcW w:type="dxa" w:w="432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Next.js (App Router)</w:t>
            </w:r>
          </w:p>
        </w:tc>
        <w:tc>
          <w:tcPr>
            <w:tcW w:type="dxa" w:w="288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14.x</w:t>
            </w:r>
          </w:p>
        </w:tc>
      </w:tr>
      <w:tr>
        <w:tc>
          <w:tcPr>
            <w:tcW w:type="dxa" w:w="288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UI Component Library</w:t>
            </w:r>
          </w:p>
        </w:tc>
        <w:tc>
          <w:tcPr>
            <w:tcW w:type="dxa" w:w="432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Shadcn UI and Radix Primitives</w:t>
            </w:r>
          </w:p>
        </w:tc>
        <w:tc>
          <w:tcPr>
            <w:tcW w:type="dxa" w:w="288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Latest</w:t>
            </w:r>
          </w:p>
        </w:tc>
      </w:tr>
      <w:tr>
        <w:tc>
          <w:tcPr>
            <w:tcW w:type="dxa" w:w="288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Backend Framework</w:t>
            </w:r>
          </w:p>
        </w:tc>
        <w:tc>
          <w:tcPr>
            <w:tcW w:type="dxa" w:w="432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Express.js (Node.js)</w:t>
            </w:r>
          </w:p>
        </w:tc>
        <w:tc>
          <w:tcPr>
            <w:tcW w:type="dxa" w:w="288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4.x and Node 20 LTS</w:t>
            </w:r>
          </w:p>
        </w:tc>
      </w:tr>
      <w:tr>
        <w:tc>
          <w:tcPr>
            <w:tcW w:type="dxa" w:w="288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ORM</w:t>
            </w:r>
          </w:p>
        </w:tc>
        <w:tc>
          <w:tcPr>
            <w:tcW w:type="dxa" w:w="432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Prisma</w:t>
            </w:r>
          </w:p>
        </w:tc>
        <w:tc>
          <w:tcPr>
            <w:tcW w:type="dxa" w:w="288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5.x</w:t>
            </w:r>
          </w:p>
        </w:tc>
      </w:tr>
      <w:tr>
        <w:tc>
          <w:tcPr>
            <w:tcW w:type="dxa" w:w="288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Primary Database</w:t>
            </w:r>
          </w:p>
        </w:tc>
        <w:tc>
          <w:tcPr>
            <w:tcW w:type="dxa" w:w="432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PostgreSQL</w:t>
            </w:r>
          </w:p>
        </w:tc>
        <w:tc>
          <w:tcPr>
            <w:tcW w:type="dxa" w:w="288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16</w:t>
            </w:r>
          </w:p>
        </w:tc>
      </w:tr>
      <w:tr>
        <w:tc>
          <w:tcPr>
            <w:tcW w:type="dxa" w:w="288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Cache and Queues</w:t>
            </w:r>
          </w:p>
        </w:tc>
        <w:tc>
          <w:tcPr>
            <w:tcW w:type="dxa" w:w="432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Redis and BullMQ</w:t>
            </w:r>
          </w:p>
        </w:tc>
        <w:tc>
          <w:tcPr>
            <w:tcW w:type="dxa" w:w="288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Redis 7 and BullMQ 5</w:t>
            </w:r>
          </w:p>
        </w:tc>
      </w:tr>
      <w:tr>
        <w:tc>
          <w:tcPr>
            <w:tcW w:type="dxa" w:w="288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Container Runtime</w:t>
            </w:r>
          </w:p>
        </w:tc>
        <w:tc>
          <w:tcPr>
            <w:tcW w:type="dxa" w:w="432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Docker and Docker Compose</w:t>
            </w:r>
          </w:p>
        </w:tc>
        <w:tc>
          <w:tcPr>
            <w:tcW w:type="dxa" w:w="288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25.x</w:t>
            </w:r>
          </w:p>
        </w:tc>
      </w:tr>
      <w:tr>
        <w:tc>
          <w:tcPr>
            <w:tcW w:type="dxa" w:w="288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Monorepo Manager</w:t>
            </w:r>
          </w:p>
        </w:tc>
        <w:tc>
          <w:tcPr>
            <w:tcW w:type="dxa" w:w="432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Turborepo and pnpm</w:t>
            </w:r>
          </w:p>
        </w:tc>
        <w:tc>
          <w:tcPr>
            <w:tcW w:type="dxa" w:w="288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Latest</w:t>
            </w:r>
          </w:p>
        </w:tc>
      </w:tr>
      <w:tr>
        <w:tc>
          <w:tcPr>
            <w:tcW w:type="dxa" w:w="288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AI and LLM</w:t>
            </w:r>
          </w:p>
        </w:tc>
        <w:tc>
          <w:tcPr>
            <w:tcW w:type="dxa" w:w="432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Google Gemini API</w:t>
            </w:r>
          </w:p>
        </w:tc>
        <w:tc>
          <w:tcPr>
            <w:tcW w:type="dxa" w:w="288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gemini-1.5-pro</w:t>
            </w:r>
          </w:p>
        </w:tc>
      </w:tr>
      <w:tr>
        <w:tc>
          <w:tcPr>
            <w:tcW w:type="dxa" w:w="288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Code Execution</w:t>
            </w:r>
          </w:p>
        </w:tc>
        <w:tc>
          <w:tcPr>
            <w:tcW w:type="dxa" w:w="432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Judge0 CE and gVisor</w:t>
            </w:r>
          </w:p>
        </w:tc>
        <w:tc>
          <w:tcPr>
            <w:tcW w:type="dxa" w:w="288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Latest</w:t>
            </w:r>
          </w:p>
        </w:tc>
      </w:tr>
      <w:tr>
        <w:tc>
          <w:tcPr>
            <w:tcW w:type="dxa" w:w="288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Authentication</w:t>
            </w:r>
          </w:p>
        </w:tc>
        <w:tc>
          <w:tcPr>
            <w:tcW w:type="dxa" w:w="432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JWT (RS256) via packages/auth</w:t>
            </w:r>
          </w:p>
        </w:tc>
        <w:tc>
          <w:tcPr>
            <w:tcW w:type="dxa" w:w="288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Internal</w:t>
            </w:r>
          </w:p>
        </w:tc>
      </w:tr>
      <w:tr>
        <w:tc>
          <w:tcPr>
            <w:tcW w:type="dxa" w:w="288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Object Storage</w:t>
            </w:r>
          </w:p>
        </w:tc>
        <w:tc>
          <w:tcPr>
            <w:tcW w:type="dxa" w:w="432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MinIO (S3-compatible)</w:t>
            </w:r>
          </w:p>
        </w:tc>
        <w:tc>
          <w:tcPr>
            <w:tcW w:type="dxa" w:w="288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Latest</w:t>
            </w:r>
          </w:p>
        </w:tc>
      </w:tr>
      <w:tr>
        <w:tc>
          <w:tcPr>
            <w:tcW w:type="dxa" w:w="288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Source Control</w:t>
            </w:r>
          </w:p>
        </w:tc>
        <w:tc>
          <w:tcPr>
            <w:tcW w:type="dxa" w:w="432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Git, GitHub, and Gitea CE</w:t>
            </w:r>
          </w:p>
        </w:tc>
        <w:tc>
          <w:tcPr>
            <w:tcW w:type="dxa" w:w="288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Latest</w:t>
            </w:r>
          </w:p>
        </w:tc>
      </w:tr>
      <w:tr>
        <w:tc>
          <w:tcPr>
            <w:tcW w:type="dxa" w:w="288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Language</w:t>
            </w:r>
          </w:p>
        </w:tc>
        <w:tc>
          <w:tcPr>
            <w:tcW w:type="dxa" w:w="432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TypeScript</w:t>
            </w:r>
          </w:p>
        </w:tc>
        <w:tc>
          <w:tcPr>
            <w:tcW w:type="dxa" w:w="288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5.x</w:t>
            </w:r>
          </w:p>
        </w:tc>
      </w:tr>
    </w:tbl>
    <w:p/>
    <w:p>
      <w:pPr>
        <w:pStyle w:val="Heading1"/>
        <w:spacing w:before="240" w:after="80"/>
      </w:pPr>
      <w:r>
        <w:rPr>
          <w:b/>
          <w:color w:val="1A233A"/>
          <w:sz w:val="32"/>
        </w:rPr>
        <w:t>Integration Architecture</w:t>
      </w:r>
    </w:p>
    <w:p>
      <w:pPr>
        <w:spacing w:after="80"/>
      </w:pPr>
      <w:r>
        <w:rPr>
          <w:color w:val="606060"/>
          <w:sz w:val="21"/>
        </w:rPr>
        <w:t>The Central API Gateway (port 4000) routes all incoming requests to the appropriate module service based on URL path prefix. Inter-module communication uses an INTERNAL_GATEWAY_TOKEN shared secret. No module may connect directly to another module's database. All public-facing APIs are served exclusively through the Gateway.</w:t>
      </w:r>
    </w:p>
    <w:tbl>
      <w:tblPr>
        <w:tblStyle w:val="TableGrid"/>
        <w:tblW w:type="auto" w:w="0"/>
        <w:jc w:val="left"/>
        <w:tblLook w:firstColumn="1" w:firstRow="1" w:lastColumn="0" w:lastRow="0" w:noHBand="0" w:noVBand="1" w:val="04A0"/>
      </w:tblPr>
      <w:tblGrid>
        <w:gridCol w:w="3041"/>
        <w:gridCol w:w="3041"/>
        <w:gridCol w:w="3041"/>
      </w:tblGrid>
      <w:tr>
        <w:tc>
          <w:tcPr>
            <w:tcW w:type="dxa" w:w="2880"/>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Module Dependency</w:t>
            </w:r>
          </w:p>
        </w:tc>
        <w:tc>
          <w:tcPr>
            <w:tcW w:type="dxa" w:w="1440"/>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Direction</w:t>
            </w:r>
          </w:p>
        </w:tc>
        <w:tc>
          <w:tcPr>
            <w:tcW w:type="dxa" w:w="5760"/>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Purpose</w:t>
            </w:r>
          </w:p>
        </w:tc>
      </w:tr>
      <w:tr>
        <w:tc>
          <w:tcPr>
            <w:tcW w:type="dxa" w:w="288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TrackIt to HRMS</w:t>
            </w:r>
          </w:p>
        </w:tc>
        <w:tc>
          <w:tcPr>
            <w:tcW w:type="dxa" w:w="144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Inbound</w:t>
            </w:r>
          </w:p>
        </w:tc>
        <w:tc>
          <w:tcPr>
            <w:tcW w:type="dxa" w:w="576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Fetch faculty domain expertise for guide assignment</w:t>
            </w:r>
          </w:p>
        </w:tc>
      </w:tr>
      <w:tr>
        <w:tc>
          <w:tcPr>
            <w:tcW w:type="dxa" w:w="288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TrackIt to PresentAI</w:t>
            </w:r>
          </w:p>
        </w:tc>
        <w:tc>
          <w:tcPr>
            <w:tcW w:type="dxa" w:w="144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Inbound</w:t>
            </w:r>
          </w:p>
        </w:tc>
        <w:tc>
          <w:tcPr>
            <w:tcW w:type="dxa" w:w="576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Create viva presentation session for final evaluation</w:t>
            </w:r>
          </w:p>
        </w:tc>
      </w:tr>
      <w:tr>
        <w:tc>
          <w:tcPr>
            <w:tcW w:type="dxa" w:w="288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TrackIt to UniHub</w:t>
            </w:r>
          </w:p>
        </w:tc>
        <w:tc>
          <w:tcPr>
            <w:tcW w:type="dxa" w:w="144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Inbound</w:t>
            </w:r>
          </w:p>
        </w:tc>
        <w:tc>
          <w:tcPr>
            <w:tcW w:type="dxa" w:w="576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Auto-create repository entry on project completion</w:t>
            </w:r>
          </w:p>
        </w:tc>
      </w:tr>
      <w:tr>
        <w:tc>
          <w:tcPr>
            <w:tcW w:type="dxa" w:w="288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CampusBot to Attendance</w:t>
            </w:r>
          </w:p>
        </w:tc>
        <w:tc>
          <w:tcPr>
            <w:tcW w:type="dxa" w:w="144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Inbound</w:t>
            </w:r>
          </w:p>
        </w:tc>
        <w:tc>
          <w:tcPr>
            <w:tcW w:type="dxa" w:w="576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Fetch student attendance percentage on query</w:t>
            </w:r>
          </w:p>
        </w:tc>
      </w:tr>
      <w:tr>
        <w:tc>
          <w:tcPr>
            <w:tcW w:type="dxa" w:w="288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CampusBot to Exams</w:t>
            </w:r>
          </w:p>
        </w:tc>
        <w:tc>
          <w:tcPr>
            <w:tcW w:type="dxa" w:w="144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Inbound</w:t>
            </w:r>
          </w:p>
        </w:tc>
        <w:tc>
          <w:tcPr>
            <w:tcW w:type="dxa" w:w="576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Fetch upcoming exam schedule on query</w:t>
            </w:r>
          </w:p>
        </w:tc>
      </w:tr>
      <w:tr>
        <w:tc>
          <w:tcPr>
            <w:tcW w:type="dxa" w:w="288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CampusBot to TrackIt</w:t>
            </w:r>
          </w:p>
        </w:tc>
        <w:tc>
          <w:tcPr>
            <w:tcW w:type="dxa" w:w="144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Inbound</w:t>
            </w:r>
          </w:p>
        </w:tc>
        <w:tc>
          <w:tcPr>
            <w:tcW w:type="dxa" w:w="576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Fetch project deadlines and internship status on query</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