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color w:val="1F4E79"/>
          <w:sz w:val="46"/>
        </w:rPr>
        <w:t>UNISPHERE: ENTERPRISE UNIFIED UNIVERSITY PORTAL</w:t>
      </w:r>
    </w:p>
    <w:p>
      <w:pPr>
        <w:spacing w:after="280"/>
      </w:pPr>
      <w:r>
        <w:rPr>
          <w:rFonts w:ascii="Calibri" w:hAnsi="Calibri"/>
          <w:color w:val="4A5568"/>
          <w:sz w:val="24"/>
        </w:rPr>
        <w:t>Master System Architecture, Student Team Implementation Blueprint &amp; Cybersecurity Audit</w:t>
        <w:br/>
        <w:t>Includes HRMS, Smart Attendance, AI Exams, Code Judge, AI Presentation Evaluator, RAG Bot &amp; UniHub Repo</w:t>
        <w:br/>
        <w:t>Version 2.5 | Production-Ready Engineering Specification</w:t>
      </w:r>
    </w:p>
    <w:tbl>
      <w:tblPr>
        <w:tblW w:type="auto" w:w="0"/>
        <w:jc w:val="center"/>
        <w:tblLook w:firstColumn="1" w:firstRow="1" w:lastColumn="0" w:lastRow="0" w:noHBand="0" w:noVBand="1" w:val="04A0"/>
      </w:tblPr>
      <w:tblGrid>
        <w:gridCol w:w="9360"/>
      </w:tblGrid>
      <w:tr>
        <w:tc>
          <w:tcPr>
            <w:tcW w:type="dxa" w:w="9360"/>
            <w:shd w:fill="F0F4F8"/>
            <w:tcMar>
              <w:top w:w="140" w:type="dxa"/>
              <w:bottom w:w="140" w:type="dxa"/>
              <w:left w:w="200" w:type="dxa"/>
              <w:right w:w="200" w:type="dxa"/>
            </w:tcMar>
            <w:tcBorders>
              <w:left w:val="single" w:sz="24" w:space="0" w:color="1F4E79"/>
              <w:top w:val="none"/>
              <w:right w:val="none"/>
              <w:bottom w:val="none"/>
            </w:tcBorders>
          </w:tcPr>
          <w:p>
            <w:pPr>
              <w:spacing w:before="40" w:after="80"/>
            </w:pPr>
            <w:r>
              <w:rPr>
                <w:rFonts w:ascii="Calibri" w:hAnsi="Calibri"/>
                <w:b/>
                <w:color w:val="1F4E79"/>
                <w:sz w:val="20"/>
              </w:rPr>
              <w:t>[SENIOR LEAD ARCHITECT MANDATE]</w:t>
              <w:br/>
            </w:r>
            <w:r>
              <w:rPr>
                <w:rFonts w:ascii="Calibri" w:hAnsi="Calibri"/>
                <w:color w:val="2D3748"/>
                <w:sz w:val="19"/>
              </w:rPr>
              <w:t>Authoritative Engineering Mandate: This specification governs the architecture and end-stage integration for 7 specialized modules built by 7 independent student teams (3 students per team). All modules adhere to unified Next.js/Express standards, normalized PostgreSQL 16 schemas, hardened Docker sandboxing, and zero-trust authentication.</w:t>
            </w:r>
          </w:p>
        </w:tc>
      </w:tr>
    </w:tbl>
    <w:p>
      <w:pPr>
        <w:spacing w:after="120"/>
      </w:pPr>
    </w:p>
    <w:p>
      <w:pPr>
        <w:pStyle w:val="Heading1"/>
      </w:pPr>
      <w:r>
        <w:rPr>
          <w:color w:val="1F4E79"/>
        </w:rPr>
        <w:t>1. Executive Blueprint &amp; Master System Architecture</w:t>
      </w:r>
    </w:p>
    <w:p>
      <w:r>
        <w:t>UniSphere integrates seven mission-critical university subsystems into a high-performance digital ecosystem: (1) Academic HRMS &amp; Workforce, (2) Smart Student Attendance Tracking &amp; Exam Eligibility Gate, (3) AI-Proctored Secure Online Examination Suite, (4) Interactive Code Execution Arena &amp; Auto-Judge, (5) AI-Powered Online Presentation &amp; Virtual Viva Voce Evaluation Platform, (6) Institutional Knowledge RAG AI Assistant, and (7) UniHub Institutional Code Repository &amp; Research Publication Archive. Each module is engineered by a separate 3-student team using identical technical conventions and coordinated through a Monorepo workspace.</w:t>
      </w:r>
    </w:p>
    <w:p>
      <w:pPr>
        <w:pStyle w:val="Heading2"/>
      </w:pPr>
      <w:r>
        <w:t>1.1 7-Module Global Architecture Diagram (Mermaid / Component View)</w:t>
      </w:r>
    </w:p>
    <w:p>
      <w:pPr>
        <w:spacing w:before="80" w:after="160"/>
      </w:pPr>
      <w:r>
        <w:rPr>
          <w:rFonts w:ascii="Consolas" w:hAnsi="Consolas"/>
          <w:color w:val="1A365D"/>
          <w:sz w:val="17"/>
        </w:rPr>
        <w:t>```mermaid</w:t>
        <w:br/>
        <w:t>graph TB</w:t>
        <w:br/>
        <w:t xml:space="preserve">    subgraph PresentationTier [Unified Presentation Layer]</w:t>
        <w:br/>
        <w:t xml:space="preserve">        WebShell[Unified Next.js 14 Web Portal - Tailwind CSS / Shadcn UI]</w:t>
        <w:br/>
        <w:t xml:space="preserve">        MobilePWA[Responsive Mobile Web &amp; PWA Client]</w:t>
        <w:br/>
        <w:t xml:space="preserve">    end</w:t>
        <w:br/>
        <w:br/>
        <w:t xml:space="preserve">    subgraph IngressGateway [Security &amp; Ingress Gateway]</w:t>
        <w:br/>
        <w:t xml:space="preserve">        Proxy[NGINX / Traefik Reverse Proxy &amp; TLS 1.3 Termination]</w:t>
        <w:br/>
        <w:t xml:space="preserve">        APIGateway[Central API Gateway - JWT RBAC / Rate Limiter / CSRF]</w:t>
        <w:br/>
        <w:t xml:space="preserve">    end</w:t>
        <w:br/>
        <w:br/>
        <w:t xml:space="preserve">    subgraph Microservices [7 Decoupled Microservice Modules - 3 Students Each]</w:t>
        <w:br/>
        <w:t xml:space="preserve">        M1[Module 1: Academic HRMS &amp; Staff Attendance]</w:t>
        <w:br/>
        <w:t xml:space="preserve">        M2[Module 2: Smart Student Attendance &amp; Dynamic QR Gate]</w:t>
        <w:br/>
        <w:t xml:space="preserve">        M3[Module 3: AI-Proctored Examination Suite]</w:t>
        <w:br/>
        <w:t xml:space="preserve">        M4[Module 4: Code Arena &amp; Auto-Judge Sandbox]</w:t>
        <w:br/>
        <w:t xml:space="preserve">        M5[Module 5: AI Online Presentation &amp; Viva Evaluator]</w:t>
        <w:br/>
        <w:t xml:space="preserve">        M6[Module 6: RAG Campus Knowledge Assistant]</w:t>
        <w:br/>
        <w:t xml:space="preserve">        M7[Module 7: UniHub Git &amp; Research Archive]</w:t>
        <w:br/>
        <w:t xml:space="preserve">    end</w:t>
        <w:br/>
        <w:br/>
        <w:t xml:space="preserve">    subgraph DataStorageTier [Persistence, Compute &amp; Sandbox Tier]</w:t>
        <w:br/>
        <w:t xml:space="preserve">        PGSQL[(PostgreSQL 16 Enterprise + pgvector)]</w:t>
        <w:br/>
        <w:t xml:space="preserve">        RedisStore[(Redis 7.2 - Dynamic QR Nonces / BullMQ / Session Cache)]</w:t>
        <w:br/>
        <w:t xml:space="preserve">        DockerSandbox[Docker Container Runner - gVisor runsc / cgroups]</w:t>
        <w:br/>
        <w:t xml:space="preserve">        ObjectStore[MinIO / S3 - Encrypted Video, Slides, Git &amp; PDFs]</w:t>
        <w:br/>
        <w:t xml:space="preserve">    end</w:t>
        <w:br/>
        <w:br/>
        <w:t xml:space="preserve">    WebShell --&gt; Proxy</w:t>
        <w:br/>
        <w:t xml:space="preserve">    MobilePWA --&gt; Proxy</w:t>
        <w:br/>
        <w:t xml:space="preserve">    Proxy --&gt; APIGateway</w:t>
        <w:br/>
        <w:t xml:space="preserve">    APIGateway --&gt; M1 &amp; M2 &amp; M3 &amp; M4 &amp; M5 &amp; M6 &amp; M7</w:t>
        <w:br/>
        <w:t xml:space="preserve">    M1 &amp; M2 &amp; M3 &amp; M4 &amp; M5 &amp; M6 &amp; M7 --&gt; PGSQL</w:t>
        <w:br/>
        <w:t xml:space="preserve">    M2 &amp; M3 &amp; M4 &amp; M5 &amp; M6 --&gt; RedisStore</w:t>
        <w:br/>
        <w:t xml:space="preserve">    M4 --&gt; DockerSandbox</w:t>
        <w:br/>
        <w:t xml:space="preserve">    M5 &amp; M7 --&gt; ObjectStore</w:t>
        <w:br/>
        <w:t xml:space="preserve">    M2 -.-&gt;|Automated Eligibility Lock| M3</w:t>
        <w:br/>
        <w:t>```</w:t>
      </w:r>
    </w:p>
    <w:p>
      <w:pPr>
        <w:pStyle w:val="Heading2"/>
      </w:pPr>
      <w:r>
        <w:t>1.2 Unified Technology Stack Rationale</w:t>
      </w:r>
    </w:p>
    <w:tbl>
      <w:tblPr>
        <w:tblW w:type="auto" w:w="0"/>
        <w:jc w:val="center"/>
        <w:tblLook w:firstColumn="1" w:firstRow="1" w:lastColumn="0" w:lastRow="0" w:noHBand="0" w:noVBand="1" w:val="04A0"/>
      </w:tblPr>
      <w:tblGrid>
        <w:gridCol w:w="3120"/>
        <w:gridCol w:w="3120"/>
        <w:gridCol w:w="3120"/>
      </w:tblGrid>
      <w:tr>
        <w:tc>
          <w:tcPr>
            <w:tcW w:type="dxa" w:w="2160"/>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shd w:fill="1F4E79"/>
          </w:tcPr>
          <w:p>
            <w:pPr>
              <w:spacing w:before="80" w:after="80"/>
            </w:pPr>
            <w:r>
              <w:rPr>
                <w:rFonts w:ascii="Calibri" w:hAnsi="Calibri"/>
                <w:b/>
                <w:color w:val="FFFFFF"/>
                <w:sz w:val="20"/>
              </w:rPr>
              <w:t>Layer</w:t>
            </w:r>
          </w:p>
        </w:tc>
        <w:tc>
          <w:tcPr>
            <w:tcW w:type="dxa" w:w="3168"/>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shd w:fill="1F4E79"/>
          </w:tcPr>
          <w:p>
            <w:pPr>
              <w:spacing w:before="80" w:after="80"/>
            </w:pPr>
            <w:r>
              <w:rPr>
                <w:rFonts w:ascii="Calibri" w:hAnsi="Calibri"/>
                <w:b/>
                <w:color w:val="FFFFFF"/>
                <w:sz w:val="20"/>
              </w:rPr>
              <w:t>Standardized Technology</w:t>
            </w:r>
          </w:p>
        </w:tc>
        <w:tc>
          <w:tcPr>
            <w:tcW w:type="dxa" w:w="4032"/>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shd w:fill="1F4E79"/>
          </w:tcPr>
          <w:p>
            <w:pPr>
              <w:spacing w:before="80" w:after="80"/>
            </w:pPr>
            <w:r>
              <w:rPr>
                <w:rFonts w:ascii="Calibri" w:hAnsi="Calibri"/>
                <w:b/>
                <w:color w:val="FFFFFF"/>
                <w:sz w:val="20"/>
              </w:rPr>
              <w:t>Engineering Justification</w:t>
            </w:r>
          </w:p>
        </w:tc>
      </w:tr>
      <w:tr>
        <w:tc>
          <w:tcPr>
            <w:tcW w:type="dxa" w:w="2160"/>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shd w:fill="F9FAFB"/>
          </w:tcPr>
          <w:p>
            <w:pPr>
              <w:spacing w:before="60" w:after="60"/>
            </w:pPr>
            <w:r>
              <w:rPr>
                <w:rFonts w:ascii="Calibri" w:hAnsi="Calibri"/>
                <w:color w:val="1A202C"/>
                <w:sz w:val="19"/>
              </w:rPr>
              <w:t>Frontend UI</w:t>
            </w:r>
          </w:p>
        </w:tc>
        <w:tc>
          <w:tcPr>
            <w:tcW w:type="dxa" w:w="3168"/>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shd w:fill="F9FAFB"/>
          </w:tcPr>
          <w:p>
            <w:pPr>
              <w:spacing w:before="60" w:after="60"/>
            </w:pPr>
            <w:r>
              <w:rPr>
                <w:rFonts w:ascii="Calibri" w:hAnsi="Calibri"/>
                <w:color w:val="1A202C"/>
                <w:sz w:val="19"/>
              </w:rPr>
              <w:t>Next.js 14 (App Router), TypeScript, Tailwind CSS, Shadcn/UI, Framer Motion</w:t>
            </w:r>
          </w:p>
        </w:tc>
        <w:tc>
          <w:tcPr>
            <w:tcW w:type="dxa" w:w="4032"/>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shd w:fill="F9FAFB"/>
          </w:tcPr>
          <w:p>
            <w:pPr>
              <w:spacing w:before="60" w:after="60"/>
            </w:pPr>
            <w:r>
              <w:rPr>
                <w:rFonts w:ascii="Calibri" w:hAnsi="Calibri"/>
                <w:color w:val="1A202C"/>
                <w:sz w:val="19"/>
              </w:rPr>
              <w:t>Unified styling tokens, WCAG 2.1 AA accessibility, SSR performance, zero layout shift.</w:t>
            </w:r>
          </w:p>
        </w:tc>
      </w:tr>
      <w:tr>
        <w:tc>
          <w:tcPr>
            <w:tcW w:type="dxa" w:w="2160"/>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shd w:fill="FFFFFF"/>
          </w:tcPr>
          <w:p>
            <w:pPr>
              <w:spacing w:before="60" w:after="60"/>
            </w:pPr>
            <w:r>
              <w:rPr>
                <w:rFonts w:ascii="Calibri" w:hAnsi="Calibri"/>
                <w:color w:val="1A202C"/>
                <w:sz w:val="19"/>
              </w:rPr>
              <w:t>Backend APIs</w:t>
            </w:r>
          </w:p>
        </w:tc>
        <w:tc>
          <w:tcPr>
            <w:tcW w:type="dxa" w:w="3168"/>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shd w:fill="FFFFFF"/>
          </w:tcPr>
          <w:p>
            <w:pPr>
              <w:spacing w:before="60" w:after="60"/>
            </w:pPr>
            <w:r>
              <w:rPr>
                <w:rFonts w:ascii="Calibri" w:hAnsi="Calibri"/>
                <w:color w:val="1A202C"/>
                <w:sz w:val="19"/>
              </w:rPr>
              <w:t>Node.js 20 LTS, Express.js (TypeScript), Zod Schema Validation</w:t>
            </w:r>
          </w:p>
        </w:tc>
        <w:tc>
          <w:tcPr>
            <w:tcW w:type="dxa" w:w="4032"/>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shd w:fill="FFFFFF"/>
          </w:tcPr>
          <w:p>
            <w:pPr>
              <w:spacing w:before="60" w:after="60"/>
            </w:pPr>
            <w:r>
              <w:rPr>
                <w:rFonts w:ascii="Calibri" w:hAnsi="Calibri"/>
                <w:color w:val="1A202C"/>
                <w:sz w:val="19"/>
              </w:rPr>
              <w:t>Non-blocking high concurrency, end-to-end type sharing with frontend, structured JSON APIs.</w:t>
            </w:r>
          </w:p>
        </w:tc>
      </w:tr>
      <w:tr>
        <w:tc>
          <w:tcPr>
            <w:tcW w:type="dxa" w:w="2160"/>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shd w:fill="F9FAFB"/>
          </w:tcPr>
          <w:p>
            <w:pPr>
              <w:spacing w:before="60" w:after="60"/>
            </w:pPr>
            <w:r>
              <w:rPr>
                <w:rFonts w:ascii="Calibri" w:hAnsi="Calibri"/>
                <w:color w:val="1A202C"/>
                <w:sz w:val="19"/>
              </w:rPr>
              <w:t>AI &amp; Multi-Modal</w:t>
            </w:r>
          </w:p>
        </w:tc>
        <w:tc>
          <w:tcPr>
            <w:tcW w:type="dxa" w:w="3168"/>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shd w:fill="F9FAFB"/>
          </w:tcPr>
          <w:p>
            <w:pPr>
              <w:spacing w:before="60" w:after="60"/>
            </w:pPr>
            <w:r>
              <w:rPr>
                <w:rFonts w:ascii="Calibri" w:hAnsi="Calibri"/>
                <w:color w:val="1A202C"/>
                <w:sz w:val="19"/>
              </w:rPr>
              <w:t>Python 3.11, FastAPI, Whisper/Vosk (Speech), MediaPipe (Vision), LangChain</w:t>
            </w:r>
          </w:p>
        </w:tc>
        <w:tc>
          <w:tcPr>
            <w:tcW w:type="dxa" w:w="4032"/>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shd w:fill="F9FAFB"/>
          </w:tcPr>
          <w:p>
            <w:pPr>
              <w:spacing w:before="60" w:after="60"/>
            </w:pPr>
            <w:r>
              <w:rPr>
                <w:rFonts w:ascii="Calibri" w:hAnsi="Calibri"/>
                <w:color w:val="1A202C"/>
                <w:sz w:val="19"/>
              </w:rPr>
              <w:t>Real-time speech-to-text, eye contact/gaze metrics, and context-grounded RAG embeddings.</w:t>
            </w:r>
          </w:p>
        </w:tc>
      </w:tr>
      <w:tr>
        <w:tc>
          <w:tcPr>
            <w:tcW w:type="dxa" w:w="2160"/>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shd w:fill="FFFFFF"/>
          </w:tcPr>
          <w:p>
            <w:pPr>
              <w:spacing w:before="60" w:after="60"/>
            </w:pPr>
            <w:r>
              <w:rPr>
                <w:rFonts w:ascii="Calibri" w:hAnsi="Calibri"/>
                <w:color w:val="1A202C"/>
                <w:sz w:val="19"/>
              </w:rPr>
              <w:t>Streaming Video</w:t>
            </w:r>
          </w:p>
        </w:tc>
        <w:tc>
          <w:tcPr>
            <w:tcW w:type="dxa" w:w="3168"/>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shd w:fill="FFFFFF"/>
          </w:tcPr>
          <w:p>
            <w:pPr>
              <w:spacing w:before="60" w:after="60"/>
            </w:pPr>
            <w:r>
              <w:rPr>
                <w:rFonts w:ascii="Calibri" w:hAnsi="Calibri"/>
                <w:color w:val="1A202C"/>
                <w:sz w:val="19"/>
              </w:rPr>
              <w:t>WebRTC (LiveKit / Mediasoup) + PDF.js</w:t>
            </w:r>
          </w:p>
        </w:tc>
        <w:tc>
          <w:tcPr>
            <w:tcW w:type="dxa" w:w="4032"/>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shd w:fill="FFFFFF"/>
          </w:tcPr>
          <w:p>
            <w:pPr>
              <w:spacing w:before="60" w:after="60"/>
            </w:pPr>
            <w:r>
              <w:rPr>
                <w:rFonts w:ascii="Calibri" w:hAnsi="Calibri"/>
                <w:color w:val="1A202C"/>
                <w:sz w:val="19"/>
              </w:rPr>
              <w:t>Ultra-low-latency real-time video/audio streaming with synchronized slide deck broadcast.</w:t>
            </w:r>
          </w:p>
        </w:tc>
      </w:tr>
      <w:tr>
        <w:tc>
          <w:tcPr>
            <w:tcW w:type="dxa" w:w="2160"/>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shd w:fill="F9FAFB"/>
          </w:tcPr>
          <w:p>
            <w:pPr>
              <w:spacing w:before="60" w:after="60"/>
            </w:pPr>
            <w:r>
              <w:rPr>
                <w:rFonts w:ascii="Calibri" w:hAnsi="Calibri"/>
                <w:color w:val="1A202C"/>
                <w:sz w:val="19"/>
              </w:rPr>
              <w:t>Database Tier</w:t>
            </w:r>
          </w:p>
        </w:tc>
        <w:tc>
          <w:tcPr>
            <w:tcW w:type="dxa" w:w="3168"/>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shd w:fill="F9FAFB"/>
          </w:tcPr>
          <w:p>
            <w:pPr>
              <w:spacing w:before="60" w:after="60"/>
            </w:pPr>
            <w:r>
              <w:rPr>
                <w:rFonts w:ascii="Calibri" w:hAnsi="Calibri"/>
                <w:color w:val="1A202C"/>
                <w:sz w:val="19"/>
              </w:rPr>
              <w:t>PostgreSQL 16 (with pgvector extension), Prisma ORM</w:t>
            </w:r>
          </w:p>
        </w:tc>
        <w:tc>
          <w:tcPr>
            <w:tcW w:type="dxa" w:w="4032"/>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shd w:fill="F9FAFB"/>
          </w:tcPr>
          <w:p>
            <w:pPr>
              <w:spacing w:before="60" w:after="60"/>
            </w:pPr>
            <w:r>
              <w:rPr>
                <w:rFonts w:ascii="Calibri" w:hAnsi="Calibri"/>
                <w:color w:val="1A202C"/>
                <w:sz w:val="19"/>
              </w:rPr>
              <w:t>Relational BCNF schemas, ACID transactions, and native HNSW vector similarity search.</w:t>
            </w:r>
          </w:p>
        </w:tc>
      </w:tr>
      <w:tr>
        <w:tc>
          <w:tcPr>
            <w:tcW w:type="dxa" w:w="2160"/>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shd w:fill="FFFFFF"/>
          </w:tcPr>
          <w:p>
            <w:pPr>
              <w:spacing w:before="60" w:after="60"/>
            </w:pPr>
            <w:r>
              <w:rPr>
                <w:rFonts w:ascii="Calibri" w:hAnsi="Calibri"/>
                <w:color w:val="1A202C"/>
                <w:sz w:val="19"/>
              </w:rPr>
              <w:t>In-Memory &amp; Queues</w:t>
            </w:r>
          </w:p>
        </w:tc>
        <w:tc>
          <w:tcPr>
            <w:tcW w:type="dxa" w:w="3168"/>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shd w:fill="FFFFFF"/>
          </w:tcPr>
          <w:p>
            <w:pPr>
              <w:spacing w:before="60" w:after="60"/>
            </w:pPr>
            <w:r>
              <w:rPr>
                <w:rFonts w:ascii="Calibri" w:hAnsi="Calibri"/>
                <w:color w:val="1A202C"/>
                <w:sz w:val="19"/>
              </w:rPr>
              <w:t>Redis 7.2 (BullMQ for background tasks)</w:t>
            </w:r>
          </w:p>
        </w:tc>
        <w:tc>
          <w:tcPr>
            <w:tcW w:type="dxa" w:w="4032"/>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shd w:fill="FFFFFF"/>
          </w:tcPr>
          <w:p>
            <w:pPr>
              <w:spacing w:before="60" w:after="60"/>
            </w:pPr>
            <w:r>
              <w:rPr>
                <w:rFonts w:ascii="Calibri" w:hAnsi="Calibri"/>
                <w:color w:val="1A202C"/>
                <w:sz w:val="19"/>
              </w:rPr>
              <w:t>5-second rotating QR nonce validation, rate-limiting, and async code execution worker queues.</w:t>
            </w:r>
          </w:p>
        </w:tc>
      </w:tr>
    </w:tbl>
    <w:p>
      <w:r>
        <w:br w:type="page"/>
      </w:r>
    </w:p>
    <w:p>
      <w:pPr>
        <w:pStyle w:val="Heading1"/>
      </w:pPr>
      <w:r>
        <w:rPr>
          <w:color w:val="1F4E79"/>
        </w:rPr>
        <w:t>2. Team Organization &amp; Role Distribution (3 Students per Module)</w:t>
      </w:r>
    </w:p>
    <w:p>
      <w:pPr>
        <w:pStyle w:val="Heading2"/>
      </w:pPr>
      <w:r>
        <w:t>Team 1: Enterprise Academic HRMS &amp; Staff Attendance (EduHRMS)</w:t>
      </w:r>
    </w:p>
    <w:p>
      <w:pPr>
        <w:spacing w:after="40"/>
      </w:pPr>
      <w:r>
        <w:t>Student 1 (Frontend &amp; UX Lead): Develops faculty/staff dossiers, leave application dialogs, attendance check-in UI with geo-location verification, and workforce analytics dashboards.</w:t>
      </w:r>
    </w:p>
    <w:p>
      <w:pPr>
        <w:spacing w:after="40"/>
      </w:pPr>
      <w:r>
        <w:t>Student 2 (Backend &amp; API Architect): Implements multi-tier leave approval state machine (Faculty -&gt; HOD -&gt; Dean), payroll engine with PF/tax deductions, and workload credit balancing algorithms.</w:t>
      </w:r>
    </w:p>
    <w:p>
      <w:pPr>
        <w:spacing w:after="120"/>
      </w:pPr>
      <w:r>
        <w:t>Student 3 (DevOps, Database &amp; Security): Architects normalized PostgreSQL HR schema, builds automated PDF payslip generation pipeline (PDFKit), establishes RBAC middleware, and conducts audit logging.</w:t>
      </w:r>
    </w:p>
    <w:p>
      <w:pPr>
        <w:pStyle w:val="Heading2"/>
      </w:pPr>
      <w:r>
        <w:t>Team 2: Smart Campus Student Attendance Tracking &amp; Exam Eligibility (EduAttend AI)</w:t>
      </w:r>
    </w:p>
    <w:p>
      <w:pPr>
        <w:spacing w:after="40"/>
      </w:pPr>
      <w:r>
        <w:t>Student 1 (Frontend &amp; Scanner UX Lead): Builds dynamic rotating QR display console for classroom projectors, mobile QR scanner with camera permissions, and student course-wise attendance tracking cards.</w:t>
      </w:r>
    </w:p>
    <w:p>
      <w:pPr>
        <w:spacing w:after="40"/>
      </w:pPr>
      <w:r>
        <w:t>Student 2 (Backend &amp; Geo-Fencing Architect): Implements 5-second rotating HMAC-SHA256 QR nonces in Redis, geofencing polygon validator, and automated exam eligibility calculation service (75% rule).</w:t>
      </w:r>
    </w:p>
    <w:p>
      <w:pPr>
        <w:spacing w:after="120"/>
      </w:pPr>
      <w:r>
        <w:t>Student 3 (AI Vision, Security &amp; Condonation Lead): Deploys MediaPipe facial recognition kiosk with liveness blink verification, builds medical certificate OCR upload workflow, and configures defaulter SMS/email alerts.</w:t>
      </w:r>
    </w:p>
    <w:p>
      <w:pPr>
        <w:pStyle w:val="Heading2"/>
      </w:pPr>
      <w:r>
        <w:t>Team 3: AI-Proctored Intelligent Examination Suite (EduExam AI)</w:t>
      </w:r>
    </w:p>
    <w:p>
      <w:pPr>
        <w:spacing w:after="40"/>
      </w:pPr>
      <w:r>
        <w:t>Student 1 (Frontend &amp; Exam Shell Lead): Builds full-screen lockdown test environment, disables keyboard shortcuts/tab switching, and creates interactive question renderer (LaTeX/KaTeX formulas).</w:t>
      </w:r>
    </w:p>
    <w:p>
      <w:pPr>
        <w:spacing w:after="40"/>
      </w:pPr>
      <w:r>
        <w:t>Student 2 (Backend &amp; Realtime Telemetry): Develops question bank shuffler, time-synchronized WebSocket heartbeat, incremental answer auto-save (IndexedDB + REST), and auto-grading engine.</w:t>
      </w:r>
    </w:p>
    <w:p>
      <w:pPr>
        <w:spacing w:after="120"/>
      </w:pPr>
      <w:r>
        <w:t>Student 3 (AI Proctoring &amp; Integrity Lead): Implements client-side MediaPipe/TensorFlow.js face &amp; gaze tracking, audio noise analyzer, integrity violation snapshot aggregator, and risk rating generator.</w:t>
      </w:r>
    </w:p>
    <w:p>
      <w:pPr>
        <w:pStyle w:val="Heading2"/>
      </w:pPr>
      <w:r>
        <w:t>Team 4: Cloud-Based Code Execution Arena, Auto-Judge &amp; Plagiarism Engine (EduCode Judge)</w:t>
      </w:r>
    </w:p>
    <w:p>
      <w:pPr>
        <w:spacing w:after="40"/>
      </w:pPr>
      <w:r>
        <w:t>Student 1 (Frontend &amp; IDE Architect): Integrates Monaco Editor with syntax highlighting, custom themes, stdin input panels, real-time stdout console, and competitive practice leaderboards.</w:t>
      </w:r>
    </w:p>
    <w:p>
      <w:pPr>
        <w:spacing w:after="40"/>
      </w:pPr>
      <w:r>
        <w:t>Student 2 (Judge Backend &amp; Task Queues): Builds BullMQ distributed worker queue, manages test-case evaluation logic, and formats execution verdicts (Accepted, WA, TLE, Memory Limit Exceeded).</w:t>
      </w:r>
    </w:p>
    <w:p>
      <w:pPr>
        <w:spacing w:after="120"/>
      </w:pPr>
      <w:r>
        <w:t>Student 3 (Sandbox Security &amp; AST Plagiarism): Deploys isolated Docker container runners with strict cgroups memory/CPU limits, no-network jail, and builds Python AST tokenization code similarity checker.</w:t>
      </w:r>
    </w:p>
    <w:p>
      <w:pPr>
        <w:pStyle w:val="Heading2"/>
      </w:pPr>
      <w:r>
        <w:t>Team 5: AI-Powered Online Presentation, Virtual Viva &amp; Multi-Modal Evaluator (EduPresent AI)</w:t>
      </w:r>
    </w:p>
    <w:p>
      <w:pPr>
        <w:spacing w:after="40"/>
      </w:pPr>
      <w:r>
        <w:t>Student 1 (WebRTC Studio &amp; Presentation UX Lead): Builds live WebRTC presentation stage, synchronized PDF/PPTX slide viewer with presenter laser pointer, and interactive evaluator scoring panel.</w:t>
      </w:r>
    </w:p>
    <w:p>
      <w:pPr>
        <w:spacing w:after="40"/>
      </w:pPr>
      <w:r>
        <w:t>Student 2 (Multi-Modal AI Pipeline Architect): Implements audio transcription (Whisper/Vosk), calculates words-per-minute pace, detects filler words ('um', 'like'), and builds AI viva question generator.</w:t>
      </w:r>
    </w:p>
    <w:p>
      <w:pPr>
        <w:spacing w:after="120"/>
      </w:pPr>
      <w:r>
        <w:t>Student 3 (Computer Vision &amp; Slide Alignment Specialist): Deploys MediaPipe eye contact and posture tracking, computes semantic alignment between speech and slide text via embeddings, and generates PDF dossiers.</w:t>
      </w:r>
    </w:p>
    <w:p>
      <w:pPr>
        <w:pStyle w:val="Heading2"/>
      </w:pPr>
      <w:r>
        <w:t>Team 6: Institutional Knowledge Base &amp; Conversational AI Assistant (EduAssist AI)</w:t>
      </w:r>
    </w:p>
    <w:p>
      <w:pPr>
        <w:spacing w:after="40"/>
      </w:pPr>
      <w:r>
        <w:t>Student 1 (Conversational UX Lead): Creates streaming AI chat interface with markdown formatting, syntax-highlighted code blocks, citation link popups, and interactive tutor mode controls.</w:t>
      </w:r>
    </w:p>
    <w:p>
      <w:pPr>
        <w:spacing w:after="40"/>
      </w:pPr>
      <w:r>
        <w:t>Student 2 (RAG Pipeline &amp; Document Ingestion): Implements PDF/Docx text extraction, semantic chunking, embedding generation, hybrid search orchestration, and helpdesk escalation ticketing.</w:t>
      </w:r>
    </w:p>
    <w:p>
      <w:pPr>
        <w:spacing w:after="120"/>
      </w:pPr>
      <w:r>
        <w:t>Student 3 (Vector Database &amp; Prompt Security): Configures PostgreSQL `pgvector` with HNSW cosine indexes, role-scoped data partitions, system prompt injection filters, and latency benchmarking.</w:t>
      </w:r>
    </w:p>
    <w:p>
      <w:pPr>
        <w:pStyle w:val="Heading2"/>
      </w:pPr>
      <w:r>
        <w:t>Team 7: Institutional Code Repository, Research Archive &amp; Innovation Network (UniHub)</w:t>
      </w:r>
    </w:p>
    <w:p>
      <w:pPr>
        <w:spacing w:after="40"/>
      </w:pPr>
      <w:r>
        <w:t>Student 1 (Git Web UI &amp; Discovery Lead): Builds file tree navigation, visual commit branch graphs, side-by-side code diff viewer, PDF research manuscript reader, and student project showcases.</w:t>
      </w:r>
    </w:p>
    <w:p>
      <w:pPr>
        <w:spacing w:after="40"/>
      </w:pPr>
      <w:r>
        <w:t>Student 2 (Git Engine &amp; Paper Indexer): Implements Git HTTP smart protocol backend (packfiles, commits, trees), BibTeX citation generator, and manuscript metadata extraction pipeline.</w:t>
      </w:r>
    </w:p>
    <w:p>
      <w:pPr>
        <w:spacing w:after="120"/>
      </w:pPr>
      <w:r>
        <w:t>Student 3 (Storage, Activity Feeds &amp; Security): Sets up MinIO S3 object storage for Git bare repositories &amp; PDF papers, builds real-time campus activity event stream, and enforces repo access control.</w:t>
      </w:r>
    </w:p>
    <w:p>
      <w:r>
        <w:br w:type="page"/>
      </w:r>
    </w:p>
    <w:p>
      <w:pPr>
        <w:pStyle w:val="Heading1"/>
      </w:pPr>
      <w:r>
        <w:rPr>
          <w:color w:val="1F4E79"/>
        </w:rPr>
        <w:t>3. Database Schema &amp; Entity-Relationship (ER) Strategy</w:t>
      </w:r>
    </w:p>
    <w:p>
      <w:r>
        <w:t>The UniSphere database architecture is built on PostgreSQL 16 with UUIDv7 primary keys and BCNF normalization. The schema integrates transactional workflows across HR, smart student attendance, proctored exams, code sandbox, multi-modal presentations, and Git repositories with AI vector embeddings.</w:t>
      </w:r>
    </w:p>
    <w:p>
      <w:pPr>
        <w:pStyle w:val="Heading2"/>
      </w:pPr>
      <w:r>
        <w:t>3.1 Entity Relationship Diagram (Mermaid ER Model)</w:t>
      </w:r>
    </w:p>
    <w:p>
      <w:r>
        <w:rPr>
          <w:rFonts w:ascii="Consolas" w:hAnsi="Consolas"/>
          <w:color w:val="1A365D"/>
          <w:sz w:val="17"/>
        </w:rPr>
        <w:t>```mermaid</w:t>
        <w:br/>
        <w:t>erDiagram</w:t>
        <w:br/>
        <w:t xml:space="preserve">    DEPARTMENTS ||--o{ USERS : assigns</w:t>
        <w:br/>
        <w:t xml:space="preserve">    USERS ||--o{ HRMS_PROFILES : has</w:t>
        <w:br/>
        <w:t xml:space="preserve">    USERS ||--o{ ATTEND_STUDENT_LOGS : records</w:t>
        <w:br/>
        <w:t xml:space="preserve">    USERS ||--o{ EXAM_SUBMISSIONS : takes</w:t>
        <w:br/>
        <w:t xml:space="preserve">    USERS ||--o{ CODING_SUBMISSIONS : submits</w:t>
        <w:br/>
        <w:t xml:space="preserve">    USERS ||--o{ PRESENT_SESSIONS : delivers</w:t>
        <w:br/>
        <w:t xml:space="preserve">    USERS ||--o{ REPOSITORIES : owns</w:t>
        <w:br/>
        <w:br/>
        <w:t xml:space="preserve">    ATTEND_COURSES ||--o{ ATTEND_SESSIONS : schedules</w:t>
        <w:br/>
        <w:t xml:space="preserve">    ATTEND_SESSIONS ||--o{ ATTEND_STUDENT_LOGS : logs</w:t>
        <w:br/>
        <w:t xml:space="preserve">    ATTEND_STUDENT_LOGS }o--|| EXAM_SUBMISSIONS : gates_eligibility</w:t>
        <w:br/>
        <w:br/>
        <w:t xml:space="preserve">    EXAM_ASSESSMENTS ||--o{ EXAM_QUESTIONS : contains</w:t>
        <w:br/>
        <w:t xml:space="preserve">    EXAM_ASSESSMENTS ||--o{ EXAM_SUBMISSIONS : evaluates</w:t>
        <w:br/>
        <w:br/>
        <w:t xml:space="preserve">    CODING_PROBLEMS ||--o{ CODING_TEST_CASES : tests</w:t>
        <w:br/>
        <w:t xml:space="preserve">    CODING_PROBLEMS ||--o{ CODING_SUBMISSIONS : receives</w:t>
        <w:br/>
        <w:br/>
        <w:t xml:space="preserve">    PRESENT_SESSIONS ||--o{ PRESENT_SLIDES : contains</w:t>
        <w:br/>
        <w:t xml:space="preserve">    PRESENT_SESSIONS ||--o{ PRESENT_EVALUATIONS : scored_by</w:t>
        <w:br/>
        <w:t xml:space="preserve">    PRESENT_SESSIONS ||--o{ PRESENT_VIVA_QA : questions</w:t>
        <w:br/>
        <w:br/>
        <w:t xml:space="preserve">    KNOWLEDGE_DOCS ||--o{ DOC_CHUNKS : splits</w:t>
        <w:br/>
        <w:t xml:space="preserve">    REPOSITORIES ||--o{ COMMITS : records</w:t>
        <w:br/>
        <w:t>```</w:t>
      </w:r>
    </w:p>
    <w:p>
      <w:pPr>
        <w:pStyle w:val="Heading2"/>
      </w:pPr>
      <w:r>
        <w:t>3.2 Full Production Table Specifications</w:t>
      </w:r>
    </w:p>
    <w:p>
      <w:pPr>
        <w:pStyle w:val="Heading3"/>
      </w:pPr>
      <w:r>
        <w:t>Module 1: HRMS &amp; Academic Workforce Tables</w:t>
      </w:r>
    </w:p>
    <w:p>
      <w:pPr>
        <w:spacing w:after="80"/>
      </w:pPr>
      <w:r>
        <w:t>Engineered by Team 1 for faculty and workforce lifecycle.</w:t>
      </w:r>
    </w:p>
    <w:tbl>
      <w:tblPr>
        <w:tblW w:type="auto" w:w="0"/>
        <w:jc w:val="center"/>
        <w:tblLook w:firstColumn="1" w:firstRow="1" w:lastColumn="0" w:lastRow="0" w:noHBand="0" w:noVBand="1" w:val="04A0"/>
      </w:tblPr>
      <w:tblGrid>
        <w:gridCol w:w="2340"/>
        <w:gridCol w:w="2340"/>
        <w:gridCol w:w="2340"/>
        <w:gridCol w:w="2340"/>
      </w:tblGrid>
      <w:tr>
        <w:tc>
          <w:tcPr>
            <w:tcW w:type="dxa" w:w="2592"/>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shd w:fill="1F4E79"/>
          </w:tcPr>
          <w:p>
            <w:pPr>
              <w:spacing w:before="80" w:after="80"/>
            </w:pPr>
            <w:r>
              <w:rPr>
                <w:rFonts w:ascii="Calibri" w:hAnsi="Calibri"/>
                <w:b/>
                <w:color w:val="FFFFFF"/>
                <w:sz w:val="20"/>
              </w:rPr>
              <w:t>Table Name</w:t>
            </w:r>
          </w:p>
        </w:tc>
        <w:tc>
          <w:tcPr>
            <w:tcW w:type="dxa" w:w="1584"/>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shd w:fill="1F4E79"/>
          </w:tcPr>
          <w:p>
            <w:pPr>
              <w:spacing w:before="80" w:after="80"/>
            </w:pPr>
            <w:r>
              <w:rPr>
                <w:rFonts w:ascii="Calibri" w:hAnsi="Calibri"/>
                <w:b/>
                <w:color w:val="FFFFFF"/>
                <w:sz w:val="20"/>
              </w:rPr>
              <w:t>Primary Key</w:t>
            </w:r>
          </w:p>
        </w:tc>
        <w:tc>
          <w:tcPr>
            <w:tcW w:type="dxa" w:w="3168"/>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shd w:fill="1F4E79"/>
          </w:tcPr>
          <w:p>
            <w:pPr>
              <w:spacing w:before="80" w:after="80"/>
            </w:pPr>
            <w:r>
              <w:rPr>
                <w:rFonts w:ascii="Calibri" w:hAnsi="Calibri"/>
                <w:b/>
                <w:color w:val="FFFFFF"/>
                <w:sz w:val="20"/>
              </w:rPr>
              <w:t>Key Attributes &amp; Foreign Keys</w:t>
            </w:r>
          </w:p>
        </w:tc>
        <w:tc>
          <w:tcPr>
            <w:tcW w:type="dxa" w:w="2736"/>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shd w:fill="1F4E79"/>
          </w:tcPr>
          <w:p>
            <w:pPr>
              <w:spacing w:before="80" w:after="80"/>
            </w:pPr>
            <w:r>
              <w:rPr>
                <w:rFonts w:ascii="Calibri" w:hAnsi="Calibri"/>
                <w:b/>
                <w:color w:val="FFFFFF"/>
                <w:sz w:val="20"/>
              </w:rPr>
              <w:t>Description</w:t>
            </w:r>
          </w:p>
        </w:tc>
      </w:tr>
      <w:tr>
        <w:tc>
          <w:tcPr>
            <w:tcW w:type="dxa" w:w="2592"/>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shd w:fill="F9FAFB"/>
          </w:tcPr>
          <w:p>
            <w:pPr>
              <w:spacing w:before="60" w:after="60"/>
            </w:pPr>
            <w:r>
              <w:rPr>
                <w:rFonts w:ascii="Calibri" w:hAnsi="Calibri"/>
                <w:color w:val="1A202C"/>
                <w:sz w:val="19"/>
              </w:rPr>
              <w:t>hrms_faculty_profiles</w:t>
            </w:r>
          </w:p>
        </w:tc>
        <w:tc>
          <w:tcPr>
            <w:tcW w:type="dxa" w:w="1584"/>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shd w:fill="F9FAFB"/>
          </w:tcPr>
          <w:p>
            <w:pPr>
              <w:spacing w:before="60" w:after="60"/>
            </w:pPr>
            <w:r>
              <w:rPr>
                <w:rFonts w:ascii="Calibri" w:hAnsi="Calibri"/>
                <w:color w:val="1A202C"/>
                <w:sz w:val="19"/>
              </w:rPr>
              <w:t>id (UUID)</w:t>
            </w:r>
          </w:p>
        </w:tc>
        <w:tc>
          <w:tcPr>
            <w:tcW w:type="dxa" w:w="3168"/>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shd w:fill="F9FAFB"/>
          </w:tcPr>
          <w:p>
            <w:pPr>
              <w:spacing w:before="60" w:after="60"/>
            </w:pPr>
            <w:r>
              <w:rPr>
                <w:rFonts w:ascii="Calibri" w:hAnsi="Calibri"/>
                <w:color w:val="1A202C"/>
                <w:sz w:val="19"/>
              </w:rPr>
              <w:t>user_id (FK), designation, tenure_status, base_salary, max_credits</w:t>
            </w:r>
          </w:p>
        </w:tc>
        <w:tc>
          <w:tcPr>
            <w:tcW w:type="dxa" w:w="2736"/>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shd w:fill="F9FAFB"/>
          </w:tcPr>
          <w:p>
            <w:pPr>
              <w:spacing w:before="60" w:after="60"/>
            </w:pPr>
            <w:r>
              <w:rPr>
                <w:rFonts w:ascii="Calibri" w:hAnsi="Calibri"/>
                <w:color w:val="1A202C"/>
                <w:sz w:val="19"/>
              </w:rPr>
              <w:t>Detailed academic faculty dossier and contract terms.</w:t>
            </w:r>
          </w:p>
        </w:tc>
      </w:tr>
      <w:tr>
        <w:tc>
          <w:tcPr>
            <w:tcW w:type="dxa" w:w="2592"/>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shd w:fill="FFFFFF"/>
          </w:tcPr>
          <w:p>
            <w:pPr>
              <w:spacing w:before="60" w:after="60"/>
            </w:pPr>
            <w:r>
              <w:rPr>
                <w:rFonts w:ascii="Calibri" w:hAnsi="Calibri"/>
                <w:color w:val="1A202C"/>
                <w:sz w:val="19"/>
              </w:rPr>
              <w:t>hrms_leave_requests</w:t>
            </w:r>
          </w:p>
        </w:tc>
        <w:tc>
          <w:tcPr>
            <w:tcW w:type="dxa" w:w="1584"/>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shd w:fill="FFFFFF"/>
          </w:tcPr>
          <w:p>
            <w:pPr>
              <w:spacing w:before="60" w:after="60"/>
            </w:pPr>
            <w:r>
              <w:rPr>
                <w:rFonts w:ascii="Calibri" w:hAnsi="Calibri"/>
                <w:color w:val="1A202C"/>
                <w:sz w:val="19"/>
              </w:rPr>
              <w:t>id (UUID)</w:t>
            </w:r>
          </w:p>
        </w:tc>
        <w:tc>
          <w:tcPr>
            <w:tcW w:type="dxa" w:w="3168"/>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shd w:fill="FFFFFF"/>
          </w:tcPr>
          <w:p>
            <w:pPr>
              <w:spacing w:before="60" w:after="60"/>
            </w:pPr>
            <w:r>
              <w:rPr>
                <w:rFonts w:ascii="Calibri" w:hAnsi="Calibri"/>
                <w:color w:val="1A202C"/>
                <w:sz w:val="19"/>
              </w:rPr>
              <w:t>user_id (FK), leave_type, start_date, end_date, status, approved_by</w:t>
            </w:r>
          </w:p>
        </w:tc>
        <w:tc>
          <w:tcPr>
            <w:tcW w:type="dxa" w:w="2736"/>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shd w:fill="FFFFFF"/>
          </w:tcPr>
          <w:p>
            <w:pPr>
              <w:spacing w:before="60" w:after="60"/>
            </w:pPr>
            <w:r>
              <w:rPr>
                <w:rFonts w:ascii="Calibri" w:hAnsi="Calibri"/>
                <w:color w:val="1A202C"/>
                <w:sz w:val="19"/>
              </w:rPr>
              <w:t>Multi-stage leave approval state tracking.</w:t>
            </w:r>
          </w:p>
        </w:tc>
      </w:tr>
      <w:tr>
        <w:tc>
          <w:tcPr>
            <w:tcW w:type="dxa" w:w="2592"/>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shd w:fill="F9FAFB"/>
          </w:tcPr>
          <w:p>
            <w:pPr>
              <w:spacing w:before="60" w:after="60"/>
            </w:pPr>
            <w:r>
              <w:rPr>
                <w:rFonts w:ascii="Calibri" w:hAnsi="Calibri"/>
                <w:color w:val="1A202C"/>
                <w:sz w:val="19"/>
              </w:rPr>
              <w:t>hrms_workload_allocations</w:t>
            </w:r>
          </w:p>
        </w:tc>
        <w:tc>
          <w:tcPr>
            <w:tcW w:type="dxa" w:w="1584"/>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shd w:fill="F9FAFB"/>
          </w:tcPr>
          <w:p>
            <w:pPr>
              <w:spacing w:before="60" w:after="60"/>
            </w:pPr>
            <w:r>
              <w:rPr>
                <w:rFonts w:ascii="Calibri" w:hAnsi="Calibri"/>
                <w:color w:val="1A202C"/>
                <w:sz w:val="19"/>
              </w:rPr>
              <w:t>id (UUID)</w:t>
            </w:r>
          </w:p>
        </w:tc>
        <w:tc>
          <w:tcPr>
            <w:tcW w:type="dxa" w:w="3168"/>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shd w:fill="F9FAFB"/>
          </w:tcPr>
          <w:p>
            <w:pPr>
              <w:spacing w:before="60" w:after="60"/>
            </w:pPr>
            <w:r>
              <w:rPr>
                <w:rFonts w:ascii="Calibri" w:hAnsi="Calibri"/>
                <w:color w:val="1A202C"/>
                <w:sz w:val="19"/>
              </w:rPr>
              <w:t>faculty_id (FK), semester, course_code, lecture_hrs, lab_hrs</w:t>
            </w:r>
          </w:p>
        </w:tc>
        <w:tc>
          <w:tcPr>
            <w:tcW w:type="dxa" w:w="2736"/>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shd w:fill="F9FAFB"/>
          </w:tcPr>
          <w:p>
            <w:pPr>
              <w:spacing w:before="60" w:after="60"/>
            </w:pPr>
            <w:r>
              <w:rPr>
                <w:rFonts w:ascii="Calibri" w:hAnsi="Calibri"/>
                <w:color w:val="1A202C"/>
                <w:sz w:val="19"/>
              </w:rPr>
              <w:t>Teaching credit and laboratory workload distribution.</w:t>
            </w:r>
          </w:p>
        </w:tc>
      </w:tr>
      <w:tr>
        <w:tc>
          <w:tcPr>
            <w:tcW w:type="dxa" w:w="2592"/>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shd w:fill="FFFFFF"/>
          </w:tcPr>
          <w:p>
            <w:pPr>
              <w:spacing w:before="60" w:after="60"/>
            </w:pPr>
            <w:r>
              <w:rPr>
                <w:rFonts w:ascii="Calibri" w:hAnsi="Calibri"/>
                <w:color w:val="1A202C"/>
                <w:sz w:val="19"/>
              </w:rPr>
              <w:t>hrms_payroll_records</w:t>
            </w:r>
          </w:p>
        </w:tc>
        <w:tc>
          <w:tcPr>
            <w:tcW w:type="dxa" w:w="1584"/>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shd w:fill="FFFFFF"/>
          </w:tcPr>
          <w:p>
            <w:pPr>
              <w:spacing w:before="60" w:after="60"/>
            </w:pPr>
            <w:r>
              <w:rPr>
                <w:rFonts w:ascii="Calibri" w:hAnsi="Calibri"/>
                <w:color w:val="1A202C"/>
                <w:sz w:val="19"/>
              </w:rPr>
              <w:t>id (UUID)</w:t>
            </w:r>
          </w:p>
        </w:tc>
        <w:tc>
          <w:tcPr>
            <w:tcW w:type="dxa" w:w="3168"/>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shd w:fill="FFFFFF"/>
          </w:tcPr>
          <w:p>
            <w:pPr>
              <w:spacing w:before="60" w:after="60"/>
            </w:pPr>
            <w:r>
              <w:rPr>
                <w:rFonts w:ascii="Calibri" w:hAnsi="Calibri"/>
                <w:color w:val="1A202C"/>
                <w:sz w:val="19"/>
              </w:rPr>
              <w:t>user_id (FK), month_year, basic_pay, allowances, deductions, net_pay</w:t>
            </w:r>
          </w:p>
        </w:tc>
        <w:tc>
          <w:tcPr>
            <w:tcW w:type="dxa" w:w="2736"/>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shd w:fill="FFFFFF"/>
          </w:tcPr>
          <w:p>
            <w:pPr>
              <w:spacing w:before="60" w:after="60"/>
            </w:pPr>
            <w:r>
              <w:rPr>
                <w:rFonts w:ascii="Calibri" w:hAnsi="Calibri"/>
                <w:color w:val="1A202C"/>
                <w:sz w:val="19"/>
              </w:rPr>
              <w:t>Monthly salary disbursement and generated PDF slip references.</w:t>
            </w:r>
          </w:p>
        </w:tc>
      </w:tr>
    </w:tbl>
    <w:p>
      <w:pPr>
        <w:pStyle w:val="Heading3"/>
      </w:pPr>
      <w:r>
        <w:t>Module 2: Smart Student Attendance &amp; Eligibility Tables</w:t>
      </w:r>
    </w:p>
    <w:p>
      <w:pPr>
        <w:spacing w:after="80"/>
      </w:pPr>
      <w:r>
        <w:t>Engineered by Team 2 for multi-modal check-in and exam eligibility gating.</w:t>
      </w:r>
    </w:p>
    <w:tbl>
      <w:tblPr>
        <w:tblW w:type="auto" w:w="0"/>
        <w:jc w:val="center"/>
        <w:tblLook w:firstColumn="1" w:firstRow="1" w:lastColumn="0" w:lastRow="0" w:noHBand="0" w:noVBand="1" w:val="04A0"/>
      </w:tblPr>
      <w:tblGrid>
        <w:gridCol w:w="2340"/>
        <w:gridCol w:w="2340"/>
        <w:gridCol w:w="2340"/>
        <w:gridCol w:w="2340"/>
      </w:tblGrid>
      <w:tr>
        <w:tc>
          <w:tcPr>
            <w:tcW w:type="dxa" w:w="2592"/>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shd w:fill="1F4E79"/>
          </w:tcPr>
          <w:p>
            <w:pPr>
              <w:spacing w:before="80" w:after="80"/>
            </w:pPr>
            <w:r>
              <w:rPr>
                <w:rFonts w:ascii="Calibri" w:hAnsi="Calibri"/>
                <w:b/>
                <w:color w:val="FFFFFF"/>
                <w:sz w:val="20"/>
              </w:rPr>
              <w:t>Table Name</w:t>
            </w:r>
          </w:p>
        </w:tc>
        <w:tc>
          <w:tcPr>
            <w:tcW w:type="dxa" w:w="1584"/>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shd w:fill="1F4E79"/>
          </w:tcPr>
          <w:p>
            <w:pPr>
              <w:spacing w:before="80" w:after="80"/>
            </w:pPr>
            <w:r>
              <w:rPr>
                <w:rFonts w:ascii="Calibri" w:hAnsi="Calibri"/>
                <w:b/>
                <w:color w:val="FFFFFF"/>
                <w:sz w:val="20"/>
              </w:rPr>
              <w:t>Primary Key</w:t>
            </w:r>
          </w:p>
        </w:tc>
        <w:tc>
          <w:tcPr>
            <w:tcW w:type="dxa" w:w="3168"/>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shd w:fill="1F4E79"/>
          </w:tcPr>
          <w:p>
            <w:pPr>
              <w:spacing w:before="80" w:after="80"/>
            </w:pPr>
            <w:r>
              <w:rPr>
                <w:rFonts w:ascii="Calibri" w:hAnsi="Calibri"/>
                <w:b/>
                <w:color w:val="FFFFFF"/>
                <w:sz w:val="20"/>
              </w:rPr>
              <w:t>Key Attributes &amp; Foreign Keys</w:t>
            </w:r>
          </w:p>
        </w:tc>
        <w:tc>
          <w:tcPr>
            <w:tcW w:type="dxa" w:w="2736"/>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shd w:fill="1F4E79"/>
          </w:tcPr>
          <w:p>
            <w:pPr>
              <w:spacing w:before="80" w:after="80"/>
            </w:pPr>
            <w:r>
              <w:rPr>
                <w:rFonts w:ascii="Calibri" w:hAnsi="Calibri"/>
                <w:b/>
                <w:color w:val="FFFFFF"/>
                <w:sz w:val="20"/>
              </w:rPr>
              <w:t>Description</w:t>
            </w:r>
          </w:p>
        </w:tc>
      </w:tr>
      <w:tr>
        <w:tc>
          <w:tcPr>
            <w:tcW w:type="dxa" w:w="2592"/>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shd w:fill="F9FAFB"/>
          </w:tcPr>
          <w:p>
            <w:pPr>
              <w:spacing w:before="60" w:after="60"/>
            </w:pPr>
            <w:r>
              <w:rPr>
                <w:rFonts w:ascii="Calibri" w:hAnsi="Calibri"/>
                <w:color w:val="1A202C"/>
                <w:sz w:val="19"/>
              </w:rPr>
              <w:t>attend_courses</w:t>
            </w:r>
          </w:p>
        </w:tc>
        <w:tc>
          <w:tcPr>
            <w:tcW w:type="dxa" w:w="1584"/>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shd w:fill="F9FAFB"/>
          </w:tcPr>
          <w:p>
            <w:pPr>
              <w:spacing w:before="60" w:after="60"/>
            </w:pPr>
            <w:r>
              <w:rPr>
                <w:rFonts w:ascii="Calibri" w:hAnsi="Calibri"/>
                <w:color w:val="1A202C"/>
                <w:sz w:val="19"/>
              </w:rPr>
              <w:t>id (UUID)</w:t>
            </w:r>
          </w:p>
        </w:tc>
        <w:tc>
          <w:tcPr>
            <w:tcW w:type="dxa" w:w="3168"/>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shd w:fill="F9FAFB"/>
          </w:tcPr>
          <w:p>
            <w:pPr>
              <w:spacing w:before="60" w:after="60"/>
            </w:pPr>
            <w:r>
              <w:rPr>
                <w:rFonts w:ascii="Calibri" w:hAnsi="Calibri"/>
                <w:color w:val="1A202C"/>
                <w:sz w:val="19"/>
              </w:rPr>
              <w:t>code, name, dept_id (FK), faculty_id (FK), min_attendance_pct</w:t>
            </w:r>
          </w:p>
        </w:tc>
        <w:tc>
          <w:tcPr>
            <w:tcW w:type="dxa" w:w="2736"/>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shd w:fill="F9FAFB"/>
          </w:tcPr>
          <w:p>
            <w:pPr>
              <w:spacing w:before="60" w:after="60"/>
            </w:pPr>
            <w:r>
              <w:rPr>
                <w:rFonts w:ascii="Calibri" w:hAnsi="Calibri"/>
                <w:color w:val="1A202C"/>
                <w:sz w:val="19"/>
              </w:rPr>
              <w:t>Course master record with mandatory attendance threshold.</w:t>
            </w:r>
          </w:p>
        </w:tc>
      </w:tr>
      <w:tr>
        <w:tc>
          <w:tcPr>
            <w:tcW w:type="dxa" w:w="2592"/>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shd w:fill="FFFFFF"/>
          </w:tcPr>
          <w:p>
            <w:pPr>
              <w:spacing w:before="60" w:after="60"/>
            </w:pPr>
            <w:r>
              <w:rPr>
                <w:rFonts w:ascii="Calibri" w:hAnsi="Calibri"/>
                <w:color w:val="1A202C"/>
                <w:sz w:val="19"/>
              </w:rPr>
              <w:t>attend_sessions</w:t>
            </w:r>
          </w:p>
        </w:tc>
        <w:tc>
          <w:tcPr>
            <w:tcW w:type="dxa" w:w="1584"/>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shd w:fill="FFFFFF"/>
          </w:tcPr>
          <w:p>
            <w:pPr>
              <w:spacing w:before="60" w:after="60"/>
            </w:pPr>
            <w:r>
              <w:rPr>
                <w:rFonts w:ascii="Calibri" w:hAnsi="Calibri"/>
                <w:color w:val="1A202C"/>
                <w:sz w:val="19"/>
              </w:rPr>
              <w:t>id (UUID)</w:t>
            </w:r>
          </w:p>
        </w:tc>
        <w:tc>
          <w:tcPr>
            <w:tcW w:type="dxa" w:w="3168"/>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shd w:fill="FFFFFF"/>
          </w:tcPr>
          <w:p>
            <w:pPr>
              <w:spacing w:before="60" w:after="60"/>
            </w:pPr>
            <w:r>
              <w:rPr>
                <w:rFonts w:ascii="Calibri" w:hAnsi="Calibri"/>
                <w:color w:val="1A202C"/>
                <w:sz w:val="19"/>
              </w:rPr>
              <w:t>course_id (FK), session_date, start_time, end_time, room_polygon, qr_secret</w:t>
            </w:r>
          </w:p>
        </w:tc>
        <w:tc>
          <w:tcPr>
            <w:tcW w:type="dxa" w:w="2736"/>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shd w:fill="FFFFFF"/>
          </w:tcPr>
          <w:p>
            <w:pPr>
              <w:spacing w:before="60" w:after="60"/>
            </w:pPr>
            <w:r>
              <w:rPr>
                <w:rFonts w:ascii="Calibri" w:hAnsi="Calibri"/>
                <w:color w:val="1A202C"/>
                <w:sz w:val="19"/>
              </w:rPr>
              <w:t>Classroom lecture instance with geo-fence polygon and QR secret.</w:t>
            </w:r>
          </w:p>
        </w:tc>
      </w:tr>
      <w:tr>
        <w:tc>
          <w:tcPr>
            <w:tcW w:type="dxa" w:w="2592"/>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shd w:fill="F9FAFB"/>
          </w:tcPr>
          <w:p>
            <w:pPr>
              <w:spacing w:before="60" w:after="60"/>
            </w:pPr>
            <w:r>
              <w:rPr>
                <w:rFonts w:ascii="Calibri" w:hAnsi="Calibri"/>
                <w:color w:val="1A202C"/>
                <w:sz w:val="19"/>
              </w:rPr>
              <w:t>attend_student_logs</w:t>
            </w:r>
          </w:p>
        </w:tc>
        <w:tc>
          <w:tcPr>
            <w:tcW w:type="dxa" w:w="1584"/>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shd w:fill="F9FAFB"/>
          </w:tcPr>
          <w:p>
            <w:pPr>
              <w:spacing w:before="60" w:after="60"/>
            </w:pPr>
            <w:r>
              <w:rPr>
                <w:rFonts w:ascii="Calibri" w:hAnsi="Calibri"/>
                <w:color w:val="1A202C"/>
                <w:sz w:val="19"/>
              </w:rPr>
              <w:t>id (UUID)</w:t>
            </w:r>
          </w:p>
        </w:tc>
        <w:tc>
          <w:tcPr>
            <w:tcW w:type="dxa" w:w="3168"/>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shd w:fill="F9FAFB"/>
          </w:tcPr>
          <w:p>
            <w:pPr>
              <w:spacing w:before="60" w:after="60"/>
            </w:pPr>
            <w:r>
              <w:rPr>
                <w:rFonts w:ascii="Calibri" w:hAnsi="Calibri"/>
                <w:color w:val="1A202C"/>
                <w:sz w:val="19"/>
              </w:rPr>
              <w:t>session_id (FK), student_id (FK), checkin_method, verified_gps, timestamp</w:t>
            </w:r>
          </w:p>
        </w:tc>
        <w:tc>
          <w:tcPr>
            <w:tcW w:type="dxa" w:w="2736"/>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shd w:fill="F9FAFB"/>
          </w:tcPr>
          <w:p>
            <w:pPr>
              <w:spacing w:before="60" w:after="60"/>
            </w:pPr>
            <w:r>
              <w:rPr>
                <w:rFonts w:ascii="Calibri" w:hAnsi="Calibri"/>
                <w:color w:val="1A202C"/>
                <w:sz w:val="19"/>
              </w:rPr>
              <w:t>Student attendance check-in log (QR, Geofence, Face AI).</w:t>
            </w:r>
          </w:p>
        </w:tc>
      </w:tr>
      <w:tr>
        <w:tc>
          <w:tcPr>
            <w:tcW w:type="dxa" w:w="2592"/>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shd w:fill="FFFFFF"/>
          </w:tcPr>
          <w:p>
            <w:pPr>
              <w:spacing w:before="60" w:after="60"/>
            </w:pPr>
            <w:r>
              <w:rPr>
                <w:rFonts w:ascii="Calibri" w:hAnsi="Calibri"/>
                <w:color w:val="1A202C"/>
                <w:sz w:val="19"/>
              </w:rPr>
              <w:t>attend_condonations</w:t>
            </w:r>
          </w:p>
        </w:tc>
        <w:tc>
          <w:tcPr>
            <w:tcW w:type="dxa" w:w="1584"/>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shd w:fill="FFFFFF"/>
          </w:tcPr>
          <w:p>
            <w:pPr>
              <w:spacing w:before="60" w:after="60"/>
            </w:pPr>
            <w:r>
              <w:rPr>
                <w:rFonts w:ascii="Calibri" w:hAnsi="Calibri"/>
                <w:color w:val="1A202C"/>
                <w:sz w:val="19"/>
              </w:rPr>
              <w:t>id (UUID)</w:t>
            </w:r>
          </w:p>
        </w:tc>
        <w:tc>
          <w:tcPr>
            <w:tcW w:type="dxa" w:w="3168"/>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shd w:fill="FFFFFF"/>
          </w:tcPr>
          <w:p>
            <w:pPr>
              <w:spacing w:before="60" w:after="60"/>
            </w:pPr>
            <w:r>
              <w:rPr>
                <w:rFonts w:ascii="Calibri" w:hAnsi="Calibri"/>
                <w:color w:val="1A202C"/>
                <w:sz w:val="19"/>
              </w:rPr>
              <w:t>student_id (FK), course_id (FK), medical_cert_url, ocr_data, status</w:t>
            </w:r>
          </w:p>
        </w:tc>
        <w:tc>
          <w:tcPr>
            <w:tcW w:type="dxa" w:w="2736"/>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shd w:fill="FFFFFF"/>
          </w:tcPr>
          <w:p>
            <w:pPr>
              <w:spacing w:before="60" w:after="60"/>
            </w:pPr>
            <w:r>
              <w:rPr>
                <w:rFonts w:ascii="Calibri" w:hAnsi="Calibri"/>
                <w:color w:val="1A202C"/>
                <w:sz w:val="19"/>
              </w:rPr>
              <w:t>Medical leave condonation approval workflow.</w:t>
            </w:r>
          </w:p>
        </w:tc>
      </w:tr>
    </w:tbl>
    <w:p>
      <w:pPr>
        <w:pStyle w:val="Heading3"/>
      </w:pPr>
      <w:r>
        <w:t>Module 3: Examination &amp; Proctoring Tables</w:t>
      </w:r>
    </w:p>
    <w:p>
      <w:pPr>
        <w:spacing w:after="80"/>
      </w:pPr>
      <w:r>
        <w:t>Engineered by Team 3 for high-stakes online examinations.</w:t>
      </w:r>
    </w:p>
    <w:tbl>
      <w:tblPr>
        <w:tblW w:type="auto" w:w="0"/>
        <w:jc w:val="center"/>
        <w:tblLook w:firstColumn="1" w:firstRow="1" w:lastColumn="0" w:lastRow="0" w:noHBand="0" w:noVBand="1" w:val="04A0"/>
      </w:tblPr>
      <w:tblGrid>
        <w:gridCol w:w="2340"/>
        <w:gridCol w:w="2340"/>
        <w:gridCol w:w="2340"/>
        <w:gridCol w:w="2340"/>
      </w:tblGrid>
      <w:tr>
        <w:tc>
          <w:tcPr>
            <w:tcW w:type="dxa" w:w="2592"/>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shd w:fill="1F4E79"/>
          </w:tcPr>
          <w:p>
            <w:pPr>
              <w:spacing w:before="80" w:after="80"/>
            </w:pPr>
            <w:r>
              <w:rPr>
                <w:rFonts w:ascii="Calibri" w:hAnsi="Calibri"/>
                <w:b/>
                <w:color w:val="FFFFFF"/>
                <w:sz w:val="20"/>
              </w:rPr>
              <w:t>Table Name</w:t>
            </w:r>
          </w:p>
        </w:tc>
        <w:tc>
          <w:tcPr>
            <w:tcW w:type="dxa" w:w="1584"/>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shd w:fill="1F4E79"/>
          </w:tcPr>
          <w:p>
            <w:pPr>
              <w:spacing w:before="80" w:after="80"/>
            </w:pPr>
            <w:r>
              <w:rPr>
                <w:rFonts w:ascii="Calibri" w:hAnsi="Calibri"/>
                <w:b/>
                <w:color w:val="FFFFFF"/>
                <w:sz w:val="20"/>
              </w:rPr>
              <w:t>Primary Key</w:t>
            </w:r>
          </w:p>
        </w:tc>
        <w:tc>
          <w:tcPr>
            <w:tcW w:type="dxa" w:w="3168"/>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shd w:fill="1F4E79"/>
          </w:tcPr>
          <w:p>
            <w:pPr>
              <w:spacing w:before="80" w:after="80"/>
            </w:pPr>
            <w:r>
              <w:rPr>
                <w:rFonts w:ascii="Calibri" w:hAnsi="Calibri"/>
                <w:b/>
                <w:color w:val="FFFFFF"/>
                <w:sz w:val="20"/>
              </w:rPr>
              <w:t>Key Attributes &amp; Foreign Keys</w:t>
            </w:r>
          </w:p>
        </w:tc>
        <w:tc>
          <w:tcPr>
            <w:tcW w:type="dxa" w:w="2736"/>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shd w:fill="1F4E79"/>
          </w:tcPr>
          <w:p>
            <w:pPr>
              <w:spacing w:before="80" w:after="80"/>
            </w:pPr>
            <w:r>
              <w:rPr>
                <w:rFonts w:ascii="Calibri" w:hAnsi="Calibri"/>
                <w:b/>
                <w:color w:val="FFFFFF"/>
                <w:sz w:val="20"/>
              </w:rPr>
              <w:t>Description</w:t>
            </w:r>
          </w:p>
        </w:tc>
      </w:tr>
      <w:tr>
        <w:tc>
          <w:tcPr>
            <w:tcW w:type="dxa" w:w="2592"/>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shd w:fill="F9FAFB"/>
          </w:tcPr>
          <w:p>
            <w:pPr>
              <w:spacing w:before="60" w:after="60"/>
            </w:pPr>
            <w:r>
              <w:rPr>
                <w:rFonts w:ascii="Calibri" w:hAnsi="Calibri"/>
                <w:color w:val="1A202C"/>
                <w:sz w:val="19"/>
              </w:rPr>
              <w:t>exam_assessments</w:t>
            </w:r>
          </w:p>
        </w:tc>
        <w:tc>
          <w:tcPr>
            <w:tcW w:type="dxa" w:w="1584"/>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shd w:fill="F9FAFB"/>
          </w:tcPr>
          <w:p>
            <w:pPr>
              <w:spacing w:before="60" w:after="60"/>
            </w:pPr>
            <w:r>
              <w:rPr>
                <w:rFonts w:ascii="Calibri" w:hAnsi="Calibri"/>
                <w:color w:val="1A202C"/>
                <w:sz w:val="19"/>
              </w:rPr>
              <w:t>id (UUID)</w:t>
            </w:r>
          </w:p>
        </w:tc>
        <w:tc>
          <w:tcPr>
            <w:tcW w:type="dxa" w:w="3168"/>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shd w:fill="F9FAFB"/>
          </w:tcPr>
          <w:p>
            <w:pPr>
              <w:spacing w:before="60" w:after="60"/>
            </w:pPr>
            <w:r>
              <w:rPr>
                <w:rFonts w:ascii="Calibri" w:hAnsi="Calibri"/>
                <w:color w:val="1A202C"/>
                <w:sz w:val="19"/>
              </w:rPr>
              <w:t>title, course_id, scheduled_start, duration_mins, total_marks, is_proctored</w:t>
            </w:r>
          </w:p>
        </w:tc>
        <w:tc>
          <w:tcPr>
            <w:tcW w:type="dxa" w:w="2736"/>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shd w:fill="F9FAFB"/>
          </w:tcPr>
          <w:p>
            <w:pPr>
              <w:spacing w:before="60" w:after="60"/>
            </w:pPr>
            <w:r>
              <w:rPr>
                <w:rFonts w:ascii="Calibri" w:hAnsi="Calibri"/>
                <w:color w:val="1A202C"/>
                <w:sz w:val="19"/>
              </w:rPr>
              <w:t>Exam master record with time and security rules.</w:t>
            </w:r>
          </w:p>
        </w:tc>
      </w:tr>
      <w:tr>
        <w:tc>
          <w:tcPr>
            <w:tcW w:type="dxa" w:w="2592"/>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shd w:fill="FFFFFF"/>
          </w:tcPr>
          <w:p>
            <w:pPr>
              <w:spacing w:before="60" w:after="60"/>
            </w:pPr>
            <w:r>
              <w:rPr>
                <w:rFonts w:ascii="Calibri" w:hAnsi="Calibri"/>
                <w:color w:val="1A202C"/>
                <w:sz w:val="19"/>
              </w:rPr>
              <w:t>exam_questions</w:t>
            </w:r>
          </w:p>
        </w:tc>
        <w:tc>
          <w:tcPr>
            <w:tcW w:type="dxa" w:w="1584"/>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shd w:fill="FFFFFF"/>
          </w:tcPr>
          <w:p>
            <w:pPr>
              <w:spacing w:before="60" w:after="60"/>
            </w:pPr>
            <w:r>
              <w:rPr>
                <w:rFonts w:ascii="Calibri" w:hAnsi="Calibri"/>
                <w:color w:val="1A202C"/>
                <w:sz w:val="19"/>
              </w:rPr>
              <w:t>id (UUID)</w:t>
            </w:r>
          </w:p>
        </w:tc>
        <w:tc>
          <w:tcPr>
            <w:tcW w:type="dxa" w:w="3168"/>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shd w:fill="FFFFFF"/>
          </w:tcPr>
          <w:p>
            <w:pPr>
              <w:spacing w:before="60" w:after="60"/>
            </w:pPr>
            <w:r>
              <w:rPr>
                <w:rFonts w:ascii="Calibri" w:hAnsi="Calibri"/>
                <w:color w:val="1A202C"/>
                <w:sz w:val="19"/>
              </w:rPr>
              <w:t>exam_id (FK), question_type, prompt_text, options_json, correct_answer, marks</w:t>
            </w:r>
          </w:p>
        </w:tc>
        <w:tc>
          <w:tcPr>
            <w:tcW w:type="dxa" w:w="2736"/>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shd w:fill="FFFFFF"/>
          </w:tcPr>
          <w:p>
            <w:pPr>
              <w:spacing w:before="60" w:after="60"/>
            </w:pPr>
            <w:r>
              <w:rPr>
                <w:rFonts w:ascii="Calibri" w:hAnsi="Calibri"/>
                <w:color w:val="1A202C"/>
                <w:sz w:val="19"/>
              </w:rPr>
              <w:t>Item bank supporting MCQs, multi-select, and essays.</w:t>
            </w:r>
          </w:p>
        </w:tc>
      </w:tr>
      <w:tr>
        <w:tc>
          <w:tcPr>
            <w:tcW w:type="dxa" w:w="2592"/>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shd w:fill="F9FAFB"/>
          </w:tcPr>
          <w:p>
            <w:pPr>
              <w:spacing w:before="60" w:after="60"/>
            </w:pPr>
            <w:r>
              <w:rPr>
                <w:rFonts w:ascii="Calibri" w:hAnsi="Calibri"/>
                <w:color w:val="1A202C"/>
                <w:sz w:val="19"/>
              </w:rPr>
              <w:t>exam_submissions</w:t>
            </w:r>
          </w:p>
        </w:tc>
        <w:tc>
          <w:tcPr>
            <w:tcW w:type="dxa" w:w="1584"/>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shd w:fill="F9FAFB"/>
          </w:tcPr>
          <w:p>
            <w:pPr>
              <w:spacing w:before="60" w:after="60"/>
            </w:pPr>
            <w:r>
              <w:rPr>
                <w:rFonts w:ascii="Calibri" w:hAnsi="Calibri"/>
                <w:color w:val="1A202C"/>
                <w:sz w:val="19"/>
              </w:rPr>
              <w:t>id (UUID)</w:t>
            </w:r>
          </w:p>
        </w:tc>
        <w:tc>
          <w:tcPr>
            <w:tcW w:type="dxa" w:w="3168"/>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shd w:fill="F9FAFB"/>
          </w:tcPr>
          <w:p>
            <w:pPr>
              <w:spacing w:before="60" w:after="60"/>
            </w:pPr>
            <w:r>
              <w:rPr>
                <w:rFonts w:ascii="Calibri" w:hAnsi="Calibri"/>
                <w:color w:val="1A202C"/>
                <w:sz w:val="19"/>
              </w:rPr>
              <w:t>exam_id (FK), student_id (FK), answers_json, score, status, integrity_rating</w:t>
            </w:r>
          </w:p>
        </w:tc>
        <w:tc>
          <w:tcPr>
            <w:tcW w:type="dxa" w:w="2736"/>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shd w:fill="F9FAFB"/>
          </w:tcPr>
          <w:p>
            <w:pPr>
              <w:spacing w:before="60" w:after="60"/>
            </w:pPr>
            <w:r>
              <w:rPr>
                <w:rFonts w:ascii="Calibri" w:hAnsi="Calibri"/>
                <w:color w:val="1A202C"/>
                <w:sz w:val="19"/>
              </w:rPr>
              <w:t>Student responses, grading status, and integrity flag score.</w:t>
            </w:r>
          </w:p>
        </w:tc>
      </w:tr>
      <w:tr>
        <w:tc>
          <w:tcPr>
            <w:tcW w:type="dxa" w:w="2592"/>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shd w:fill="FFFFFF"/>
          </w:tcPr>
          <w:p>
            <w:pPr>
              <w:spacing w:before="60" w:after="60"/>
            </w:pPr>
            <w:r>
              <w:rPr>
                <w:rFonts w:ascii="Calibri" w:hAnsi="Calibri"/>
                <w:color w:val="1A202C"/>
                <w:sz w:val="19"/>
              </w:rPr>
              <w:t>exam_proctor_violations</w:t>
            </w:r>
          </w:p>
        </w:tc>
        <w:tc>
          <w:tcPr>
            <w:tcW w:type="dxa" w:w="1584"/>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shd w:fill="FFFFFF"/>
          </w:tcPr>
          <w:p>
            <w:pPr>
              <w:spacing w:before="60" w:after="60"/>
            </w:pPr>
            <w:r>
              <w:rPr>
                <w:rFonts w:ascii="Calibri" w:hAnsi="Calibri"/>
                <w:color w:val="1A202C"/>
                <w:sz w:val="19"/>
              </w:rPr>
              <w:t>id (UUID)</w:t>
            </w:r>
          </w:p>
        </w:tc>
        <w:tc>
          <w:tcPr>
            <w:tcW w:type="dxa" w:w="3168"/>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shd w:fill="FFFFFF"/>
          </w:tcPr>
          <w:p>
            <w:pPr>
              <w:spacing w:before="60" w:after="60"/>
            </w:pPr>
            <w:r>
              <w:rPr>
                <w:rFonts w:ascii="Calibri" w:hAnsi="Calibri"/>
                <w:color w:val="1A202C"/>
                <w:sz w:val="19"/>
              </w:rPr>
              <w:t>submission_id (FK), event_type, snapshot_url, timestamp, severity</w:t>
            </w:r>
          </w:p>
        </w:tc>
        <w:tc>
          <w:tcPr>
            <w:tcW w:type="dxa" w:w="2736"/>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shd w:fill="FFFFFF"/>
          </w:tcPr>
          <w:p>
            <w:pPr>
              <w:spacing w:before="60" w:after="60"/>
            </w:pPr>
            <w:r>
              <w:rPr>
                <w:rFonts w:ascii="Calibri" w:hAnsi="Calibri"/>
                <w:color w:val="1A202C"/>
                <w:sz w:val="19"/>
              </w:rPr>
              <w:t>AI detection log: tab switch, multi-face, missing face, audio.</w:t>
            </w:r>
          </w:p>
        </w:tc>
      </w:tr>
    </w:tbl>
    <w:p>
      <w:pPr>
        <w:pStyle w:val="Heading3"/>
      </w:pPr>
      <w:r>
        <w:t>Module 4: Code Arena &amp; Auto-Judge Tables</w:t>
      </w:r>
    </w:p>
    <w:p>
      <w:pPr>
        <w:spacing w:after="80"/>
      </w:pPr>
      <w:r>
        <w:t>Engineered by Team 4 for programming assessments and sandbox runs.</w:t>
      </w:r>
    </w:p>
    <w:tbl>
      <w:tblPr>
        <w:tblW w:type="auto" w:w="0"/>
        <w:jc w:val="center"/>
        <w:tblLook w:firstColumn="1" w:firstRow="1" w:lastColumn="0" w:lastRow="0" w:noHBand="0" w:noVBand="1" w:val="04A0"/>
      </w:tblPr>
      <w:tblGrid>
        <w:gridCol w:w="2340"/>
        <w:gridCol w:w="2340"/>
        <w:gridCol w:w="2340"/>
        <w:gridCol w:w="2340"/>
      </w:tblGrid>
      <w:tr>
        <w:tc>
          <w:tcPr>
            <w:tcW w:type="dxa" w:w="2592"/>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shd w:fill="1F4E79"/>
          </w:tcPr>
          <w:p>
            <w:pPr>
              <w:spacing w:before="80" w:after="80"/>
            </w:pPr>
            <w:r>
              <w:rPr>
                <w:rFonts w:ascii="Calibri" w:hAnsi="Calibri"/>
                <w:b/>
                <w:color w:val="FFFFFF"/>
                <w:sz w:val="20"/>
              </w:rPr>
              <w:t>Table Name</w:t>
            </w:r>
          </w:p>
        </w:tc>
        <w:tc>
          <w:tcPr>
            <w:tcW w:type="dxa" w:w="1584"/>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shd w:fill="1F4E79"/>
          </w:tcPr>
          <w:p>
            <w:pPr>
              <w:spacing w:before="80" w:after="80"/>
            </w:pPr>
            <w:r>
              <w:rPr>
                <w:rFonts w:ascii="Calibri" w:hAnsi="Calibri"/>
                <w:b/>
                <w:color w:val="FFFFFF"/>
                <w:sz w:val="20"/>
              </w:rPr>
              <w:t>Primary Key</w:t>
            </w:r>
          </w:p>
        </w:tc>
        <w:tc>
          <w:tcPr>
            <w:tcW w:type="dxa" w:w="3168"/>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shd w:fill="1F4E79"/>
          </w:tcPr>
          <w:p>
            <w:pPr>
              <w:spacing w:before="80" w:after="80"/>
            </w:pPr>
            <w:r>
              <w:rPr>
                <w:rFonts w:ascii="Calibri" w:hAnsi="Calibri"/>
                <w:b/>
                <w:color w:val="FFFFFF"/>
                <w:sz w:val="20"/>
              </w:rPr>
              <w:t>Key Attributes &amp; Foreign Keys</w:t>
            </w:r>
          </w:p>
        </w:tc>
        <w:tc>
          <w:tcPr>
            <w:tcW w:type="dxa" w:w="2736"/>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shd w:fill="1F4E79"/>
          </w:tcPr>
          <w:p>
            <w:pPr>
              <w:spacing w:before="80" w:after="80"/>
            </w:pPr>
            <w:r>
              <w:rPr>
                <w:rFonts w:ascii="Calibri" w:hAnsi="Calibri"/>
                <w:b/>
                <w:color w:val="FFFFFF"/>
                <w:sz w:val="20"/>
              </w:rPr>
              <w:t>Description</w:t>
            </w:r>
          </w:p>
        </w:tc>
      </w:tr>
      <w:tr>
        <w:tc>
          <w:tcPr>
            <w:tcW w:type="dxa" w:w="2592"/>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shd w:fill="F9FAFB"/>
          </w:tcPr>
          <w:p>
            <w:pPr>
              <w:spacing w:before="60" w:after="60"/>
            </w:pPr>
            <w:r>
              <w:rPr>
                <w:rFonts w:ascii="Calibri" w:hAnsi="Calibri"/>
                <w:color w:val="1A202C"/>
                <w:sz w:val="19"/>
              </w:rPr>
              <w:t>coding_problems</w:t>
            </w:r>
          </w:p>
        </w:tc>
        <w:tc>
          <w:tcPr>
            <w:tcW w:type="dxa" w:w="1584"/>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shd w:fill="F9FAFB"/>
          </w:tcPr>
          <w:p>
            <w:pPr>
              <w:spacing w:before="60" w:after="60"/>
            </w:pPr>
            <w:r>
              <w:rPr>
                <w:rFonts w:ascii="Calibri" w:hAnsi="Calibri"/>
                <w:color w:val="1A202C"/>
                <w:sz w:val="19"/>
              </w:rPr>
              <w:t>id (UUID)</w:t>
            </w:r>
          </w:p>
        </w:tc>
        <w:tc>
          <w:tcPr>
            <w:tcW w:type="dxa" w:w="3168"/>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shd w:fill="F9FAFB"/>
          </w:tcPr>
          <w:p>
            <w:pPr>
              <w:spacing w:before="60" w:after="60"/>
            </w:pPr>
            <w:r>
              <w:rPr>
                <w:rFonts w:ascii="Calibri" w:hAnsi="Calibri"/>
                <w:color w:val="1A202C"/>
                <w:sz w:val="19"/>
              </w:rPr>
              <w:t>title, slug, difficulty, time_limit_ms, memory_limit_mb, description_md</w:t>
            </w:r>
          </w:p>
        </w:tc>
        <w:tc>
          <w:tcPr>
            <w:tcW w:type="dxa" w:w="2736"/>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shd w:fill="F9FAFB"/>
          </w:tcPr>
          <w:p>
            <w:pPr>
              <w:spacing w:before="60" w:after="60"/>
            </w:pPr>
            <w:r>
              <w:rPr>
                <w:rFonts w:ascii="Calibri" w:hAnsi="Calibri"/>
                <w:color w:val="1A202C"/>
                <w:sz w:val="19"/>
              </w:rPr>
              <w:t>Coding challenge metadata and sandbox execution constraints.</w:t>
            </w:r>
          </w:p>
        </w:tc>
      </w:tr>
      <w:tr>
        <w:tc>
          <w:tcPr>
            <w:tcW w:type="dxa" w:w="2592"/>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shd w:fill="FFFFFF"/>
          </w:tcPr>
          <w:p>
            <w:pPr>
              <w:spacing w:before="60" w:after="60"/>
            </w:pPr>
            <w:r>
              <w:rPr>
                <w:rFonts w:ascii="Calibri" w:hAnsi="Calibri"/>
                <w:color w:val="1A202C"/>
                <w:sz w:val="19"/>
              </w:rPr>
              <w:t>coding_test_cases</w:t>
            </w:r>
          </w:p>
        </w:tc>
        <w:tc>
          <w:tcPr>
            <w:tcW w:type="dxa" w:w="1584"/>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shd w:fill="FFFFFF"/>
          </w:tcPr>
          <w:p>
            <w:pPr>
              <w:spacing w:before="60" w:after="60"/>
            </w:pPr>
            <w:r>
              <w:rPr>
                <w:rFonts w:ascii="Calibri" w:hAnsi="Calibri"/>
                <w:color w:val="1A202C"/>
                <w:sz w:val="19"/>
              </w:rPr>
              <w:t>id (UUID)</w:t>
            </w:r>
          </w:p>
        </w:tc>
        <w:tc>
          <w:tcPr>
            <w:tcW w:type="dxa" w:w="3168"/>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shd w:fill="FFFFFF"/>
          </w:tcPr>
          <w:p>
            <w:pPr>
              <w:spacing w:before="60" w:after="60"/>
            </w:pPr>
            <w:r>
              <w:rPr>
                <w:rFonts w:ascii="Calibri" w:hAnsi="Calibri"/>
                <w:color w:val="1A202C"/>
                <w:sz w:val="19"/>
              </w:rPr>
              <w:t>problem_id (FK), input_data, expected_output, is_hidden, points</w:t>
            </w:r>
          </w:p>
        </w:tc>
        <w:tc>
          <w:tcPr>
            <w:tcW w:type="dxa" w:w="2736"/>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shd w:fill="FFFFFF"/>
          </w:tcPr>
          <w:p>
            <w:pPr>
              <w:spacing w:before="60" w:after="60"/>
            </w:pPr>
            <w:r>
              <w:rPr>
                <w:rFonts w:ascii="Calibri" w:hAnsi="Calibri"/>
                <w:color w:val="1A202C"/>
                <w:sz w:val="19"/>
              </w:rPr>
              <w:t>Automated grading test suite with hidden validation cases.</w:t>
            </w:r>
          </w:p>
        </w:tc>
      </w:tr>
      <w:tr>
        <w:tc>
          <w:tcPr>
            <w:tcW w:type="dxa" w:w="2592"/>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shd w:fill="F9FAFB"/>
          </w:tcPr>
          <w:p>
            <w:pPr>
              <w:spacing w:before="60" w:after="60"/>
            </w:pPr>
            <w:r>
              <w:rPr>
                <w:rFonts w:ascii="Calibri" w:hAnsi="Calibri"/>
                <w:color w:val="1A202C"/>
                <w:sz w:val="19"/>
              </w:rPr>
              <w:t>coding_submissions</w:t>
            </w:r>
          </w:p>
        </w:tc>
        <w:tc>
          <w:tcPr>
            <w:tcW w:type="dxa" w:w="1584"/>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shd w:fill="F9FAFB"/>
          </w:tcPr>
          <w:p>
            <w:pPr>
              <w:spacing w:before="60" w:after="60"/>
            </w:pPr>
            <w:r>
              <w:rPr>
                <w:rFonts w:ascii="Calibri" w:hAnsi="Calibri"/>
                <w:color w:val="1A202C"/>
                <w:sz w:val="19"/>
              </w:rPr>
              <w:t>id (UUID)</w:t>
            </w:r>
          </w:p>
        </w:tc>
        <w:tc>
          <w:tcPr>
            <w:tcW w:type="dxa" w:w="3168"/>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shd w:fill="F9FAFB"/>
          </w:tcPr>
          <w:p>
            <w:pPr>
              <w:spacing w:before="60" w:after="60"/>
            </w:pPr>
            <w:r>
              <w:rPr>
                <w:rFonts w:ascii="Calibri" w:hAnsi="Calibri"/>
                <w:color w:val="1A202C"/>
                <w:sz w:val="19"/>
              </w:rPr>
              <w:t>problem_id (FK), student_id (FK), language, source_code, verdict, time_ms</w:t>
            </w:r>
          </w:p>
        </w:tc>
        <w:tc>
          <w:tcPr>
            <w:tcW w:type="dxa" w:w="2736"/>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shd w:fill="F9FAFB"/>
          </w:tcPr>
          <w:p>
            <w:pPr>
              <w:spacing w:before="60" w:after="60"/>
            </w:pPr>
            <w:r>
              <w:rPr>
                <w:rFonts w:ascii="Calibri" w:hAnsi="Calibri"/>
                <w:color w:val="1A202C"/>
                <w:sz w:val="19"/>
              </w:rPr>
              <w:t>Evaluation outcome: AC, WA, TLE, MLE, Runtime Error.</w:t>
            </w:r>
          </w:p>
        </w:tc>
      </w:tr>
      <w:tr>
        <w:tc>
          <w:tcPr>
            <w:tcW w:type="dxa" w:w="2592"/>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shd w:fill="FFFFFF"/>
          </w:tcPr>
          <w:p>
            <w:pPr>
              <w:spacing w:before="60" w:after="60"/>
            </w:pPr>
            <w:r>
              <w:rPr>
                <w:rFonts w:ascii="Calibri" w:hAnsi="Calibri"/>
                <w:color w:val="1A202C"/>
                <w:sz w:val="19"/>
              </w:rPr>
              <w:t>coding_plagiarism_audits</w:t>
            </w:r>
          </w:p>
        </w:tc>
        <w:tc>
          <w:tcPr>
            <w:tcW w:type="dxa" w:w="1584"/>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shd w:fill="FFFFFF"/>
          </w:tcPr>
          <w:p>
            <w:pPr>
              <w:spacing w:before="60" w:after="60"/>
            </w:pPr>
            <w:r>
              <w:rPr>
                <w:rFonts w:ascii="Calibri" w:hAnsi="Calibri"/>
                <w:color w:val="1A202C"/>
                <w:sz w:val="19"/>
              </w:rPr>
              <w:t>id (UUID)</w:t>
            </w:r>
          </w:p>
        </w:tc>
        <w:tc>
          <w:tcPr>
            <w:tcW w:type="dxa" w:w="3168"/>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shd w:fill="FFFFFF"/>
          </w:tcPr>
          <w:p>
            <w:pPr>
              <w:spacing w:before="60" w:after="60"/>
            </w:pPr>
            <w:r>
              <w:rPr>
                <w:rFonts w:ascii="Calibri" w:hAnsi="Calibri"/>
                <w:color w:val="1A202C"/>
                <w:sz w:val="19"/>
              </w:rPr>
              <w:t>submission_a_id (FK), submission_b_id (FK), similarity_score, ast_matches</w:t>
            </w:r>
          </w:p>
        </w:tc>
        <w:tc>
          <w:tcPr>
            <w:tcW w:type="dxa" w:w="2736"/>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shd w:fill="FFFFFF"/>
          </w:tcPr>
          <w:p>
            <w:pPr>
              <w:spacing w:before="60" w:after="60"/>
            </w:pPr>
            <w:r>
              <w:rPr>
                <w:rFonts w:ascii="Calibri" w:hAnsi="Calibri"/>
                <w:color w:val="1A202C"/>
                <w:sz w:val="19"/>
              </w:rPr>
              <w:t>AST token similarity audit flagging code duplication.</w:t>
            </w:r>
          </w:p>
        </w:tc>
      </w:tr>
    </w:tbl>
    <w:p>
      <w:pPr>
        <w:pStyle w:val="Heading3"/>
      </w:pPr>
      <w:r>
        <w:t>Module 5: AI Online Presentation &amp; Virtual Viva Tables</w:t>
      </w:r>
    </w:p>
    <w:p>
      <w:pPr>
        <w:spacing w:after="80"/>
      </w:pPr>
      <w:r>
        <w:t>Engineered by Team 5 for multi-modal presentation evaluation.</w:t>
      </w:r>
    </w:p>
    <w:tbl>
      <w:tblPr>
        <w:tblW w:type="auto" w:w="0"/>
        <w:jc w:val="center"/>
        <w:tblLook w:firstColumn="1" w:firstRow="1" w:lastColumn="0" w:lastRow="0" w:noHBand="0" w:noVBand="1" w:val="04A0"/>
      </w:tblPr>
      <w:tblGrid>
        <w:gridCol w:w="2340"/>
        <w:gridCol w:w="2340"/>
        <w:gridCol w:w="2340"/>
        <w:gridCol w:w="2340"/>
      </w:tblGrid>
      <w:tr>
        <w:tc>
          <w:tcPr>
            <w:tcW w:type="dxa" w:w="2592"/>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shd w:fill="1F4E79"/>
          </w:tcPr>
          <w:p>
            <w:pPr>
              <w:spacing w:before="80" w:after="80"/>
            </w:pPr>
            <w:r>
              <w:rPr>
                <w:rFonts w:ascii="Calibri" w:hAnsi="Calibri"/>
                <w:b/>
                <w:color w:val="FFFFFF"/>
                <w:sz w:val="20"/>
              </w:rPr>
              <w:t>Table Name</w:t>
            </w:r>
          </w:p>
        </w:tc>
        <w:tc>
          <w:tcPr>
            <w:tcW w:type="dxa" w:w="1584"/>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shd w:fill="1F4E79"/>
          </w:tcPr>
          <w:p>
            <w:pPr>
              <w:spacing w:before="80" w:after="80"/>
            </w:pPr>
            <w:r>
              <w:rPr>
                <w:rFonts w:ascii="Calibri" w:hAnsi="Calibri"/>
                <w:b/>
                <w:color w:val="FFFFFF"/>
                <w:sz w:val="20"/>
              </w:rPr>
              <w:t>Primary Key</w:t>
            </w:r>
          </w:p>
        </w:tc>
        <w:tc>
          <w:tcPr>
            <w:tcW w:type="dxa" w:w="3168"/>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shd w:fill="1F4E79"/>
          </w:tcPr>
          <w:p>
            <w:pPr>
              <w:spacing w:before="80" w:after="80"/>
            </w:pPr>
            <w:r>
              <w:rPr>
                <w:rFonts w:ascii="Calibri" w:hAnsi="Calibri"/>
                <w:b/>
                <w:color w:val="FFFFFF"/>
                <w:sz w:val="20"/>
              </w:rPr>
              <w:t>Key Attributes &amp; Foreign Keys</w:t>
            </w:r>
          </w:p>
        </w:tc>
        <w:tc>
          <w:tcPr>
            <w:tcW w:type="dxa" w:w="2736"/>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shd w:fill="1F4E79"/>
          </w:tcPr>
          <w:p>
            <w:pPr>
              <w:spacing w:before="80" w:after="80"/>
            </w:pPr>
            <w:r>
              <w:rPr>
                <w:rFonts w:ascii="Calibri" w:hAnsi="Calibri"/>
                <w:b/>
                <w:color w:val="FFFFFF"/>
                <w:sz w:val="20"/>
              </w:rPr>
              <w:t>Description</w:t>
            </w:r>
          </w:p>
        </w:tc>
      </w:tr>
      <w:tr>
        <w:tc>
          <w:tcPr>
            <w:tcW w:type="dxa" w:w="2592"/>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shd w:fill="F9FAFB"/>
          </w:tcPr>
          <w:p>
            <w:pPr>
              <w:spacing w:before="60" w:after="60"/>
            </w:pPr>
            <w:r>
              <w:rPr>
                <w:rFonts w:ascii="Calibri" w:hAnsi="Calibri"/>
                <w:color w:val="1A202C"/>
                <w:sz w:val="19"/>
              </w:rPr>
              <w:t>present_sessions</w:t>
            </w:r>
          </w:p>
        </w:tc>
        <w:tc>
          <w:tcPr>
            <w:tcW w:type="dxa" w:w="1584"/>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shd w:fill="F9FAFB"/>
          </w:tcPr>
          <w:p>
            <w:pPr>
              <w:spacing w:before="60" w:after="60"/>
            </w:pPr>
            <w:r>
              <w:rPr>
                <w:rFonts w:ascii="Calibri" w:hAnsi="Calibri"/>
                <w:color w:val="1A202C"/>
                <w:sz w:val="19"/>
              </w:rPr>
              <w:t>id (UUID)</w:t>
            </w:r>
          </w:p>
        </w:tc>
        <w:tc>
          <w:tcPr>
            <w:tcW w:type="dxa" w:w="3168"/>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shd w:fill="F9FAFB"/>
          </w:tcPr>
          <w:p>
            <w:pPr>
              <w:spacing w:before="60" w:after="60"/>
            </w:pPr>
            <w:r>
              <w:rPr>
                <w:rFonts w:ascii="Calibri" w:hAnsi="Calibri"/>
                <w:color w:val="1A202C"/>
                <w:sz w:val="19"/>
              </w:rPr>
              <w:t>presenter_id (FK), course_id, title, slide_deck_url, recording_url, status</w:t>
            </w:r>
          </w:p>
        </w:tc>
        <w:tc>
          <w:tcPr>
            <w:tcW w:type="dxa" w:w="2736"/>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shd w:fill="F9FAFB"/>
          </w:tcPr>
          <w:p>
            <w:pPr>
              <w:spacing w:before="60" w:after="60"/>
            </w:pPr>
            <w:r>
              <w:rPr>
                <w:rFonts w:ascii="Calibri" w:hAnsi="Calibri"/>
                <w:color w:val="1A202C"/>
                <w:sz w:val="19"/>
              </w:rPr>
              <w:t>Presentation room session with WebRTC and recording references.</w:t>
            </w:r>
          </w:p>
        </w:tc>
      </w:tr>
      <w:tr>
        <w:tc>
          <w:tcPr>
            <w:tcW w:type="dxa" w:w="2592"/>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shd w:fill="FFFFFF"/>
          </w:tcPr>
          <w:p>
            <w:pPr>
              <w:spacing w:before="60" w:after="60"/>
            </w:pPr>
            <w:r>
              <w:rPr>
                <w:rFonts w:ascii="Calibri" w:hAnsi="Calibri"/>
                <w:color w:val="1A202C"/>
                <w:sz w:val="19"/>
              </w:rPr>
              <w:t>present_slides</w:t>
            </w:r>
          </w:p>
        </w:tc>
        <w:tc>
          <w:tcPr>
            <w:tcW w:type="dxa" w:w="1584"/>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shd w:fill="FFFFFF"/>
          </w:tcPr>
          <w:p>
            <w:pPr>
              <w:spacing w:before="60" w:after="60"/>
            </w:pPr>
            <w:r>
              <w:rPr>
                <w:rFonts w:ascii="Calibri" w:hAnsi="Calibri"/>
                <w:color w:val="1A202C"/>
                <w:sz w:val="19"/>
              </w:rPr>
              <w:t>id (UUID)</w:t>
            </w:r>
          </w:p>
        </w:tc>
        <w:tc>
          <w:tcPr>
            <w:tcW w:type="dxa" w:w="3168"/>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shd w:fill="FFFFFF"/>
          </w:tcPr>
          <w:p>
            <w:pPr>
              <w:spacing w:before="60" w:after="60"/>
            </w:pPr>
            <w:r>
              <w:rPr>
                <w:rFonts w:ascii="Calibri" w:hAnsi="Calibri"/>
                <w:color w:val="1A202C"/>
                <w:sz w:val="19"/>
              </w:rPr>
              <w:t>session_id (FK), slide_number, slide_text, key_topics, visual_score</w:t>
            </w:r>
          </w:p>
        </w:tc>
        <w:tc>
          <w:tcPr>
            <w:tcW w:type="dxa" w:w="2736"/>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shd w:fill="FFFFFF"/>
          </w:tcPr>
          <w:p>
            <w:pPr>
              <w:spacing w:before="60" w:after="60"/>
            </w:pPr>
            <w:r>
              <w:rPr>
                <w:rFonts w:ascii="Calibri" w:hAnsi="Calibri"/>
                <w:color w:val="1A202C"/>
                <w:sz w:val="19"/>
              </w:rPr>
              <w:t>Extracted slide contents for semantic oral alignment.</w:t>
            </w:r>
          </w:p>
        </w:tc>
      </w:tr>
      <w:tr>
        <w:tc>
          <w:tcPr>
            <w:tcW w:type="dxa" w:w="2592"/>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shd w:fill="F9FAFB"/>
          </w:tcPr>
          <w:p>
            <w:pPr>
              <w:spacing w:before="60" w:after="60"/>
            </w:pPr>
            <w:r>
              <w:rPr>
                <w:rFonts w:ascii="Calibri" w:hAnsi="Calibri"/>
                <w:color w:val="1A202C"/>
                <w:sz w:val="19"/>
              </w:rPr>
              <w:t>present_evaluations</w:t>
            </w:r>
          </w:p>
        </w:tc>
        <w:tc>
          <w:tcPr>
            <w:tcW w:type="dxa" w:w="1584"/>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shd w:fill="F9FAFB"/>
          </w:tcPr>
          <w:p>
            <w:pPr>
              <w:spacing w:before="60" w:after="60"/>
            </w:pPr>
            <w:r>
              <w:rPr>
                <w:rFonts w:ascii="Calibri" w:hAnsi="Calibri"/>
                <w:color w:val="1A202C"/>
                <w:sz w:val="19"/>
              </w:rPr>
              <w:t>id (UUID)</w:t>
            </w:r>
          </w:p>
        </w:tc>
        <w:tc>
          <w:tcPr>
            <w:tcW w:type="dxa" w:w="3168"/>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shd w:fill="F9FAFB"/>
          </w:tcPr>
          <w:p>
            <w:pPr>
              <w:spacing w:before="60" w:after="60"/>
            </w:pPr>
            <w:r>
              <w:rPr>
                <w:rFonts w:ascii="Calibri" w:hAnsi="Calibri"/>
                <w:color w:val="1A202C"/>
                <w:sz w:val="19"/>
              </w:rPr>
              <w:t>session_id (FK), wpm_pace, filler_count, eye_contact_pct, semantic_score, total_score</w:t>
            </w:r>
          </w:p>
        </w:tc>
        <w:tc>
          <w:tcPr>
            <w:tcW w:type="dxa" w:w="2736"/>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shd w:fill="F9FAFB"/>
          </w:tcPr>
          <w:p>
            <w:pPr>
              <w:spacing w:before="60" w:after="60"/>
            </w:pPr>
            <w:r>
              <w:rPr>
                <w:rFonts w:ascii="Calibri" w:hAnsi="Calibri"/>
                <w:color w:val="1A202C"/>
                <w:sz w:val="19"/>
              </w:rPr>
              <w:t>Multi-modal AI metric dossier and final rubric score.</w:t>
            </w:r>
          </w:p>
        </w:tc>
      </w:tr>
      <w:tr>
        <w:tc>
          <w:tcPr>
            <w:tcW w:type="dxa" w:w="2592"/>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shd w:fill="FFFFFF"/>
          </w:tcPr>
          <w:p>
            <w:pPr>
              <w:spacing w:before="60" w:after="60"/>
            </w:pPr>
            <w:r>
              <w:rPr>
                <w:rFonts w:ascii="Calibri" w:hAnsi="Calibri"/>
                <w:color w:val="1A202C"/>
                <w:sz w:val="19"/>
              </w:rPr>
              <w:t>present_viva_qa</w:t>
            </w:r>
          </w:p>
        </w:tc>
        <w:tc>
          <w:tcPr>
            <w:tcW w:type="dxa" w:w="1584"/>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shd w:fill="FFFFFF"/>
          </w:tcPr>
          <w:p>
            <w:pPr>
              <w:spacing w:before="60" w:after="60"/>
            </w:pPr>
            <w:r>
              <w:rPr>
                <w:rFonts w:ascii="Calibri" w:hAnsi="Calibri"/>
                <w:color w:val="1A202C"/>
                <w:sz w:val="19"/>
              </w:rPr>
              <w:t>id (UUID)</w:t>
            </w:r>
          </w:p>
        </w:tc>
        <w:tc>
          <w:tcPr>
            <w:tcW w:type="dxa" w:w="3168"/>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shd w:fill="FFFFFF"/>
          </w:tcPr>
          <w:p>
            <w:pPr>
              <w:spacing w:before="60" w:after="60"/>
            </w:pPr>
            <w:r>
              <w:rPr>
                <w:rFonts w:ascii="Calibri" w:hAnsi="Calibri"/>
                <w:color w:val="1A202C"/>
                <w:sz w:val="19"/>
              </w:rPr>
              <w:t>session_id (FK), ai_generated_question, student_answer_transcript, correctness_score</w:t>
            </w:r>
          </w:p>
        </w:tc>
        <w:tc>
          <w:tcPr>
            <w:tcW w:type="dxa" w:w="2736"/>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shd w:fill="FFFFFF"/>
          </w:tcPr>
          <w:p>
            <w:pPr>
              <w:spacing w:before="60" w:after="60"/>
            </w:pPr>
            <w:r>
              <w:rPr>
                <w:rFonts w:ascii="Calibri" w:hAnsi="Calibri"/>
                <w:color w:val="1A202C"/>
                <w:sz w:val="19"/>
              </w:rPr>
              <w:t>AI viva questions generated in real-time from presentation speech.</w:t>
            </w:r>
          </w:p>
        </w:tc>
      </w:tr>
    </w:tbl>
    <w:p>
      <w:pPr>
        <w:pStyle w:val="Heading3"/>
      </w:pPr>
      <w:r>
        <w:t>Module 6: RAG Knowledge Assistant Tables</w:t>
      </w:r>
    </w:p>
    <w:p>
      <w:pPr>
        <w:spacing w:after="80"/>
      </w:pPr>
      <w:r>
        <w:t>Engineered by Team 6 for campus knowledge vector retrieval.</w:t>
      </w:r>
    </w:p>
    <w:tbl>
      <w:tblPr>
        <w:tblW w:type="auto" w:w="0"/>
        <w:jc w:val="center"/>
        <w:tblLook w:firstColumn="1" w:firstRow="1" w:lastColumn="0" w:lastRow="0" w:noHBand="0" w:noVBand="1" w:val="04A0"/>
      </w:tblPr>
      <w:tblGrid>
        <w:gridCol w:w="2340"/>
        <w:gridCol w:w="2340"/>
        <w:gridCol w:w="2340"/>
        <w:gridCol w:w="2340"/>
      </w:tblGrid>
      <w:tr>
        <w:tc>
          <w:tcPr>
            <w:tcW w:type="dxa" w:w="2592"/>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shd w:fill="1F4E79"/>
          </w:tcPr>
          <w:p>
            <w:pPr>
              <w:spacing w:before="80" w:after="80"/>
            </w:pPr>
            <w:r>
              <w:rPr>
                <w:rFonts w:ascii="Calibri" w:hAnsi="Calibri"/>
                <w:b/>
                <w:color w:val="FFFFFF"/>
                <w:sz w:val="20"/>
              </w:rPr>
              <w:t>Table Name</w:t>
            </w:r>
          </w:p>
        </w:tc>
        <w:tc>
          <w:tcPr>
            <w:tcW w:type="dxa" w:w="1584"/>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shd w:fill="1F4E79"/>
          </w:tcPr>
          <w:p>
            <w:pPr>
              <w:spacing w:before="80" w:after="80"/>
            </w:pPr>
            <w:r>
              <w:rPr>
                <w:rFonts w:ascii="Calibri" w:hAnsi="Calibri"/>
                <w:b/>
                <w:color w:val="FFFFFF"/>
                <w:sz w:val="20"/>
              </w:rPr>
              <w:t>Primary Key</w:t>
            </w:r>
          </w:p>
        </w:tc>
        <w:tc>
          <w:tcPr>
            <w:tcW w:type="dxa" w:w="3168"/>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shd w:fill="1F4E79"/>
          </w:tcPr>
          <w:p>
            <w:pPr>
              <w:spacing w:before="80" w:after="80"/>
            </w:pPr>
            <w:r>
              <w:rPr>
                <w:rFonts w:ascii="Calibri" w:hAnsi="Calibri"/>
                <w:b/>
                <w:color w:val="FFFFFF"/>
                <w:sz w:val="20"/>
              </w:rPr>
              <w:t>Key Attributes &amp; Foreign Keys</w:t>
            </w:r>
          </w:p>
        </w:tc>
        <w:tc>
          <w:tcPr>
            <w:tcW w:type="dxa" w:w="2736"/>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shd w:fill="1F4E79"/>
          </w:tcPr>
          <w:p>
            <w:pPr>
              <w:spacing w:before="80" w:after="80"/>
            </w:pPr>
            <w:r>
              <w:rPr>
                <w:rFonts w:ascii="Calibri" w:hAnsi="Calibri"/>
                <w:b/>
                <w:color w:val="FFFFFF"/>
                <w:sz w:val="20"/>
              </w:rPr>
              <w:t>Description</w:t>
            </w:r>
          </w:p>
        </w:tc>
      </w:tr>
      <w:tr>
        <w:tc>
          <w:tcPr>
            <w:tcW w:type="dxa" w:w="2592"/>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shd w:fill="F9FAFB"/>
          </w:tcPr>
          <w:p>
            <w:pPr>
              <w:spacing w:before="60" w:after="60"/>
            </w:pPr>
            <w:r>
              <w:rPr>
                <w:rFonts w:ascii="Calibri" w:hAnsi="Calibri"/>
                <w:color w:val="1A202C"/>
                <w:sz w:val="19"/>
              </w:rPr>
              <w:t>ai_knowledge_documents</w:t>
            </w:r>
          </w:p>
        </w:tc>
        <w:tc>
          <w:tcPr>
            <w:tcW w:type="dxa" w:w="1584"/>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shd w:fill="F9FAFB"/>
          </w:tcPr>
          <w:p>
            <w:pPr>
              <w:spacing w:before="60" w:after="60"/>
            </w:pPr>
            <w:r>
              <w:rPr>
                <w:rFonts w:ascii="Calibri" w:hAnsi="Calibri"/>
                <w:color w:val="1A202C"/>
                <w:sz w:val="19"/>
              </w:rPr>
              <w:t>id (UUID)</w:t>
            </w:r>
          </w:p>
        </w:tc>
        <w:tc>
          <w:tcPr>
            <w:tcW w:type="dxa" w:w="3168"/>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shd w:fill="F9FAFB"/>
          </w:tcPr>
          <w:p>
            <w:pPr>
              <w:spacing w:before="60" w:after="60"/>
            </w:pPr>
            <w:r>
              <w:rPr>
                <w:rFonts w:ascii="Calibri" w:hAnsi="Calibri"/>
                <w:color w:val="1A202C"/>
                <w:sz w:val="19"/>
              </w:rPr>
              <w:t>title, category, file_path, target_roles, is_indexed, uploaded_at</w:t>
            </w:r>
          </w:p>
        </w:tc>
        <w:tc>
          <w:tcPr>
            <w:tcW w:type="dxa" w:w="2736"/>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shd w:fill="F9FAFB"/>
          </w:tcPr>
          <w:p>
            <w:pPr>
              <w:spacing w:before="60" w:after="60"/>
            </w:pPr>
            <w:r>
              <w:rPr>
                <w:rFonts w:ascii="Calibri" w:hAnsi="Calibri"/>
                <w:color w:val="1A202C"/>
                <w:sz w:val="19"/>
              </w:rPr>
              <w:t>Official university policies, syllabi, handbooks, regulations.</w:t>
            </w:r>
          </w:p>
        </w:tc>
      </w:tr>
      <w:tr>
        <w:tc>
          <w:tcPr>
            <w:tcW w:type="dxa" w:w="2592"/>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shd w:fill="FFFFFF"/>
          </w:tcPr>
          <w:p>
            <w:pPr>
              <w:spacing w:before="60" w:after="60"/>
            </w:pPr>
            <w:r>
              <w:rPr>
                <w:rFonts w:ascii="Calibri" w:hAnsi="Calibri"/>
                <w:color w:val="1A202C"/>
                <w:sz w:val="19"/>
              </w:rPr>
              <w:t>ai_document_chunks</w:t>
            </w:r>
          </w:p>
        </w:tc>
        <w:tc>
          <w:tcPr>
            <w:tcW w:type="dxa" w:w="1584"/>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shd w:fill="FFFFFF"/>
          </w:tcPr>
          <w:p>
            <w:pPr>
              <w:spacing w:before="60" w:after="60"/>
            </w:pPr>
            <w:r>
              <w:rPr>
                <w:rFonts w:ascii="Calibri" w:hAnsi="Calibri"/>
                <w:color w:val="1A202C"/>
                <w:sz w:val="19"/>
              </w:rPr>
              <w:t>id (UUID)</w:t>
            </w:r>
          </w:p>
        </w:tc>
        <w:tc>
          <w:tcPr>
            <w:tcW w:type="dxa" w:w="3168"/>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shd w:fill="FFFFFF"/>
          </w:tcPr>
          <w:p>
            <w:pPr>
              <w:spacing w:before="60" w:after="60"/>
            </w:pPr>
            <w:r>
              <w:rPr>
                <w:rFonts w:ascii="Calibri" w:hAnsi="Calibri"/>
                <w:color w:val="1A202C"/>
                <w:sz w:val="19"/>
              </w:rPr>
              <w:t>document_id (FK), content_chunk, chunk_index, embedding (VECTOR(1536))</w:t>
            </w:r>
          </w:p>
        </w:tc>
        <w:tc>
          <w:tcPr>
            <w:tcW w:type="dxa" w:w="2736"/>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shd w:fill="FFFFFF"/>
          </w:tcPr>
          <w:p>
            <w:pPr>
              <w:spacing w:before="60" w:after="60"/>
            </w:pPr>
            <w:r>
              <w:rPr>
                <w:rFonts w:ascii="Calibri" w:hAnsi="Calibri"/>
                <w:color w:val="1A202C"/>
                <w:sz w:val="19"/>
              </w:rPr>
              <w:t>Indexed text chunks with pgvector cosine similarity embeddings.</w:t>
            </w:r>
          </w:p>
        </w:tc>
      </w:tr>
      <w:tr>
        <w:tc>
          <w:tcPr>
            <w:tcW w:type="dxa" w:w="2592"/>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shd w:fill="F9FAFB"/>
          </w:tcPr>
          <w:p>
            <w:pPr>
              <w:spacing w:before="60" w:after="60"/>
            </w:pPr>
            <w:r>
              <w:rPr>
                <w:rFonts w:ascii="Calibri" w:hAnsi="Calibri"/>
                <w:color w:val="1A202C"/>
                <w:sz w:val="19"/>
              </w:rPr>
              <w:t>ai_chat_sessions</w:t>
            </w:r>
          </w:p>
        </w:tc>
        <w:tc>
          <w:tcPr>
            <w:tcW w:type="dxa" w:w="1584"/>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shd w:fill="F9FAFB"/>
          </w:tcPr>
          <w:p>
            <w:pPr>
              <w:spacing w:before="60" w:after="60"/>
            </w:pPr>
            <w:r>
              <w:rPr>
                <w:rFonts w:ascii="Calibri" w:hAnsi="Calibri"/>
                <w:color w:val="1A202C"/>
                <w:sz w:val="19"/>
              </w:rPr>
              <w:t>id (UUID)</w:t>
            </w:r>
          </w:p>
        </w:tc>
        <w:tc>
          <w:tcPr>
            <w:tcW w:type="dxa" w:w="3168"/>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shd w:fill="F9FAFB"/>
          </w:tcPr>
          <w:p>
            <w:pPr>
              <w:spacing w:before="60" w:after="60"/>
            </w:pPr>
            <w:r>
              <w:rPr>
                <w:rFonts w:ascii="Calibri" w:hAnsi="Calibri"/>
                <w:color w:val="1A202C"/>
                <w:sz w:val="19"/>
              </w:rPr>
              <w:t>user_id (FK), session_title, role_context, created_at</w:t>
            </w:r>
          </w:p>
        </w:tc>
        <w:tc>
          <w:tcPr>
            <w:tcW w:type="dxa" w:w="2736"/>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shd w:fill="F9FAFB"/>
          </w:tcPr>
          <w:p>
            <w:pPr>
              <w:spacing w:before="60" w:after="60"/>
            </w:pPr>
            <w:r>
              <w:rPr>
                <w:rFonts w:ascii="Calibri" w:hAnsi="Calibri"/>
                <w:color w:val="1A202C"/>
                <w:sz w:val="19"/>
              </w:rPr>
              <w:t>Conversational session history and user context.</w:t>
            </w:r>
          </w:p>
        </w:tc>
      </w:tr>
      <w:tr>
        <w:tc>
          <w:tcPr>
            <w:tcW w:type="dxa" w:w="2592"/>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shd w:fill="FFFFFF"/>
          </w:tcPr>
          <w:p>
            <w:pPr>
              <w:spacing w:before="60" w:after="60"/>
            </w:pPr>
            <w:r>
              <w:rPr>
                <w:rFonts w:ascii="Calibri" w:hAnsi="Calibri"/>
                <w:color w:val="1A202C"/>
                <w:sz w:val="19"/>
              </w:rPr>
              <w:t>ai_chat_messages</w:t>
            </w:r>
          </w:p>
        </w:tc>
        <w:tc>
          <w:tcPr>
            <w:tcW w:type="dxa" w:w="1584"/>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shd w:fill="FFFFFF"/>
          </w:tcPr>
          <w:p>
            <w:pPr>
              <w:spacing w:before="60" w:after="60"/>
            </w:pPr>
            <w:r>
              <w:rPr>
                <w:rFonts w:ascii="Calibri" w:hAnsi="Calibri"/>
                <w:color w:val="1A202C"/>
                <w:sz w:val="19"/>
              </w:rPr>
              <w:t>id (UUID)</w:t>
            </w:r>
          </w:p>
        </w:tc>
        <w:tc>
          <w:tcPr>
            <w:tcW w:type="dxa" w:w="3168"/>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shd w:fill="FFFFFF"/>
          </w:tcPr>
          <w:p>
            <w:pPr>
              <w:spacing w:before="60" w:after="60"/>
            </w:pPr>
            <w:r>
              <w:rPr>
                <w:rFonts w:ascii="Calibri" w:hAnsi="Calibri"/>
                <w:color w:val="1A202C"/>
                <w:sz w:val="19"/>
              </w:rPr>
              <w:t>session_id (FK), sender, content, cited_sources_json, feedback_rating</w:t>
            </w:r>
          </w:p>
        </w:tc>
        <w:tc>
          <w:tcPr>
            <w:tcW w:type="dxa" w:w="2736"/>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shd w:fill="FFFFFF"/>
          </w:tcPr>
          <w:p>
            <w:pPr>
              <w:spacing w:before="60" w:after="60"/>
            </w:pPr>
            <w:r>
              <w:rPr>
                <w:rFonts w:ascii="Calibri" w:hAnsi="Calibri"/>
                <w:color w:val="1A202C"/>
                <w:sz w:val="19"/>
              </w:rPr>
              <w:t>Streamed conversation turns with source document citations.</w:t>
            </w:r>
          </w:p>
        </w:tc>
      </w:tr>
    </w:tbl>
    <w:p>
      <w:pPr>
        <w:pStyle w:val="Heading3"/>
      </w:pPr>
      <w:r>
        <w:t>Module 7: UniHub Git &amp; Research Showcase Tables</w:t>
      </w:r>
    </w:p>
    <w:p>
      <w:pPr>
        <w:spacing w:after="80"/>
      </w:pPr>
      <w:r>
        <w:t>Engineered by Team 7 for code hosting, papers, and campus activity.</w:t>
      </w:r>
    </w:p>
    <w:tbl>
      <w:tblPr>
        <w:tblW w:type="auto" w:w="0"/>
        <w:jc w:val="center"/>
        <w:tblLook w:firstColumn="1" w:firstRow="1" w:lastColumn="0" w:lastRow="0" w:noHBand="0" w:noVBand="1" w:val="04A0"/>
      </w:tblPr>
      <w:tblGrid>
        <w:gridCol w:w="2340"/>
        <w:gridCol w:w="2340"/>
        <w:gridCol w:w="2340"/>
        <w:gridCol w:w="2340"/>
      </w:tblGrid>
      <w:tr>
        <w:tc>
          <w:tcPr>
            <w:tcW w:type="dxa" w:w="2592"/>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shd w:fill="1F4E79"/>
          </w:tcPr>
          <w:p>
            <w:pPr>
              <w:spacing w:before="80" w:after="80"/>
            </w:pPr>
            <w:r>
              <w:rPr>
                <w:rFonts w:ascii="Calibri" w:hAnsi="Calibri"/>
                <w:b/>
                <w:color w:val="FFFFFF"/>
                <w:sz w:val="20"/>
              </w:rPr>
              <w:t>Table Name</w:t>
            </w:r>
          </w:p>
        </w:tc>
        <w:tc>
          <w:tcPr>
            <w:tcW w:type="dxa" w:w="1584"/>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shd w:fill="1F4E79"/>
          </w:tcPr>
          <w:p>
            <w:pPr>
              <w:spacing w:before="80" w:after="80"/>
            </w:pPr>
            <w:r>
              <w:rPr>
                <w:rFonts w:ascii="Calibri" w:hAnsi="Calibri"/>
                <w:b/>
                <w:color w:val="FFFFFF"/>
                <w:sz w:val="20"/>
              </w:rPr>
              <w:t>Primary Key</w:t>
            </w:r>
          </w:p>
        </w:tc>
        <w:tc>
          <w:tcPr>
            <w:tcW w:type="dxa" w:w="3168"/>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shd w:fill="1F4E79"/>
          </w:tcPr>
          <w:p>
            <w:pPr>
              <w:spacing w:before="80" w:after="80"/>
            </w:pPr>
            <w:r>
              <w:rPr>
                <w:rFonts w:ascii="Calibri" w:hAnsi="Calibri"/>
                <w:b/>
                <w:color w:val="FFFFFF"/>
                <w:sz w:val="20"/>
              </w:rPr>
              <w:t>Key Attributes &amp; Foreign Keys</w:t>
            </w:r>
          </w:p>
        </w:tc>
        <w:tc>
          <w:tcPr>
            <w:tcW w:type="dxa" w:w="2736"/>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shd w:fill="1F4E79"/>
          </w:tcPr>
          <w:p>
            <w:pPr>
              <w:spacing w:before="80" w:after="80"/>
            </w:pPr>
            <w:r>
              <w:rPr>
                <w:rFonts w:ascii="Calibri" w:hAnsi="Calibri"/>
                <w:b/>
                <w:color w:val="FFFFFF"/>
                <w:sz w:val="20"/>
              </w:rPr>
              <w:t>Description</w:t>
            </w:r>
          </w:p>
        </w:tc>
      </w:tr>
      <w:tr>
        <w:tc>
          <w:tcPr>
            <w:tcW w:type="dxa" w:w="2592"/>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shd w:fill="F9FAFB"/>
          </w:tcPr>
          <w:p>
            <w:pPr>
              <w:spacing w:before="60" w:after="60"/>
            </w:pPr>
            <w:r>
              <w:rPr>
                <w:rFonts w:ascii="Calibri" w:hAnsi="Calibri"/>
                <w:color w:val="1A202C"/>
                <w:sz w:val="19"/>
              </w:rPr>
              <w:t>repos_repositories</w:t>
            </w:r>
          </w:p>
        </w:tc>
        <w:tc>
          <w:tcPr>
            <w:tcW w:type="dxa" w:w="1584"/>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shd w:fill="F9FAFB"/>
          </w:tcPr>
          <w:p>
            <w:pPr>
              <w:spacing w:before="60" w:after="60"/>
            </w:pPr>
            <w:r>
              <w:rPr>
                <w:rFonts w:ascii="Calibri" w:hAnsi="Calibri"/>
                <w:color w:val="1A202C"/>
                <w:sz w:val="19"/>
              </w:rPr>
              <w:t>id (UUID)</w:t>
            </w:r>
          </w:p>
        </w:tc>
        <w:tc>
          <w:tcPr>
            <w:tcW w:type="dxa" w:w="3168"/>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shd w:fill="F9FAFB"/>
          </w:tcPr>
          <w:p>
            <w:pPr>
              <w:spacing w:before="60" w:after="60"/>
            </w:pPr>
            <w:r>
              <w:rPr>
                <w:rFonts w:ascii="Calibri" w:hAnsi="Calibri"/>
                <w:color w:val="1A202C"/>
                <w:sz w:val="19"/>
              </w:rPr>
              <w:t>owner_id (FK), name, description, is_private, git_path, stars_count</w:t>
            </w:r>
          </w:p>
        </w:tc>
        <w:tc>
          <w:tcPr>
            <w:tcW w:type="dxa" w:w="2736"/>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shd w:fill="F9FAFB"/>
          </w:tcPr>
          <w:p>
            <w:pPr>
              <w:spacing w:before="60" w:after="60"/>
            </w:pPr>
            <w:r>
              <w:rPr>
                <w:rFonts w:ascii="Calibri" w:hAnsi="Calibri"/>
                <w:color w:val="1A202C"/>
                <w:sz w:val="19"/>
              </w:rPr>
              <w:t>Institutional Git repositories for student and faculty projects.</w:t>
            </w:r>
          </w:p>
        </w:tc>
      </w:tr>
      <w:tr>
        <w:tc>
          <w:tcPr>
            <w:tcW w:type="dxa" w:w="2592"/>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shd w:fill="FFFFFF"/>
          </w:tcPr>
          <w:p>
            <w:pPr>
              <w:spacing w:before="60" w:after="60"/>
            </w:pPr>
            <w:r>
              <w:rPr>
                <w:rFonts w:ascii="Calibri" w:hAnsi="Calibri"/>
                <w:color w:val="1A202C"/>
                <w:sz w:val="19"/>
              </w:rPr>
              <w:t>research_papers</w:t>
            </w:r>
          </w:p>
        </w:tc>
        <w:tc>
          <w:tcPr>
            <w:tcW w:type="dxa" w:w="1584"/>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shd w:fill="FFFFFF"/>
          </w:tcPr>
          <w:p>
            <w:pPr>
              <w:spacing w:before="60" w:after="60"/>
            </w:pPr>
            <w:r>
              <w:rPr>
                <w:rFonts w:ascii="Calibri" w:hAnsi="Calibri"/>
                <w:color w:val="1A202C"/>
                <w:sz w:val="19"/>
              </w:rPr>
              <w:t>id (UUID)</w:t>
            </w:r>
          </w:p>
        </w:tc>
        <w:tc>
          <w:tcPr>
            <w:tcW w:type="dxa" w:w="3168"/>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shd w:fill="FFFFFF"/>
          </w:tcPr>
          <w:p>
            <w:pPr>
              <w:spacing w:before="60" w:after="60"/>
            </w:pPr>
            <w:r>
              <w:rPr>
                <w:rFonts w:ascii="Calibri" w:hAnsi="Calibri"/>
                <w:color w:val="1A202C"/>
                <w:sz w:val="19"/>
              </w:rPr>
              <w:t>author_id (FK), title, abstract, pdf_storage_url, bibtex, doi, peer_status</w:t>
            </w:r>
          </w:p>
        </w:tc>
        <w:tc>
          <w:tcPr>
            <w:tcW w:type="dxa" w:w="2736"/>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shd w:fill="FFFFFF"/>
          </w:tcPr>
          <w:p>
            <w:pPr>
              <w:spacing w:before="60" w:after="60"/>
            </w:pPr>
            <w:r>
              <w:rPr>
                <w:rFonts w:ascii="Calibri" w:hAnsi="Calibri"/>
                <w:color w:val="1A202C"/>
                <w:sz w:val="19"/>
              </w:rPr>
              <w:t>Academic research manuscript archive with citation generation.</w:t>
            </w:r>
          </w:p>
        </w:tc>
      </w:tr>
      <w:tr>
        <w:tc>
          <w:tcPr>
            <w:tcW w:type="dxa" w:w="2592"/>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shd w:fill="F9FAFB"/>
          </w:tcPr>
          <w:p>
            <w:pPr>
              <w:spacing w:before="60" w:after="60"/>
            </w:pPr>
            <w:r>
              <w:rPr>
                <w:rFonts w:ascii="Calibri" w:hAnsi="Calibri"/>
                <w:color w:val="1A202C"/>
                <w:sz w:val="19"/>
              </w:rPr>
              <w:t>campus_activity_feed</w:t>
            </w:r>
          </w:p>
        </w:tc>
        <w:tc>
          <w:tcPr>
            <w:tcW w:type="dxa" w:w="1584"/>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shd w:fill="F9FAFB"/>
          </w:tcPr>
          <w:p>
            <w:pPr>
              <w:spacing w:before="60" w:after="60"/>
            </w:pPr>
            <w:r>
              <w:rPr>
                <w:rFonts w:ascii="Calibri" w:hAnsi="Calibri"/>
                <w:color w:val="1A202C"/>
                <w:sz w:val="19"/>
              </w:rPr>
              <w:t>id (UUID)</w:t>
            </w:r>
          </w:p>
        </w:tc>
        <w:tc>
          <w:tcPr>
            <w:tcW w:type="dxa" w:w="3168"/>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shd w:fill="F9FAFB"/>
          </w:tcPr>
          <w:p>
            <w:pPr>
              <w:spacing w:before="60" w:after="60"/>
            </w:pPr>
            <w:r>
              <w:rPr>
                <w:rFonts w:ascii="Calibri" w:hAnsi="Calibri"/>
                <w:color w:val="1A202C"/>
                <w:sz w:val="19"/>
              </w:rPr>
              <w:t>actor_id (FK), event_type, entity_id, entity_type, summary_text, timestamp</w:t>
            </w:r>
          </w:p>
        </w:tc>
        <w:tc>
          <w:tcPr>
            <w:tcW w:type="dxa" w:w="2736"/>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shd w:fill="F9FAFB"/>
          </w:tcPr>
          <w:p>
            <w:pPr>
              <w:spacing w:before="60" w:after="60"/>
            </w:pPr>
            <w:r>
              <w:rPr>
                <w:rFonts w:ascii="Calibri" w:hAnsi="Calibri"/>
                <w:color w:val="1A202C"/>
                <w:sz w:val="19"/>
              </w:rPr>
              <w:t>Live dynamic university feed of commits, papers, and achievements.</w:t>
            </w:r>
          </w:p>
        </w:tc>
      </w:tr>
    </w:tbl>
    <w:p>
      <w:r>
        <w:br w:type="page"/>
      </w:r>
    </w:p>
    <w:p>
      <w:pPr>
        <w:pStyle w:val="Heading1"/>
      </w:pPr>
      <w:r>
        <w:rPr>
          <w:color w:val="1F4E79"/>
        </w:rPr>
        <w:t>4. Comprehensive API Documentation</w:t>
      </w:r>
    </w:p>
    <w:p>
      <w:pPr>
        <w:pStyle w:val="Heading2"/>
      </w:pPr>
      <w:r>
        <w:t>Module 2: Smart Student Attendance &amp; Exam Eligibility Gate</w:t>
      </w:r>
    </w:p>
    <w:p>
      <w:pPr>
        <w:pStyle w:val="Heading3"/>
      </w:pPr>
      <w:r>
        <w:t>POST /api/v1/attendance/session/start-qr</w:t>
      </w:r>
    </w:p>
    <w:p>
      <w:r>
        <w:t>Faculty initializes rotating QR session; generates 5-second rotating cryptographic HMAC tokens.</w:t>
      </w:r>
    </w:p>
    <w:p>
      <w:r>
        <w:rPr>
          <w:b/>
        </w:rPr>
        <w:t>Request:</w:t>
      </w:r>
    </w:p>
    <w:p>
      <w:r>
        <w:rPr>
          <w:rFonts w:ascii="Consolas" w:hAnsi="Consolas"/>
          <w:color w:val="2C5282"/>
          <w:sz w:val="17"/>
        </w:rPr>
        <w:t>{</w:t>
        <w:br/>
        <w:t xml:space="preserve">  "courseId": "018dc5b2-3f11-7000-8000-000000000010",</w:t>
        <w:br/>
        <w:t xml:space="preserve">  "roomPolygon": [[13.1234, 77.5678], [13.1235, 77.5679], ...],</w:t>
        <w:br/>
        <w:t xml:space="preserve">  "bleBeaconUuid": "e2c56db5-dffb-48d2-b060-d0f5a71096e0"</w:t>
        <w:br/>
        <w:t>}</w:t>
      </w:r>
    </w:p>
    <w:p>
      <w:r>
        <w:rPr>
          <w:b/>
        </w:rPr>
        <w:t>Response:</w:t>
      </w:r>
    </w:p>
    <w:p>
      <w:r>
        <w:rPr>
          <w:rFonts w:ascii="Consolas" w:hAnsi="Consolas"/>
          <w:color w:val="22543D"/>
          <w:sz w:val="17"/>
        </w:rPr>
        <w:t>{</w:t>
        <w:br/>
        <w:t xml:space="preserve">  "sessionId": "018dc5b2-3f22-7000-8000-000000000020",</w:t>
        <w:br/>
        <w:t xml:space="preserve">  "initialQrToken": "hmac_sha256_9f83...",</w:t>
        <w:br/>
        <w:t xml:space="preserve">  "refreshIntervalSec": 5</w:t>
        <w:br/>
        <w:t>}</w:t>
      </w:r>
    </w:p>
    <w:p>
      <w:pPr>
        <w:pStyle w:val="Heading3"/>
      </w:pPr>
      <w:r>
        <w:t>POST /api/v1/attendance/checkin</w:t>
      </w:r>
    </w:p>
    <w:p>
      <w:r>
        <w:t>Student mobile app submits scanned QR token with device GPS coordinates and BLE beacon proof.</w:t>
      </w:r>
    </w:p>
    <w:p>
      <w:r>
        <w:rPr>
          <w:b/>
        </w:rPr>
        <w:t>Request:</w:t>
      </w:r>
    </w:p>
    <w:p>
      <w:r>
        <w:rPr>
          <w:rFonts w:ascii="Consolas" w:hAnsi="Consolas"/>
          <w:color w:val="2C5282"/>
          <w:sz w:val="17"/>
        </w:rPr>
        <w:t>{</w:t>
        <w:br/>
        <w:t xml:space="preserve">  "sessionId": "018dc5b2-3f22-7000-8000-000000000020",</w:t>
        <w:br/>
        <w:t xml:space="preserve">  "qrToken": "hmac_sha256_9f83...",</w:t>
        <w:br/>
        <w:t xml:space="preserve">  "latitude": 13.12342,</w:t>
        <w:br/>
        <w:t xml:space="preserve">  "longitude": 77.56784,</w:t>
        <w:br/>
        <w:t xml:space="preserve">  "bleDetected": true</w:t>
        <w:br/>
        <w:t>}</w:t>
      </w:r>
    </w:p>
    <w:p>
      <w:r>
        <w:rPr>
          <w:b/>
        </w:rPr>
        <w:t>Response:</w:t>
      </w:r>
    </w:p>
    <w:p>
      <w:r>
        <w:rPr>
          <w:rFonts w:ascii="Consolas" w:hAnsi="Consolas"/>
          <w:color w:val="22543D"/>
          <w:sz w:val="17"/>
        </w:rPr>
        <w:t>{</w:t>
        <w:br/>
        <w:t xml:space="preserve">  "status": "VERIFIED",</w:t>
        <w:br/>
        <w:t xml:space="preserve">  "attendancePercentage": 84.5,</w:t>
        <w:br/>
        <w:t xml:space="preserve">  "examEligibility": "ELIGIBLE"</w:t>
        <w:br/>
        <w:t>}</w:t>
      </w:r>
    </w:p>
    <w:p>
      <w:pPr>
        <w:pStyle w:val="Heading3"/>
      </w:pPr>
      <w:r>
        <w:t>GET /api/v1/attendance/eligibility/:studentId/:courseId</w:t>
      </w:r>
    </w:p>
    <w:p>
      <w:r>
        <w:t>Invoked by Exam Engine (Module 3) to gate test access against the statutory 75% attendance rule.</w:t>
      </w:r>
    </w:p>
    <w:p>
      <w:r>
        <w:rPr>
          <w:b/>
        </w:rPr>
        <w:t>Request:</w:t>
      </w:r>
    </w:p>
    <w:p>
      <w:r>
        <w:rPr>
          <w:rFonts w:ascii="Consolas" w:hAnsi="Consolas"/>
          <w:color w:val="2C5282"/>
          <w:sz w:val="17"/>
        </w:rPr>
        <w:t>Header: Authorization: Bearer &lt;GATEWAY_INTERNAL_KEY&gt;</w:t>
      </w:r>
    </w:p>
    <w:p>
      <w:r>
        <w:rPr>
          <w:b/>
        </w:rPr>
        <w:t>Response:</w:t>
      </w:r>
    </w:p>
    <w:p>
      <w:r>
        <w:rPr>
          <w:rFonts w:ascii="Consolas" w:hAnsi="Consolas"/>
          <w:color w:val="22543D"/>
          <w:sz w:val="17"/>
        </w:rPr>
        <w:t>{</w:t>
        <w:br/>
        <w:t xml:space="preserve">  "studentId": "018dc5b2-3f00-7000-8000-000000000001",</w:t>
        <w:br/>
        <w:t xml:space="preserve">  "courseId": "018dc5b2-3f11-7000-8000-000000000010",</w:t>
        <w:br/>
        <w:t xml:space="preserve">  "totalClasses": 40,</w:t>
        <w:br/>
        <w:t xml:space="preserve">  "attendedClasses": 32,</w:t>
        <w:br/>
        <w:t xml:space="preserve">  "condonationsApproved": 2,</w:t>
        <w:br/>
        <w:t xml:space="preserve">  "effectivePercentage": 85.0,</w:t>
        <w:br/>
        <w:t xml:space="preserve">  "examHallTicketIssued": true</w:t>
        <w:br/>
        <w:t>}</w:t>
      </w:r>
    </w:p>
    <w:p>
      <w:pPr>
        <w:pStyle w:val="Heading2"/>
      </w:pPr>
      <w:r>
        <w:t>Module 5: AI-Powered Online Presentation &amp; Virtual Viva Platform</w:t>
      </w:r>
    </w:p>
    <w:p>
      <w:pPr>
        <w:pStyle w:val="Heading3"/>
      </w:pPr>
      <w:r>
        <w:t>POST /api/v1/presentation/session/create</w:t>
      </w:r>
    </w:p>
    <w:p>
      <w:r>
        <w:t>Initializes live WebRTC virtual presentation room and uploads presentation slide deck (PDF/PPTX).</w:t>
      </w:r>
    </w:p>
    <w:p>
      <w:r>
        <w:rPr>
          <w:b/>
        </w:rPr>
        <w:t>Request:</w:t>
      </w:r>
    </w:p>
    <w:p>
      <w:r>
        <w:rPr>
          <w:rFonts w:ascii="Consolas" w:hAnsi="Consolas"/>
          <w:color w:val="2C5282"/>
          <w:sz w:val="17"/>
        </w:rPr>
        <w:t>Form-Data:</w:t>
        <w:br/>
        <w:t xml:space="preserve">  title: 'Autonomous Drone Navigation Capstone Defense'</w:t>
        <w:br/>
        <w:t xml:space="preserve">  courseId: 'CS499'</w:t>
        <w:br/>
        <w:t xml:space="preserve">  slideDeck: [binary file upload: capstone_slides.pdf]</w:t>
      </w:r>
    </w:p>
    <w:p>
      <w:r>
        <w:rPr>
          <w:b/>
        </w:rPr>
        <w:t>Response:</w:t>
      </w:r>
    </w:p>
    <w:p>
      <w:r>
        <w:rPr>
          <w:rFonts w:ascii="Consolas" w:hAnsi="Consolas"/>
          <w:color w:val="22543D"/>
          <w:sz w:val="17"/>
        </w:rPr>
        <w:t>{</w:t>
        <w:br/>
        <w:t xml:space="preserve">  "sessionId": "018dc5b2-3f55-7000-8000-000000000050",</w:t>
        <w:br/>
        <w:t xml:space="preserve">  "webrtcRoomUrl": "wss://live.unisphere.edu/room/capstone-499",</w:t>
        <w:br/>
        <w:t xml:space="preserve">  "totalSlidesParsed": 24,</w:t>
        <w:br/>
        <w:t xml:space="preserve">  "status": "ROOM_READY"</w:t>
        <w:br/>
        <w:t>}</w:t>
      </w:r>
    </w:p>
    <w:p>
      <w:pPr>
        <w:pStyle w:val="Heading3"/>
      </w:pPr>
      <w:r>
        <w:t>POST /api/v1/presentation/:id/ai-evaluate</w:t>
      </w:r>
    </w:p>
    <w:p>
      <w:r>
        <w:t>Triggers multi-modal AI evaluation on completed audio, video stream, and synchronized slide progression.</w:t>
      </w:r>
    </w:p>
    <w:p>
      <w:r>
        <w:rPr>
          <w:b/>
        </w:rPr>
        <w:t>Request:</w:t>
      </w:r>
    </w:p>
    <w:p>
      <w:r>
        <w:rPr>
          <w:rFonts w:ascii="Consolas" w:hAnsi="Consolas"/>
          <w:color w:val="2C5282"/>
          <w:sz w:val="17"/>
        </w:rPr>
        <w:t>{</w:t>
        <w:br/>
        <w:t xml:space="preserve">  "sessionId": "018dc5b2-3f55-7000-8000-000000000050",</w:t>
        <w:br/>
        <w:t xml:space="preserve">  "includeVivaQa": true</w:t>
        <w:br/>
        <w:t>}</w:t>
      </w:r>
    </w:p>
    <w:p>
      <w:r>
        <w:rPr>
          <w:b/>
        </w:rPr>
        <w:t>Response:</w:t>
      </w:r>
    </w:p>
    <w:p>
      <w:r>
        <w:rPr>
          <w:rFonts w:ascii="Consolas" w:hAnsi="Consolas"/>
          <w:color w:val="22543D"/>
          <w:sz w:val="17"/>
        </w:rPr>
        <w:t>{</w:t>
        <w:br/>
        <w:t xml:space="preserve">  "evaluationDossier": {</w:t>
        <w:br/>
        <w:t xml:space="preserve">    "speechPaceWpm": 138,</w:t>
        <w:br/>
        <w:t xml:space="preserve">    "fillerWordCount": 6,</w:t>
        <w:br/>
        <w:t xml:space="preserve">    "fillerWordsList": ["um: 4", "like: 2"],</w:t>
        <w:br/>
        <w:t xml:space="preserve">    "eyeContactPercentage": 88.2,</w:t>
        <w:br/>
        <w:t xml:space="preserve">    "slideSemanticMatchScore": 91.5,</w:t>
        <w:br/>
        <w:t xml:space="preserve">    "vivaQuestions": [</w:t>
        <w:br/>
        <w:t xml:space="preserve">      {"q": "How does your SLAM algorithm handle dynamic obstacles in GPS-denied environments?", "confidence": 0.96}</w:t>
        <w:br/>
        <w:t xml:space="preserve">    ],</w:t>
        <w:br/>
        <w:t xml:space="preserve">    "compositeRubricScore": 89.0,</w:t>
        <w:br/>
        <w:t xml:space="preserve">    "pdfDossierUrl": "https://storage.unisphere.edu/dossiers/018dc5b2.pdf"</w:t>
        <w:br/>
        <w:t xml:space="preserve">  }</w:t>
        <w:br/>
        <w:t>}</w:t>
      </w:r>
    </w:p>
    <w:p>
      <w:r>
        <w:br w:type="page"/>
      </w:r>
    </w:p>
    <w:p>
      <w:pPr>
        <w:pStyle w:val="Heading1"/>
      </w:pPr>
      <w:r>
        <w:rPr>
          <w:color w:val="1F4E79"/>
        </w:rPr>
        <w:t>5. Cybersecurity Audit &amp; Defensive Hardening Framework</w:t>
      </w:r>
    </w:p>
    <w:p>
      <w:pPr>
        <w:pStyle w:val="Heading2"/>
      </w:pPr>
      <w:r>
        <w:t>5.1 Attendance Anti-Spoofing &amp; Proxy Mitigation Controls</w:t>
      </w:r>
    </w:p>
    <w:p>
      <w:pPr>
        <w:spacing w:after="40"/>
      </w:pPr>
      <w:r>
        <w:t>1. Dynamic Rotating QR Nonces: The classroom projector displays a QR code containing an HMAC-SHA256 signature hashed with a secret key and timestamp. The QR expires in 5 seconds. Screenshots sent via WhatsApp to absent friends fail signature expiration upon scanning.</w:t>
      </w:r>
    </w:p>
    <w:p>
      <w:pPr>
        <w:spacing w:after="40"/>
      </w:pPr>
      <w:r>
        <w:t>2. Multi-Polygon Geofence Validation: Student check-in coordinates are verified against the specific classroom's polygon perimeter. Mock GPS locations are detected by inspecting Android/iOS Location Provider APIs (`isFromMockProvider` flag) and network latency triangulation.</w:t>
      </w:r>
    </w:p>
    <w:p>
      <w:pPr>
        <w:spacing w:after="40"/>
      </w:pPr>
      <w:r>
        <w:t>3. Ambient BLE Beacon Handshake: The mobile app must detect the classroom's physical Bluetooth Low Energy (BLE) beacon UUID to prevent spoofing from outside the building.</w:t>
      </w:r>
    </w:p>
    <w:p>
      <w:pPr>
        <w:spacing w:after="40"/>
      </w:pPr>
      <w:r>
        <w:t>4. Face Liveness Detection: Facial check-in uses MediaPipe iris tracking and natural blink detection to block 2D photo prints or pre-recorded video playback.</w:t>
      </w:r>
    </w:p>
    <w:p>
      <w:pPr>
        <w:pStyle w:val="Heading2"/>
      </w:pPr>
      <w:r>
        <w:t>5.2 WebRTC Presentation &amp; Media Stream Protection</w:t>
      </w:r>
    </w:p>
    <w:p>
      <w:pPr>
        <w:spacing w:after="40"/>
      </w:pPr>
      <w:r>
        <w:t>1. End-to-End Encryption: WebRTC media streams are encrypted using DTLS (Datagram Transport Layer Security) and SRTP (Secure Real-time Transport Protocol).</w:t>
      </w:r>
    </w:p>
    <w:p>
      <w:pPr>
        <w:spacing w:after="40"/>
      </w:pPr>
      <w:r>
        <w:t>2. Watermarked Slides: Slide renders feature dynamic viewer watermarks (student name and ID) to prevent unauthorized redistribution of proprietary capstone intellectual property.</w:t>
      </w:r>
    </w:p>
    <w:p>
      <w:pPr>
        <w:spacing w:after="40"/>
      </w:pPr>
      <w:r>
        <w:t>3. Ephemeral Audio Processing: Student audio streams routed to the Whisper speech-to-text model are processed in RAM and purged immediately after transcript generation, complying with GDPR/FERPA privacy regulations.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D374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