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30"/>
        </w:rPr>
        <w:t>STANDARD INDEPENDENT CONTRACTOR AGREEMENT (BASE DRAFT)</w:t>
      </w:r>
    </w:p>
    <w:p>
      <w:pPr>
        <w:jc w:val="center"/>
      </w:pPr>
      <w:r>
        <w:rPr>
          <w:i/>
          <w:color w:val="64748B"/>
          <w:sz w:val="19"/>
        </w:rPr>
        <w:t>Base Contract — Balanced Standard Terms for Compare Testing</w:t>
      </w:r>
    </w:p>
    <w:p/>
    <w:p>
      <w:r>
        <w:rPr>
          <w:b/>
          <w:color w:val="163A59"/>
          <w:sz w:val="23"/>
        </w:rPr>
        <w:t>1. SCOPE OF SERVICES</w:t>
      </w:r>
    </w:p>
    <w:p>
      <w:pPr>
        <w:spacing w:after="240"/>
      </w:pPr>
      <w:r>
        <w:rPr>
          <w:color w:val="17202A"/>
          <w:sz w:val="20"/>
        </w:rPr>
        <w:t>Contractor agrees to provide custom software engineering and technical architecture consulting as set forth in mutually executed Statements of Work ('SOW').</w:t>
      </w:r>
    </w:p>
    <w:p>
      <w:r>
        <w:rPr>
          <w:b/>
          <w:color w:val="163A59"/>
          <w:sz w:val="23"/>
        </w:rPr>
        <w:t>2. PAYMENT &amp; INVOICING TERMS</w:t>
      </w:r>
    </w:p>
    <w:p>
      <w:pPr>
        <w:spacing w:after="240"/>
      </w:pPr>
      <w:r>
        <w:rPr>
          <w:color w:val="17202A"/>
          <w:sz w:val="20"/>
        </w:rPr>
        <w:t>Company shall pay Contractor at the rate of $100 per hour. Invoices shall be submitted bi-weekly and paid within thirty (30) days of invoice date.</w:t>
      </w:r>
    </w:p>
    <w:p>
      <w:r>
        <w:rPr>
          <w:b/>
          <w:color w:val="163A59"/>
          <w:sz w:val="23"/>
        </w:rPr>
        <w:t>3. INTELLECTUAL PROPERTY ASSIGNMENT</w:t>
      </w:r>
    </w:p>
    <w:p>
      <w:pPr>
        <w:spacing w:after="240"/>
      </w:pPr>
      <w:r>
        <w:rPr>
          <w:color w:val="17202A"/>
          <w:sz w:val="20"/>
        </w:rPr>
        <w:t>Upon receipt of full payment of all applicable fees, Contractor assigns to Company all right, title, and interest in custom deliverables created under this Agreement.</w:t>
      </w:r>
    </w:p>
    <w:p>
      <w:r>
        <w:rPr>
          <w:b/>
          <w:color w:val="163A59"/>
          <w:sz w:val="23"/>
        </w:rPr>
        <w:t>4. BALANCED LIMITATION OF LIABILITY</w:t>
      </w:r>
    </w:p>
    <w:p>
      <w:pPr>
        <w:spacing w:after="240"/>
      </w:pPr>
      <w:r>
        <w:rPr>
          <w:color w:val="17202A"/>
          <w:sz w:val="20"/>
        </w:rPr>
        <w:t>Neither party's total aggregate liability under this Agreement shall exceed the total fees paid or payable in the twelve (12) months preceding the claim.</w:t>
      </w:r>
    </w:p>
    <w:p>
      <w:r>
        <w:rPr>
          <w:b/>
          <w:color w:val="163A59"/>
          <w:sz w:val="23"/>
        </w:rPr>
        <w:t>5. TERMINATION &amp; NOTICE</w:t>
      </w:r>
    </w:p>
    <w:p>
      <w:pPr>
        <w:spacing w:after="240"/>
      </w:pPr>
      <w:r>
        <w:rPr>
          <w:color w:val="17202A"/>
          <w:sz w:val="20"/>
        </w:rPr>
        <w:t>Either party may terminate this Agreement or any SOW for convenience upon thirty (30) days' prior written notice to the other party.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