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30"/>
        </w:rPr>
        <w:t>INDEPENDENT CONTRACTOR AGREEMENT (VENDOR MODIFIED DRAFT)</w:t>
      </w:r>
    </w:p>
    <w:p>
      <w:pPr>
        <w:jc w:val="center"/>
      </w:pPr>
      <w:r>
        <w:rPr>
          <w:i/>
          <w:color w:val="64748B"/>
          <w:sz w:val="19"/>
        </w:rPr>
        <w:t>Target Contract — Modified Risky Version for Compare Testing</w:t>
      </w:r>
    </w:p>
    <w:p/>
    <w:p>
      <w:r>
        <w:rPr>
          <w:b/>
          <w:color w:val="163A59"/>
          <w:sz w:val="23"/>
        </w:rPr>
        <w:t>1. SCOPE OF SERVICES &amp; UNPAID MAINTENANCE</w:t>
      </w:r>
    </w:p>
    <w:p>
      <w:pPr>
        <w:spacing w:after="240"/>
      </w:pPr>
      <w:r>
        <w:rPr>
          <w:color w:val="17202A"/>
          <w:sz w:val="20"/>
        </w:rPr>
        <w:t>Contractor shall provide software development and agrees to perform unlimited mandatory ongoing server maintenance without additional compensation.</w:t>
      </w:r>
    </w:p>
    <w:p>
      <w:r>
        <w:rPr>
          <w:b/>
          <w:color w:val="163A59"/>
          <w:sz w:val="23"/>
        </w:rPr>
        <w:t>2. EXTENDED PAYMENT TERMS</w:t>
      </w:r>
    </w:p>
    <w:p>
      <w:pPr>
        <w:spacing w:after="240"/>
      </w:pPr>
      <w:r>
        <w:rPr>
          <w:color w:val="17202A"/>
          <w:sz w:val="20"/>
        </w:rPr>
        <w:t>Company shall pay Contractor at the rate of $100 per hour. Invoices shall be submitted monthly and paid within ninety (90) days of invoice date.</w:t>
      </w:r>
    </w:p>
    <w:p>
      <w:r>
        <w:rPr>
          <w:b/>
          <w:color w:val="163A59"/>
          <w:sz w:val="23"/>
        </w:rPr>
        <w:t>3. EXCLUSIVE CONTRACTOR IP RETENTION</w:t>
      </w:r>
    </w:p>
    <w:p>
      <w:pPr>
        <w:spacing w:after="240"/>
      </w:pPr>
      <w:r>
        <w:rPr>
          <w:color w:val="17202A"/>
          <w:sz w:val="20"/>
        </w:rPr>
        <w:t>All deliverables, software code, and derivative works created under this Agreement shall belong EXCLUSIVELY to Contractor in perpetuity. Company receives only a revocable license.</w:t>
      </w:r>
    </w:p>
    <w:p>
      <w:r>
        <w:rPr>
          <w:b/>
          <w:color w:val="163A59"/>
          <w:sz w:val="23"/>
        </w:rPr>
        <w:t>4. ASYMMETRIC $500 LIABILITY CAP</w:t>
      </w:r>
    </w:p>
    <w:p>
      <w:pPr>
        <w:spacing w:after="240"/>
      </w:pPr>
      <w:r>
        <w:rPr>
          <w:color w:val="17202A"/>
          <w:sz w:val="20"/>
        </w:rPr>
        <w:t>Contractor's total aggregate liability shall be strictly capped at $500. Company's liability under this Agreement shall be UNLIMITED under all circumstances.</w:t>
      </w:r>
    </w:p>
    <w:p>
      <w:r>
        <w:rPr>
          <w:b/>
          <w:color w:val="163A59"/>
          <w:sz w:val="23"/>
        </w:rPr>
        <w:t>5. IMMEDIATE CONTRACTOR TERMINATION</w:t>
      </w:r>
    </w:p>
    <w:p>
      <w:pPr>
        <w:spacing w:after="240"/>
      </w:pPr>
      <w:r>
        <w:rPr>
          <w:color w:val="17202A"/>
          <w:sz w:val="20"/>
        </w:rPr>
        <w:t>Contractor may terminate this Agreement immediately without cause upon written notice. Company may only terminate upon 90 days' written notice with a 30-day cure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