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178C8C"/>
          <w:sz w:val="21"/>
        </w:rPr>
        <w:t>INFORME FINAL CONSOLIDADO · CORTE 26 DE JULIO DE 2026</w:t>
      </w:r>
    </w:p>
    <w:p>
      <w:pPr>
        <w:spacing w:after="200"/>
        <w:jc w:val="center"/>
      </w:pPr>
      <w:r>
        <w:rPr>
          <w:rFonts w:ascii="Calibri" w:hAnsi="Calibri"/>
          <w:b/>
          <w:color w:val="0B2545"/>
          <w:sz w:val="60"/>
        </w:rPr>
        <w:t>SG_SAUL_CATASTRO</w:t>
      </w:r>
    </w:p>
    <w:p>
      <w:pPr>
        <w:spacing w:after="240"/>
        <w:jc w:val="center"/>
      </w:pPr>
      <w:r>
        <w:rPr>
          <w:rFonts w:ascii="Calibri" w:hAnsi="Calibri"/>
          <w:color w:val="2E74B5"/>
          <w:sz w:val="30"/>
        </w:rPr>
        <w:t>Estado, revisión comparativa, recomendaciones y ruta hasta la operación municipal completa</w:t>
      </w:r>
    </w:p>
    <w:p>
      <w:pPr>
        <w:jc w:val="center"/>
      </w:pPr>
      <w:r>
        <w:rPr>
          <w:rFonts w:ascii="Calibri" w:hAnsi="Calibri"/>
          <w:i/>
          <w:color w:val="5F6B7A"/>
          <w:sz w:val="22"/>
        </w:rPr>
        <w:t>Síntesis revisada de los informes Codex y Claude, contrastada contra evidencia actual del repositorio</w:t>
      </w:r>
    </w:p>
    <w:p/>
    <w:p/>
    <w:p/>
    <w:p/>
    <w:tbl>
      <w:tblPr>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F2F4F7"/>
            <w:tcMar>
              <w:top w:w="80" w:type="dxa"/>
              <w:start w:w="120" w:type="dxa"/>
              <w:bottom w:w="80" w:type="dxa"/>
              <w:end w:w="120" w:type="dxa"/>
            </w:tcMar>
            <w:vAlign w:val="center"/>
          </w:tcPr>
          <w:p>
            <w:r>
              <w:rPr>
                <w:rFonts w:ascii="Calibri" w:hAnsi="Calibri"/>
                <w:b/>
                <w:color w:val="0B2545"/>
                <w:sz w:val="19"/>
              </w:rPr>
              <w:t>Repositorio</w:t>
            </w:r>
          </w:p>
        </w:tc>
        <w:tc>
          <w:tcPr>
            <w:tcW w:type="dxa" w:w="6960"/>
            <w:tcMar>
              <w:top w:w="80" w:type="dxa"/>
              <w:start w:w="120" w:type="dxa"/>
              <w:bottom w:w="80" w:type="dxa"/>
              <w:end w:w="120" w:type="dxa"/>
            </w:tcMar>
            <w:vAlign w:val="center"/>
          </w:tcPr>
          <w:p>
            <w:r>
              <w:rPr>
                <w:rFonts w:ascii="Calibri" w:hAnsi="Calibri"/>
                <w:color w:val="1F2937"/>
                <w:sz w:val="19"/>
              </w:rPr>
              <w:t>SG_SAUL_CATASTRO</w:t>
            </w:r>
          </w:p>
        </w:tc>
      </w:tr>
      <w:tr>
        <w:tc>
          <w:tcPr>
            <w:tcW w:type="dxa" w:w="2400"/>
            <w:shd w:fill="F2F4F7"/>
            <w:tcMar>
              <w:top w:w="80" w:type="dxa"/>
              <w:start w:w="120" w:type="dxa"/>
              <w:bottom w:w="80" w:type="dxa"/>
              <w:end w:w="120" w:type="dxa"/>
            </w:tcMar>
            <w:vAlign w:val="center"/>
          </w:tcPr>
          <w:p>
            <w:r>
              <w:rPr>
                <w:rFonts w:ascii="Calibri" w:hAnsi="Calibri"/>
                <w:b/>
                <w:color w:val="0B2545"/>
                <w:sz w:val="19"/>
              </w:rPr>
              <w:t>Rama y evidencia</w:t>
            </w:r>
          </w:p>
        </w:tc>
        <w:tc>
          <w:tcPr>
            <w:tcW w:type="dxa" w:w="6960"/>
            <w:tcMar>
              <w:top w:w="80" w:type="dxa"/>
              <w:start w:w="120" w:type="dxa"/>
              <w:bottom w:w="80" w:type="dxa"/>
              <w:end w:w="120" w:type="dxa"/>
            </w:tcMar>
            <w:vAlign w:val="center"/>
          </w:tcPr>
          <w:p>
            <w:r>
              <w:rPr>
                <w:rFonts w:ascii="Calibri" w:hAnsi="Calibri"/>
                <w:color w:val="1F2937"/>
                <w:sz w:val="19"/>
              </w:rPr>
              <w:t>develop · d4b2d12 · origin/develop</w:t>
            </w:r>
          </w:p>
        </w:tc>
      </w:tr>
      <w:tr>
        <w:tc>
          <w:tcPr>
            <w:tcW w:type="dxa" w:w="2400"/>
            <w:shd w:fill="F2F4F7"/>
            <w:tcMar>
              <w:top w:w="80" w:type="dxa"/>
              <w:start w:w="120" w:type="dxa"/>
              <w:bottom w:w="80" w:type="dxa"/>
              <w:end w:w="120" w:type="dxa"/>
            </w:tcMar>
            <w:vAlign w:val="center"/>
          </w:tcPr>
          <w:p>
            <w:r>
              <w:rPr>
                <w:rFonts w:ascii="Calibri" w:hAnsi="Calibri"/>
                <w:b/>
                <w:color w:val="0B2545"/>
                <w:sz w:val="19"/>
              </w:rPr>
              <w:t>Cobertura</w:t>
            </w:r>
          </w:p>
        </w:tc>
        <w:tc>
          <w:tcPr>
            <w:tcW w:type="dxa" w:w="6960"/>
            <w:tcMar>
              <w:top w:w="80" w:type="dxa"/>
              <w:start w:w="120" w:type="dxa"/>
              <w:bottom w:w="80" w:type="dxa"/>
              <w:end w:w="120" w:type="dxa"/>
            </w:tcMar>
            <w:vAlign w:val="center"/>
          </w:tcPr>
          <w:p>
            <w:r>
              <w:rPr>
                <w:rFonts w:ascii="Calibri" w:hAnsi="Calibri"/>
                <w:color w:val="1F2937"/>
                <w:sz w:val="19"/>
              </w:rPr>
              <w:t>171 commits · 8 tags · 51 ADR · 15 migraciones</w:t>
            </w:r>
          </w:p>
        </w:tc>
      </w:tr>
      <w:tr>
        <w:tc>
          <w:tcPr>
            <w:tcW w:type="dxa" w:w="2400"/>
            <w:shd w:fill="F2F4F7"/>
            <w:tcMar>
              <w:top w:w="80" w:type="dxa"/>
              <w:start w:w="120" w:type="dxa"/>
              <w:bottom w:w="80" w:type="dxa"/>
              <w:end w:w="120" w:type="dxa"/>
            </w:tcMar>
            <w:vAlign w:val="center"/>
          </w:tcPr>
          <w:p>
            <w:r>
              <w:rPr>
                <w:rFonts w:ascii="Calibri" w:hAnsi="Calibri"/>
                <w:b/>
                <w:color w:val="0B2545"/>
                <w:sz w:val="19"/>
              </w:rPr>
              <w:t>Responsable</w:t>
            </w:r>
          </w:p>
        </w:tc>
        <w:tc>
          <w:tcPr>
            <w:tcW w:type="dxa" w:w="6960"/>
            <w:tcMar>
              <w:top w:w="80" w:type="dxa"/>
              <w:start w:w="120" w:type="dxa"/>
              <w:bottom w:w="80" w:type="dxa"/>
              <w:end w:w="120" w:type="dxa"/>
            </w:tcMar>
            <w:vAlign w:val="center"/>
          </w:tcPr>
          <w:p>
            <w:r>
              <w:rPr>
                <w:rFonts w:ascii="Calibri" w:hAnsi="Calibri"/>
                <w:color w:val="1F2937"/>
                <w:sz w:val="19"/>
              </w:rPr>
              <w:t>Saul Gutierrez · mantenedor único</w:t>
            </w:r>
          </w:p>
        </w:tc>
      </w:tr>
    </w:tbl>
    <w:p>
      <w:r>
        <w:br w:type="page"/>
      </w:r>
    </w:p>
    <w:p>
      <w:pPr>
        <w:pStyle w:val="Heading1"/>
      </w:pPr>
      <w:r>
        <w:t>Control documental</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val="true"/>
        </w:trPr>
        <w:tc>
          <w:tcPr>
            <w:tcW w:type="dxa" w:w="2200"/>
            <w:shd w:fill="F2F4F7"/>
            <w:tcMar>
              <w:top w:w="80" w:type="dxa"/>
              <w:start w:w="120" w:type="dxa"/>
              <w:bottom w:w="80" w:type="dxa"/>
              <w:end w:w="120" w:type="dxa"/>
            </w:tcMar>
            <w:vAlign w:val="center"/>
          </w:tcPr>
          <w:p>
            <w:pPr>
              <w:jc w:val="center"/>
            </w:pPr>
            <w:r>
              <w:rPr>
                <w:rFonts w:ascii="Calibri" w:hAnsi="Calibri"/>
                <w:b/>
                <w:color w:val="0B2545"/>
                <w:sz w:val="18"/>
              </w:rPr>
              <w:t>Campo</w:t>
            </w:r>
          </w:p>
        </w:tc>
        <w:tc>
          <w:tcPr>
            <w:tcW w:type="dxa" w:w="7160"/>
            <w:shd w:fill="F2F4F7"/>
            <w:tcMar>
              <w:top w:w="80" w:type="dxa"/>
              <w:start w:w="120" w:type="dxa"/>
              <w:bottom w:w="80" w:type="dxa"/>
              <w:end w:w="120" w:type="dxa"/>
            </w:tcMar>
            <w:vAlign w:val="center"/>
          </w:tcPr>
          <w:p>
            <w:pPr>
              <w:jc w:val="center"/>
            </w:pPr>
            <w:r>
              <w:rPr>
                <w:rFonts w:ascii="Calibri" w:hAnsi="Calibri"/>
                <w:b/>
                <w:color w:val="0B2545"/>
                <w:sz w:val="18"/>
              </w:rPr>
              <w:t>Valor</w:t>
            </w:r>
          </w:p>
        </w:tc>
      </w:tr>
      <w:tr>
        <w:trPr>
          <w:cantSplit w:val="true"/>
        </w:trPr>
        <w:tc>
          <w:tcPr>
            <w:tcW w:type="dxa" w:w="2200"/>
            <w:tcMar>
              <w:top w:w="80" w:type="dxa"/>
              <w:start w:w="120" w:type="dxa"/>
              <w:bottom w:w="80" w:type="dxa"/>
              <w:end w:w="120" w:type="dxa"/>
            </w:tcMar>
            <w:vAlign w:val="center"/>
          </w:tcPr>
          <w:p>
            <w:pPr>
              <w:jc w:val="left"/>
            </w:pPr>
            <w:r>
              <w:rPr>
                <w:rFonts w:ascii="Calibri" w:hAnsi="Calibri"/>
                <w:b w:val="0"/>
                <w:color w:val="1F2937"/>
                <w:sz w:val="18"/>
              </w:rPr>
              <w:t>Tipo</w:t>
            </w:r>
          </w:p>
        </w:tc>
        <w:tc>
          <w:tcPr>
            <w:tcW w:type="dxa" w:w="7160"/>
            <w:tcMar>
              <w:top w:w="80" w:type="dxa"/>
              <w:start w:w="120" w:type="dxa"/>
              <w:bottom w:w="80" w:type="dxa"/>
              <w:end w:w="120" w:type="dxa"/>
            </w:tcMar>
            <w:vAlign w:val="center"/>
          </w:tcPr>
          <w:p>
            <w:pPr>
              <w:jc w:val="left"/>
            </w:pPr>
            <w:r>
              <w:rPr>
                <w:rFonts w:ascii="Calibri" w:hAnsi="Calibri"/>
                <w:b w:val="0"/>
                <w:color w:val="1F2937"/>
                <w:sz w:val="18"/>
              </w:rPr>
              <w:t>Informe final consolidado de estado, recomendaciones y mejoras</w:t>
            </w:r>
          </w:p>
        </w:tc>
      </w:tr>
      <w:tr>
        <w:trPr>
          <w:cantSplit w:val="true"/>
        </w:trPr>
        <w:tc>
          <w:tcPr>
            <w:tcW w:type="dxa" w:w="2200"/>
            <w:shd w:fill="FAFBFC"/>
            <w:tcMar>
              <w:top w:w="80" w:type="dxa"/>
              <w:start w:w="120" w:type="dxa"/>
              <w:bottom w:w="80" w:type="dxa"/>
              <w:end w:w="120" w:type="dxa"/>
            </w:tcMar>
            <w:vAlign w:val="center"/>
          </w:tcPr>
          <w:p>
            <w:pPr>
              <w:jc w:val="left"/>
            </w:pPr>
            <w:r>
              <w:rPr>
                <w:rFonts w:ascii="Calibri" w:hAnsi="Calibri"/>
                <w:b w:val="0"/>
                <w:color w:val="1F2937"/>
                <w:sz w:val="18"/>
              </w:rPr>
              <w:t>Fecha de corte</w:t>
            </w:r>
          </w:p>
        </w:tc>
        <w:tc>
          <w:tcPr>
            <w:tcW w:type="dxa" w:w="7160"/>
            <w:shd w:fill="FAFBFC"/>
            <w:tcMar>
              <w:top w:w="80" w:type="dxa"/>
              <w:start w:w="120" w:type="dxa"/>
              <w:bottom w:w="80" w:type="dxa"/>
              <w:end w:w="120" w:type="dxa"/>
            </w:tcMar>
            <w:vAlign w:val="center"/>
          </w:tcPr>
          <w:p>
            <w:pPr>
              <w:jc w:val="left"/>
            </w:pPr>
            <w:r>
              <w:rPr>
                <w:rFonts w:ascii="Calibri" w:hAnsi="Calibri"/>
                <w:b w:val="0"/>
                <w:color w:val="1F2937"/>
                <w:sz w:val="18"/>
              </w:rPr>
              <w:t>26 de julio de 2026, America/La_Paz</w:t>
            </w:r>
          </w:p>
        </w:tc>
      </w:tr>
      <w:tr>
        <w:trPr>
          <w:cantSplit w:val="true"/>
        </w:trPr>
        <w:tc>
          <w:tcPr>
            <w:tcW w:type="dxa" w:w="2200"/>
            <w:tcMar>
              <w:top w:w="80" w:type="dxa"/>
              <w:start w:w="120" w:type="dxa"/>
              <w:bottom w:w="80" w:type="dxa"/>
              <w:end w:w="120" w:type="dxa"/>
            </w:tcMar>
            <w:vAlign w:val="center"/>
          </w:tcPr>
          <w:p>
            <w:pPr>
              <w:jc w:val="left"/>
            </w:pPr>
            <w:r>
              <w:rPr>
                <w:rFonts w:ascii="Calibri" w:hAnsi="Calibri"/>
                <w:b w:val="0"/>
                <w:color w:val="1F2937"/>
                <w:sz w:val="18"/>
              </w:rPr>
              <w:t>Fuente primaria</w:t>
            </w:r>
          </w:p>
        </w:tc>
        <w:tc>
          <w:tcPr>
            <w:tcW w:type="dxa" w:w="7160"/>
            <w:tcMar>
              <w:top w:w="80" w:type="dxa"/>
              <w:start w:w="120" w:type="dxa"/>
              <w:bottom w:w="80" w:type="dxa"/>
              <w:end w:w="120" w:type="dxa"/>
            </w:tcMar>
            <w:vAlign w:val="center"/>
          </w:tcPr>
          <w:p>
            <w:pPr>
              <w:jc w:val="left"/>
            </w:pPr>
            <w:r>
              <w:rPr>
                <w:rFonts w:ascii="Calibri" w:hAnsi="Calibri"/>
                <w:b w:val="0"/>
                <w:color w:val="1F2937"/>
                <w:sz w:val="18"/>
              </w:rPr>
              <w:t>Repositorio local, base local, historial Git, documentación versionada y revisión cruzada de dos informes</w:t>
            </w:r>
          </w:p>
        </w:tc>
      </w:tr>
      <w:tr>
        <w:trPr>
          <w:cantSplit w:val="true"/>
        </w:trPr>
        <w:tc>
          <w:tcPr>
            <w:tcW w:type="dxa" w:w="2200"/>
            <w:shd w:fill="FAFBFC"/>
            <w:tcMar>
              <w:top w:w="80" w:type="dxa"/>
              <w:start w:w="120" w:type="dxa"/>
              <w:bottom w:w="80" w:type="dxa"/>
              <w:end w:w="120" w:type="dxa"/>
            </w:tcMar>
            <w:vAlign w:val="center"/>
          </w:tcPr>
          <w:p>
            <w:pPr>
              <w:jc w:val="left"/>
            </w:pPr>
            <w:r>
              <w:rPr>
                <w:rFonts w:ascii="Calibri" w:hAnsi="Calibri"/>
                <w:b w:val="0"/>
                <w:color w:val="1F2937"/>
                <w:sz w:val="18"/>
              </w:rPr>
              <w:t>Estado Git</w:t>
            </w:r>
          </w:p>
        </w:tc>
        <w:tc>
          <w:tcPr>
            <w:tcW w:type="dxa" w:w="7160"/>
            <w:shd w:fill="FAFBFC"/>
            <w:tcMar>
              <w:top w:w="80" w:type="dxa"/>
              <w:start w:w="120" w:type="dxa"/>
              <w:bottom w:w="80" w:type="dxa"/>
              <w:end w:w="120" w:type="dxa"/>
            </w:tcMar>
            <w:vAlign w:val="center"/>
          </w:tcPr>
          <w:p>
            <w:pPr>
              <w:jc w:val="left"/>
            </w:pPr>
            <w:r>
              <w:rPr>
                <w:rFonts w:ascii="Calibri" w:hAnsi="Calibri"/>
                <w:b w:val="0"/>
                <w:color w:val="1F2937"/>
                <w:sz w:val="18"/>
              </w:rPr>
              <w:t>HEAD d4b2d12; archivo HALLAZGO_PIPELINE_3B7.md staged y aún no commiteado</w:t>
            </w:r>
          </w:p>
        </w:tc>
      </w:tr>
      <w:tr>
        <w:trPr>
          <w:cantSplit w:val="true"/>
        </w:trPr>
        <w:tc>
          <w:tcPr>
            <w:tcW w:type="dxa" w:w="2200"/>
            <w:tcMar>
              <w:top w:w="80" w:type="dxa"/>
              <w:start w:w="120" w:type="dxa"/>
              <w:bottom w:w="80" w:type="dxa"/>
              <w:end w:w="120" w:type="dxa"/>
            </w:tcMar>
            <w:vAlign w:val="center"/>
          </w:tcPr>
          <w:p>
            <w:pPr>
              <w:jc w:val="left"/>
            </w:pPr>
            <w:r>
              <w:rPr>
                <w:rFonts w:ascii="Calibri" w:hAnsi="Calibri"/>
                <w:b w:val="0"/>
                <w:color w:val="1F2937"/>
                <w:sz w:val="18"/>
              </w:rPr>
              <w:t>Alcance</w:t>
            </w:r>
          </w:p>
        </w:tc>
        <w:tc>
          <w:tcPr>
            <w:tcW w:type="dxa" w:w="7160"/>
            <w:tcMar>
              <w:top w:w="80" w:type="dxa"/>
              <w:start w:w="120" w:type="dxa"/>
              <w:bottom w:w="80" w:type="dxa"/>
              <w:end w:w="120" w:type="dxa"/>
            </w:tcMar>
            <w:vAlign w:val="center"/>
          </w:tcPr>
          <w:p>
            <w:pPr>
              <w:jc w:val="left"/>
            </w:pPr>
            <w:r>
              <w:rPr>
                <w:rFonts w:ascii="Calibri" w:hAnsi="Calibri"/>
                <w:b w:val="0"/>
                <w:color w:val="1F2937"/>
                <w:sz w:val="18"/>
              </w:rPr>
              <w:t>Todo lo construido, estado real, diferencias entre informes, brechas, correcciones y ruta al producto completo</w:t>
            </w:r>
          </w:p>
        </w:tc>
      </w:tr>
      <w:tr>
        <w:trPr>
          <w:cantSplit w:val="true"/>
        </w:trPr>
        <w:tc>
          <w:tcPr>
            <w:tcW w:type="dxa" w:w="2200"/>
            <w:shd w:fill="FAFBFC"/>
            <w:tcMar>
              <w:top w:w="80" w:type="dxa"/>
              <w:start w:w="120" w:type="dxa"/>
              <w:bottom w:w="80" w:type="dxa"/>
              <w:end w:w="120" w:type="dxa"/>
            </w:tcMar>
            <w:vAlign w:val="center"/>
          </w:tcPr>
          <w:p>
            <w:pPr>
              <w:jc w:val="left"/>
            </w:pPr>
            <w:r>
              <w:rPr>
                <w:rFonts w:ascii="Calibri" w:hAnsi="Calibri"/>
                <w:b w:val="0"/>
                <w:color w:val="1F2937"/>
                <w:sz w:val="18"/>
              </w:rPr>
              <w:t>Regla de lectura</w:t>
            </w:r>
          </w:p>
        </w:tc>
        <w:tc>
          <w:tcPr>
            <w:tcW w:type="dxa" w:w="7160"/>
            <w:shd w:fill="FAFBFC"/>
            <w:tcMar>
              <w:top w:w="80" w:type="dxa"/>
              <w:start w:w="120" w:type="dxa"/>
              <w:bottom w:w="80" w:type="dxa"/>
              <w:end w:w="120" w:type="dxa"/>
            </w:tcMar>
            <w:vAlign w:val="center"/>
          </w:tcPr>
          <w:p>
            <w:pPr>
              <w:jc w:val="left"/>
            </w:pPr>
            <w:r>
              <w:rPr>
                <w:rFonts w:ascii="Calibri" w:hAnsi="Calibri"/>
                <w:b w:val="0"/>
                <w:color w:val="1F2937"/>
                <w:sz w:val="18"/>
              </w:rPr>
              <w:t>Hecho verificado ≠ recomendación ≠ decisión pendiente</w:t>
            </w:r>
          </w:p>
        </w:tc>
      </w:tr>
    </w:tbl>
    <w:p>
      <w:pPr>
        <w:spacing w:before="80" w:after="80"/>
      </w:pPr>
      <w:r>
        <w:rPr>
          <w:rFonts w:ascii="Calibri" w:hAnsi="Calibri"/>
          <w:i/>
          <w:color w:val="5F6B7A"/>
          <w:sz w:val="17"/>
        </w:rPr>
        <w:t>Fuente: evidencia levantada en la sesión actual; no se asumieron hashes ni conteos históricos.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D6"/>
          </w:tcPr>
          <w:p>
            <w:pPr>
              <w:spacing w:after="40"/>
            </w:pPr>
            <w:r>
              <w:rPr>
                <w:rFonts w:ascii="Calibri" w:hAnsi="Calibri"/>
                <w:b/>
                <w:color w:val="A46A00"/>
                <w:sz w:val="18"/>
              </w:rPr>
              <w:t>ADVERTENCIA DE GOBERNANZA</w:t>
            </w:r>
          </w:p>
          <w:p>
            <w:pPr>
              <w:spacing w:after="0"/>
            </w:pPr>
            <w:r>
              <w:rPr>
                <w:rFonts w:ascii="Calibri" w:hAnsi="Calibri"/>
                <w:color w:val="1F2937"/>
                <w:sz w:val="21"/>
              </w:rPr>
              <w:t>Este informe no declara que el sistema ya sea “el mejor de Bolivia”. Define el estándar verificable para aspirar a ello: ciclo catastral completo, calidad medible, trazabilidad, seguridad, operación real y replicabilidad municipal.</w:t>
            </w:r>
          </w:p>
        </w:tc>
      </w:tr>
    </w:tbl>
    <w:p>
      <w:pPr>
        <w:spacing w:after="0"/>
      </w:pPr>
    </w:p>
    <w:p>
      <w:pPr>
        <w:pStyle w:val="Heading2"/>
      </w:pPr>
      <w:r>
        <w:t>Cómo leer este informe</w:t>
      </w:r>
    </w:p>
    <w:p>
      <w:pPr>
        <w:pStyle w:val="ListBullet"/>
      </w:pPr>
      <w:r>
        <w:rPr>
          <w:rFonts w:ascii="Calibri" w:hAnsi="Calibri"/>
          <w:color w:val="1F2937"/>
          <w:sz w:val="22"/>
        </w:rPr>
        <w:t>VERIFICADO: existe evidencia actual en código, Git, base, pruebas o documentación aceptada.</w:t>
      </w:r>
    </w:p>
    <w:p>
      <w:pPr>
        <w:pStyle w:val="ListBullet"/>
      </w:pPr>
      <w:r>
        <w:rPr>
          <w:rFonts w:ascii="Calibri" w:hAnsi="Calibri"/>
          <w:color w:val="1F2937"/>
          <w:sz w:val="22"/>
        </w:rPr>
        <w:t>PARCIAL: existe una base funcional, pero falta cierre de alcance, operación o evidencia.</w:t>
      </w:r>
    </w:p>
    <w:p>
      <w:pPr>
        <w:pStyle w:val="ListBullet"/>
      </w:pPr>
      <w:r>
        <w:rPr>
          <w:rFonts w:ascii="Calibri" w:hAnsi="Calibri"/>
          <w:color w:val="1F2937"/>
          <w:sz w:val="22"/>
        </w:rPr>
        <w:t>PENDIENTE: está en el roadmap y aún no se implementó.</w:t>
      </w:r>
    </w:p>
    <w:p>
      <w:pPr>
        <w:pStyle w:val="ListBullet"/>
      </w:pPr>
      <w:r>
        <w:rPr>
          <w:rFonts w:ascii="Calibri" w:hAnsi="Calibri"/>
          <w:color w:val="1F2937"/>
          <w:sz w:val="22"/>
        </w:rPr>
        <w:t>BLOQUEADO: requiere una decisión, dato institucional o corrección previa.</w:t>
      </w:r>
    </w:p>
    <w:p>
      <w:pPr>
        <w:pStyle w:val="ListBullet"/>
      </w:pPr>
      <w:r>
        <w:rPr>
          <w:rFonts w:ascii="Calibri" w:hAnsi="Calibri"/>
          <w:color w:val="1F2937"/>
          <w:sz w:val="22"/>
        </w:rPr>
        <w:t>RECOMENDACIÓN: propuesta de consolidación; requiere ratificación antes de convertirse en contrato.</w:t>
      </w:r>
    </w:p>
    <w:p>
      <w:r>
        <w:br w:type="page"/>
      </w:r>
    </w:p>
    <w:p>
      <w:pPr>
        <w:pStyle w:val="Heading1"/>
      </w:pPr>
      <w:r>
        <w:t>Contenido</w:t>
      </w:r>
    </w:p>
    <w:p>
      <w:pPr>
        <w:spacing w:after="80"/>
      </w:pPr>
      <w:r>
        <w:rPr>
          <w:rFonts w:ascii="Calibri" w:hAnsi="Calibri"/>
          <w:color w:val="0B2545"/>
          <w:sz w:val="21"/>
        </w:rPr>
        <w:t>1. Resumen ejecutivo</w:t>
      </w:r>
    </w:p>
    <w:p>
      <w:pPr>
        <w:spacing w:after="80"/>
      </w:pPr>
      <w:r>
        <w:rPr>
          <w:rFonts w:ascii="Calibri" w:hAnsi="Calibri"/>
          <w:color w:val="0B2545"/>
          <w:sz w:val="21"/>
        </w:rPr>
        <w:t>2. Método, fuentes y límites</w:t>
      </w:r>
    </w:p>
    <w:p>
      <w:pPr>
        <w:spacing w:after="80"/>
      </w:pPr>
      <w:r>
        <w:rPr>
          <w:rFonts w:ascii="Calibri" w:hAnsi="Calibri"/>
          <w:color w:val="0B2545"/>
          <w:sz w:val="21"/>
        </w:rPr>
        <w:t>3. Qué sistema se está construyendo</w:t>
      </w:r>
    </w:p>
    <w:p>
      <w:pPr>
        <w:spacing w:after="80"/>
      </w:pPr>
      <w:r>
        <w:rPr>
          <w:rFonts w:ascii="Calibri" w:hAnsi="Calibri"/>
          <w:color w:val="0B2545"/>
          <w:sz w:val="21"/>
        </w:rPr>
        <w:t>4. Todo lo realizado en el proyecto</w:t>
      </w:r>
    </w:p>
    <w:p>
      <w:pPr>
        <w:spacing w:after="80"/>
      </w:pPr>
      <w:r>
        <w:rPr>
          <w:rFonts w:ascii="Calibri" w:hAnsi="Calibri"/>
          <w:color w:val="0B2545"/>
          <w:sz w:val="21"/>
        </w:rPr>
        <w:t>5. Situación exacta al 26 de julio de 2026</w:t>
      </w:r>
    </w:p>
    <w:p>
      <w:pPr>
        <w:spacing w:after="80"/>
      </w:pPr>
      <w:r>
        <w:rPr>
          <w:rFonts w:ascii="Calibri" w:hAnsi="Calibri"/>
          <w:color w:val="0B2545"/>
          <w:sz w:val="21"/>
        </w:rPr>
        <w:t>6. Diagnóstico corregido de 3.B.7</w:t>
      </w:r>
    </w:p>
    <w:p>
      <w:pPr>
        <w:spacing w:after="80"/>
      </w:pPr>
      <w:r>
        <w:rPr>
          <w:rFonts w:ascii="Calibri" w:hAnsi="Calibri"/>
          <w:color w:val="0B2545"/>
          <w:sz w:val="21"/>
        </w:rPr>
        <w:t>7. Matriz funcional consolidada</w:t>
      </w:r>
    </w:p>
    <w:p>
      <w:pPr>
        <w:spacing w:after="80"/>
      </w:pPr>
      <w:r>
        <w:rPr>
          <w:rFonts w:ascii="Calibri" w:hAnsi="Calibri"/>
          <w:color w:val="0B2545"/>
          <w:sz w:val="21"/>
        </w:rPr>
        <w:t>8. Observaciones para consolidar el mejor referente catastral posible</w:t>
      </w:r>
    </w:p>
    <w:p>
      <w:pPr>
        <w:spacing w:after="80"/>
      </w:pPr>
      <w:r>
        <w:rPr>
          <w:rFonts w:ascii="Calibri" w:hAnsi="Calibri"/>
          <w:color w:val="0B2545"/>
          <w:sz w:val="21"/>
        </w:rPr>
        <w:t>9. Estándar de excelencia propuesto</w:t>
      </w:r>
    </w:p>
    <w:p>
      <w:pPr>
        <w:spacing w:after="80"/>
      </w:pPr>
      <w:r>
        <w:rPr>
          <w:rFonts w:ascii="Calibri" w:hAnsi="Calibri"/>
          <w:color w:val="0B2545"/>
          <w:sz w:val="21"/>
        </w:rPr>
        <w:t>10. Todo lo que falta hasta terminar el proyecto</w:t>
      </w:r>
    </w:p>
    <w:p>
      <w:pPr>
        <w:spacing w:after="80"/>
      </w:pPr>
      <w:r>
        <w:rPr>
          <w:rFonts w:ascii="Calibri" w:hAnsi="Calibri"/>
          <w:color w:val="0B2545"/>
          <w:sz w:val="21"/>
        </w:rPr>
        <w:t>11. Secuencia recomendada de ejecución</w:t>
      </w:r>
    </w:p>
    <w:p>
      <w:pPr>
        <w:spacing w:after="80"/>
      </w:pPr>
      <w:r>
        <w:rPr>
          <w:rFonts w:ascii="Calibri" w:hAnsi="Calibri"/>
          <w:color w:val="0B2545"/>
          <w:sz w:val="21"/>
        </w:rPr>
        <w:t>12. Decisiones institucionales pendientes</w:t>
      </w:r>
    </w:p>
    <w:p>
      <w:pPr>
        <w:spacing w:after="80"/>
      </w:pPr>
      <w:r>
        <w:rPr>
          <w:rFonts w:ascii="Calibri" w:hAnsi="Calibri"/>
          <w:color w:val="0B2545"/>
          <w:sz w:val="21"/>
        </w:rPr>
        <w:t>13. Riesgos y mitigaciones</w:t>
      </w:r>
    </w:p>
    <w:p>
      <w:pPr>
        <w:spacing w:after="80"/>
      </w:pPr>
      <w:r>
        <w:rPr>
          <w:rFonts w:ascii="Calibri" w:hAnsi="Calibri"/>
          <w:color w:val="0B2545"/>
          <w:sz w:val="21"/>
        </w:rPr>
        <w:t>14. Definición de proyecto completamente terminado</w:t>
      </w:r>
    </w:p>
    <w:p>
      <w:pPr>
        <w:spacing w:after="80"/>
      </w:pPr>
      <w:r>
        <w:rPr>
          <w:rFonts w:ascii="Calibri" w:hAnsi="Calibri"/>
          <w:color w:val="0B2545"/>
          <w:sz w:val="21"/>
        </w:rPr>
        <w:t>15. Próximas acciones concretas</w:t>
      </w:r>
    </w:p>
    <w:p>
      <w:pPr>
        <w:spacing w:after="80"/>
      </w:pPr>
      <w:r>
        <w:rPr>
          <w:rFonts w:ascii="Calibri" w:hAnsi="Calibri"/>
          <w:color w:val="0B2545"/>
          <w:sz w:val="21"/>
        </w:rPr>
        <w:t>Apéndices A–C y cierre</w:t>
      </w:r>
    </w:p>
    <w:p>
      <w:r>
        <w:br w:type="page"/>
      </w:r>
    </w:p>
    <w:p>
      <w:pPr>
        <w:pStyle w:val="Heading1"/>
      </w:pPr>
      <w:r>
        <w:t>1. Resumen ejecutivo</w:t>
      </w:r>
    </w:p>
    <w:p>
      <w:pPr/>
      <w:r>
        <w:rPr>
          <w:rFonts w:ascii="Calibri" w:hAnsi="Calibri"/>
          <w:i w:val="0"/>
          <w:color w:val="1F2937"/>
          <w:sz w:val="22"/>
        </w:rPr>
        <w:t>SG_SAUL_CATASTRO ya superó la etapa de prototipo vacío. Dispone de un núcleo catastral real, autenticación, auditoría append-only, persistencia PostGIS, importación SHP versionada y asíncrona, preview de calidad, activación/reconciliación, tiles MVT, visor Blazor/MapLibre, búsqueda, ficha, croquis imprimible y configuración multimunicipio. Uyuni opera como línea base activa con siete capas; Caranavi tiene sus tres capas base activas y un padrón predial derivado del DGN documentado como generado y listo para importación.</w:t>
      </w:r>
    </w:p>
    <w:p>
      <w:pPr/>
      <w:r>
        <w:rPr>
          <w:rFonts w:ascii="Calibri" w:hAnsi="Calibri"/>
          <w:i w:val="0"/>
          <w:color w:val="1F2937"/>
          <w:sz w:val="22"/>
        </w:rPr>
        <w:t>El punto exacto no es “falta hacer el sistema”, sino “falta cerrar la semántica segura de incorporación incremental de capas y después completar el ciclo institucional”. El bloqueo inmediato está en 3.B.7: PRE_NOF_CAR contiene 6.573 predios, pero la arquitectura vigente conserva una sola DatasetVersion activa por municipio y la activación reemplaza la versión activa. Importar una versión con solo predios no fotografiados sin composición previa dejaría fuera del dataset activo las capas base de Caranavi.</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BE9E9"/>
          </w:tcPr>
          <w:p>
            <w:pPr>
              <w:spacing w:after="40"/>
            </w:pPr>
            <w:r>
              <w:rPr>
                <w:rFonts w:ascii="Calibri" w:hAnsi="Calibri"/>
                <w:b/>
                <w:color w:val="9B1C1C"/>
                <w:sz w:val="18"/>
              </w:rPr>
              <w:t>CONCLUSIÓN EJECUTIVA</w:t>
            </w:r>
          </w:p>
          <w:p>
            <w:pPr>
              <w:spacing w:after="0"/>
            </w:pPr>
            <w:r>
              <w:rPr>
                <w:rFonts w:ascii="Calibri" w:hAnsi="Calibri"/>
                <w:color w:val="1F2937"/>
                <w:sz w:val="21"/>
              </w:rPr>
              <w:t>La mejor decisión inmediata no es añadir a ciegas un perfil_codigo. La recomendación técnica es preservar la invariancia de snapshot completo de ADR 0049 y diseñar una operación de composición: crear N+1 copiando las capas no modificadas desde la versión activa y sustituyendo únicamente la capa recibida, con linaje y pruebas de no pérdida. Esta alternativa aún requiere ADR y aprobación; no es contrato vigente.</w:t>
            </w:r>
          </w:p>
        </w:tc>
      </w:tr>
    </w:tbl>
    <w:p>
      <w:pPr>
        <w:spacing w:after="0"/>
      </w:pPr>
    </w:p>
    <w:p>
      <w:pPr>
        <w:spacing w:before="80" w:after="80"/>
      </w:pPr>
      <w:r>
        <w:rPr>
          <w:rFonts w:ascii="Calibri" w:hAnsi="Calibri"/>
          <w:b/>
          <w:color w:val="0B2545"/>
          <w:sz w:val="19"/>
        </w:rPr>
        <w:t>Tabla 1. Indicadores verificables del estado actual</w:t>
      </w:r>
    </w:p>
    <w:tbl>
      <w:tblPr>
        <w:tblStyle w:val="TableGrid"/>
        <w:tblW w:type="dxa" w:w="9360"/>
        <w:jc w:val="left"/>
        <w:tblLayout w:type="fixed"/>
        <w:tblLook w:firstColumn="1" w:firstRow="1" w:lastColumn="0" w:lastRow="0" w:noHBand="0" w:noVBand="1" w:val="04A0"/>
        <w:tblInd w:w="120" w:type="dxa"/>
      </w:tblPr>
      <w:tblGrid>
        <w:gridCol w:w="2700"/>
        <w:gridCol w:w="2100"/>
        <w:gridCol w:w="4560"/>
      </w:tblGrid>
      <w:tr>
        <w:trPr>
          <w:tblHeader w:val="true"/>
          <w:cantSplit w:val="true"/>
        </w:trPr>
        <w:tc>
          <w:tcPr>
            <w:tcW w:type="dxa" w:w="2700"/>
            <w:shd w:fill="F2F4F7"/>
            <w:tcMar>
              <w:top w:w="80" w:type="dxa"/>
              <w:start w:w="120" w:type="dxa"/>
              <w:bottom w:w="80" w:type="dxa"/>
              <w:end w:w="120" w:type="dxa"/>
            </w:tcMar>
            <w:vAlign w:val="center"/>
          </w:tcPr>
          <w:p>
            <w:pPr>
              <w:jc w:val="center"/>
            </w:pPr>
            <w:r>
              <w:rPr>
                <w:rFonts w:ascii="Calibri" w:hAnsi="Calibri"/>
                <w:b/>
                <w:color w:val="0B2545"/>
                <w:sz w:val="18"/>
              </w:rPr>
              <w:t>Indicador</w:t>
            </w:r>
          </w:p>
        </w:tc>
        <w:tc>
          <w:tcPr>
            <w:tcW w:type="dxa" w:w="2100"/>
            <w:shd w:fill="F2F4F7"/>
            <w:tcMar>
              <w:top w:w="80" w:type="dxa"/>
              <w:start w:w="120" w:type="dxa"/>
              <w:bottom w:w="80" w:type="dxa"/>
              <w:end w:w="120" w:type="dxa"/>
            </w:tcMar>
            <w:vAlign w:val="center"/>
          </w:tcPr>
          <w:p>
            <w:pPr>
              <w:jc w:val="center"/>
            </w:pPr>
            <w:r>
              <w:rPr>
                <w:rFonts w:ascii="Calibri" w:hAnsi="Calibri"/>
                <w:b/>
                <w:color w:val="0B2545"/>
                <w:sz w:val="18"/>
              </w:rPr>
              <w:t>Valor actual</w:t>
            </w:r>
          </w:p>
        </w:tc>
        <w:tc>
          <w:tcPr>
            <w:tcW w:type="dxa" w:w="4560"/>
            <w:shd w:fill="F2F4F7"/>
            <w:tcMar>
              <w:top w:w="80" w:type="dxa"/>
              <w:start w:w="120" w:type="dxa"/>
              <w:bottom w:w="80" w:type="dxa"/>
              <w:end w:w="120" w:type="dxa"/>
            </w:tcMar>
            <w:vAlign w:val="center"/>
          </w:tcPr>
          <w:p>
            <w:pPr>
              <w:jc w:val="center"/>
            </w:pPr>
            <w:r>
              <w:rPr>
                <w:rFonts w:ascii="Calibri" w:hAnsi="Calibri"/>
                <w:b/>
                <w:color w:val="0B2545"/>
                <w:sz w:val="18"/>
              </w:rPr>
              <w:t>Lectura</w:t>
            </w:r>
          </w:p>
        </w:tc>
      </w:tr>
      <w:tr>
        <w:trPr>
          <w:cantSplit w:val="true"/>
        </w:trPr>
        <w:tc>
          <w:tcPr>
            <w:tcW w:type="dxa" w:w="2700"/>
            <w:tcMar>
              <w:top w:w="80" w:type="dxa"/>
              <w:start w:w="120" w:type="dxa"/>
              <w:bottom w:w="80" w:type="dxa"/>
              <w:end w:w="120" w:type="dxa"/>
            </w:tcMar>
            <w:vAlign w:val="center"/>
          </w:tcPr>
          <w:p>
            <w:pPr>
              <w:jc w:val="left"/>
            </w:pPr>
            <w:r>
              <w:rPr>
                <w:rFonts w:ascii="Calibri" w:hAnsi="Calibri"/>
                <w:b w:val="0"/>
                <w:color w:val="1F2937"/>
                <w:sz w:val="18"/>
              </w:rPr>
              <w:t>Commits en HEAD</w:t>
            </w:r>
          </w:p>
        </w:tc>
        <w:tc>
          <w:tcPr>
            <w:tcW w:type="dxa" w:w="2100"/>
            <w:tcMar>
              <w:top w:w="80" w:type="dxa"/>
              <w:start w:w="120" w:type="dxa"/>
              <w:bottom w:w="80" w:type="dxa"/>
              <w:end w:w="120" w:type="dxa"/>
            </w:tcMar>
            <w:vAlign w:val="center"/>
          </w:tcPr>
          <w:p>
            <w:pPr>
              <w:jc w:val="left"/>
            </w:pPr>
            <w:r>
              <w:rPr>
                <w:rFonts w:ascii="Calibri" w:hAnsi="Calibri"/>
                <w:b w:val="0"/>
                <w:color w:val="1F2937"/>
                <w:sz w:val="18"/>
              </w:rPr>
              <w:t>171</w:t>
            </w:r>
          </w:p>
        </w:tc>
        <w:tc>
          <w:tcPr>
            <w:tcW w:type="dxa" w:w="4560"/>
            <w:tcMar>
              <w:top w:w="80" w:type="dxa"/>
              <w:start w:w="120" w:type="dxa"/>
              <w:bottom w:w="80" w:type="dxa"/>
              <w:end w:w="120" w:type="dxa"/>
            </w:tcMar>
            <w:vAlign w:val="center"/>
          </w:tcPr>
          <w:p>
            <w:pPr>
              <w:jc w:val="left"/>
            </w:pPr>
            <w:r>
              <w:rPr>
                <w:rFonts w:ascii="Calibri" w:hAnsi="Calibri"/>
                <w:b w:val="0"/>
                <w:color w:val="1F2937"/>
                <w:sz w:val="18"/>
              </w:rPr>
              <w:t>Trayectoria corta pero intensiva y trazable</w:t>
            </w:r>
          </w:p>
        </w:tc>
      </w:tr>
      <w:tr>
        <w:trPr>
          <w:cantSplit w:val="true"/>
        </w:trP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Tags Git</w:t>
            </w:r>
          </w:p>
        </w:tc>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8</w:t>
            </w:r>
          </w:p>
        </w:tc>
        <w:tc>
          <w:tcPr>
            <w:tcW w:type="dxa" w:w="4560"/>
            <w:shd w:fill="FAFBFC"/>
            <w:tcMar>
              <w:top w:w="80" w:type="dxa"/>
              <w:start w:w="120" w:type="dxa"/>
              <w:bottom w:w="80" w:type="dxa"/>
              <w:end w:w="120" w:type="dxa"/>
            </w:tcMar>
            <w:vAlign w:val="center"/>
          </w:tcPr>
          <w:p>
            <w:pPr>
              <w:jc w:val="left"/>
            </w:pPr>
            <w:r>
              <w:rPr>
                <w:rFonts w:ascii="Calibri" w:hAnsi="Calibri"/>
                <w:b w:val="0"/>
                <w:color w:val="1F2937"/>
                <w:sz w:val="18"/>
              </w:rPr>
              <w:t>6 hitos de versión/fase y 2 checkpoints v0.1.x</w:t>
            </w:r>
          </w:p>
        </w:tc>
      </w:tr>
      <w:tr>
        <w:trPr>
          <w:cantSplit w:val="true"/>
        </w:trPr>
        <w:tc>
          <w:tcPr>
            <w:tcW w:type="dxa" w:w="2700"/>
            <w:tcMar>
              <w:top w:w="80" w:type="dxa"/>
              <w:start w:w="120" w:type="dxa"/>
              <w:bottom w:w="80" w:type="dxa"/>
              <w:end w:w="120" w:type="dxa"/>
            </w:tcMar>
            <w:vAlign w:val="center"/>
          </w:tcPr>
          <w:p>
            <w:pPr>
              <w:jc w:val="left"/>
            </w:pPr>
            <w:r>
              <w:rPr>
                <w:rFonts w:ascii="Calibri" w:hAnsi="Calibri"/>
                <w:b w:val="0"/>
                <w:color w:val="1F2937"/>
                <w:sz w:val="18"/>
              </w:rPr>
              <w:t>ADRs versionados</w:t>
            </w:r>
          </w:p>
        </w:tc>
        <w:tc>
          <w:tcPr>
            <w:tcW w:type="dxa" w:w="2100"/>
            <w:tcMar>
              <w:top w:w="80" w:type="dxa"/>
              <w:start w:w="120" w:type="dxa"/>
              <w:bottom w:w="80" w:type="dxa"/>
              <w:end w:w="120" w:type="dxa"/>
            </w:tcMar>
            <w:vAlign w:val="center"/>
          </w:tcPr>
          <w:p>
            <w:pPr>
              <w:jc w:val="left"/>
            </w:pPr>
            <w:r>
              <w:rPr>
                <w:rFonts w:ascii="Calibri" w:hAnsi="Calibri"/>
                <w:b w:val="0"/>
                <w:color w:val="1F2937"/>
                <w:sz w:val="18"/>
              </w:rPr>
              <w:t>51</w:t>
            </w:r>
          </w:p>
        </w:tc>
        <w:tc>
          <w:tcPr>
            <w:tcW w:type="dxa" w:w="4560"/>
            <w:tcMar>
              <w:top w:w="80" w:type="dxa"/>
              <w:start w:w="120" w:type="dxa"/>
              <w:bottom w:w="80" w:type="dxa"/>
              <w:end w:w="120" w:type="dxa"/>
            </w:tcMar>
            <w:vAlign w:val="center"/>
          </w:tcPr>
          <w:p>
            <w:pPr>
              <w:jc w:val="left"/>
            </w:pPr>
            <w:r>
              <w:rPr>
                <w:rFonts w:ascii="Calibri" w:hAnsi="Calibri"/>
                <w:b w:val="0"/>
                <w:color w:val="1F2937"/>
                <w:sz w:val="18"/>
              </w:rPr>
              <w:t>Gobernanza fuerte, aunque algunos requieren actualización</w:t>
            </w:r>
          </w:p>
        </w:tc>
      </w:tr>
      <w:tr>
        <w:trPr>
          <w:cantSplit w:val="true"/>
        </w:trP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Migraciones EF Core</w:t>
            </w:r>
          </w:p>
        </w:tc>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15</w:t>
            </w:r>
          </w:p>
        </w:tc>
        <w:tc>
          <w:tcPr>
            <w:tcW w:type="dxa" w:w="4560"/>
            <w:shd w:fill="FAFBFC"/>
            <w:tcMar>
              <w:top w:w="80" w:type="dxa"/>
              <w:start w:w="120" w:type="dxa"/>
              <w:bottom w:w="80" w:type="dxa"/>
              <w:end w:w="120" w:type="dxa"/>
            </w:tcMar>
            <w:vAlign w:val="center"/>
          </w:tcPr>
          <w:p>
            <w:pPr>
              <w:jc w:val="left"/>
            </w:pPr>
            <w:r>
              <w:rPr>
                <w:rFonts w:ascii="Calibri" w:hAnsi="Calibri"/>
                <w:b w:val="0"/>
                <w:color w:val="1F2937"/>
                <w:sz w:val="18"/>
              </w:rPr>
              <w:t>Identidad, dominio, importación, versión, GIS y multimunicipio</w:t>
            </w:r>
          </w:p>
        </w:tc>
      </w:tr>
      <w:tr>
        <w:trPr>
          <w:cantSplit w:val="true"/>
        </w:trPr>
        <w:tc>
          <w:tcPr>
            <w:tcW w:type="dxa" w:w="2700"/>
            <w:tcMar>
              <w:top w:w="80" w:type="dxa"/>
              <w:start w:w="120" w:type="dxa"/>
              <w:bottom w:w="80" w:type="dxa"/>
              <w:end w:w="120" w:type="dxa"/>
            </w:tcMar>
            <w:vAlign w:val="center"/>
          </w:tcPr>
          <w:p>
            <w:pPr>
              <w:jc w:val="left"/>
            </w:pPr>
            <w:r>
              <w:rPr>
                <w:rFonts w:ascii="Calibri" w:hAnsi="Calibri"/>
                <w:b w:val="0"/>
                <w:color w:val="1F2937"/>
                <w:sz w:val="18"/>
              </w:rPr>
              <w:t>Tests verdes actuales</w:t>
            </w:r>
          </w:p>
        </w:tc>
        <w:tc>
          <w:tcPr>
            <w:tcW w:type="dxa" w:w="2100"/>
            <w:tcMar>
              <w:top w:w="80" w:type="dxa"/>
              <w:start w:w="120" w:type="dxa"/>
              <w:bottom w:w="80" w:type="dxa"/>
              <w:end w:w="120" w:type="dxa"/>
            </w:tcMar>
            <w:vAlign w:val="center"/>
          </w:tcPr>
          <w:p>
            <w:pPr>
              <w:jc w:val="left"/>
            </w:pPr>
            <w:r>
              <w:rPr>
                <w:rFonts w:ascii="Calibri" w:hAnsi="Calibri"/>
                <w:b w:val="0"/>
                <w:color w:val="1F2937"/>
                <w:sz w:val="18"/>
              </w:rPr>
              <w:t>325</w:t>
            </w:r>
          </w:p>
        </w:tc>
        <w:tc>
          <w:tcPr>
            <w:tcW w:type="dxa" w:w="4560"/>
            <w:tcMar>
              <w:top w:w="80" w:type="dxa"/>
              <w:start w:w="120" w:type="dxa"/>
              <w:bottom w:w="80" w:type="dxa"/>
              <w:end w:w="120" w:type="dxa"/>
            </w:tcMar>
            <w:vAlign w:val="center"/>
          </w:tcPr>
          <w:p>
            <w:pPr>
              <w:jc w:val="left"/>
            </w:pPr>
            <w:r>
              <w:rPr>
                <w:rFonts w:ascii="Calibri" w:hAnsi="Calibri"/>
                <w:b w:val="0"/>
                <w:color w:val="1F2937"/>
                <w:sz w:val="18"/>
              </w:rPr>
              <w:t>141 Domain + 95 Application + 26 Web + 63 Integration</w:t>
            </w:r>
          </w:p>
        </w:tc>
      </w:tr>
      <w:tr>
        <w:trPr>
          <w:cantSplit w:val="true"/>
        </w:trP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Municipios activos</w:t>
            </w:r>
          </w:p>
        </w:tc>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2</w:t>
            </w:r>
          </w:p>
        </w:tc>
        <w:tc>
          <w:tcPr>
            <w:tcW w:type="dxa" w:w="4560"/>
            <w:shd w:fill="FAFBFC"/>
            <w:tcMar>
              <w:top w:w="80" w:type="dxa"/>
              <w:start w:w="120" w:type="dxa"/>
              <w:bottom w:w="80" w:type="dxa"/>
              <w:end w:w="120" w:type="dxa"/>
            </w:tcMar>
            <w:vAlign w:val="center"/>
          </w:tcPr>
          <w:p>
            <w:pPr>
              <w:jc w:val="left"/>
            </w:pPr>
            <w:r>
              <w:rPr>
                <w:rFonts w:ascii="Calibri" w:hAnsi="Calibri"/>
                <w:b w:val="0"/>
                <w:color w:val="1F2937"/>
                <w:sz w:val="18"/>
              </w:rPr>
              <w:t>Uyuni y Caranavi</w:t>
            </w:r>
          </w:p>
        </w:tc>
      </w:tr>
      <w:tr>
        <w:trPr>
          <w:cantSplit w:val="true"/>
        </w:trPr>
        <w:tc>
          <w:tcPr>
            <w:tcW w:type="dxa" w:w="2700"/>
            <w:tcMar>
              <w:top w:w="80" w:type="dxa"/>
              <w:start w:w="120" w:type="dxa"/>
              <w:bottom w:w="80" w:type="dxa"/>
              <w:end w:w="120" w:type="dxa"/>
            </w:tcMar>
            <w:vAlign w:val="center"/>
          </w:tcPr>
          <w:p>
            <w:pPr>
              <w:jc w:val="left"/>
            </w:pPr>
            <w:r>
              <w:rPr>
                <w:rFonts w:ascii="Calibri" w:hAnsi="Calibri"/>
                <w:b w:val="0"/>
                <w:color w:val="1F2937"/>
                <w:sz w:val="18"/>
              </w:rPr>
              <w:t>Uyuni activo</w:t>
            </w:r>
          </w:p>
        </w:tc>
        <w:tc>
          <w:tcPr>
            <w:tcW w:type="dxa" w:w="2100"/>
            <w:tcMar>
              <w:top w:w="80" w:type="dxa"/>
              <w:start w:w="120" w:type="dxa"/>
              <w:bottom w:w="80" w:type="dxa"/>
              <w:end w:w="120" w:type="dxa"/>
            </w:tcMar>
            <w:vAlign w:val="center"/>
          </w:tcPr>
          <w:p>
            <w:pPr>
              <w:jc w:val="left"/>
            </w:pPr>
            <w:r>
              <w:rPr>
                <w:rFonts w:ascii="Calibri" w:hAnsi="Calibri"/>
                <w:b w:val="0"/>
                <w:color w:val="1F2937"/>
                <w:sz w:val="18"/>
              </w:rPr>
              <w:t>35.013 objetos</w:t>
            </w:r>
          </w:p>
        </w:tc>
        <w:tc>
          <w:tcPr>
            <w:tcW w:type="dxa" w:w="4560"/>
            <w:tcMar>
              <w:top w:w="80" w:type="dxa"/>
              <w:start w:w="120" w:type="dxa"/>
              <w:bottom w:w="80" w:type="dxa"/>
              <w:end w:w="120" w:type="dxa"/>
            </w:tcMar>
            <w:vAlign w:val="center"/>
          </w:tcPr>
          <w:p>
            <w:pPr>
              <w:jc w:val="left"/>
            </w:pPr>
            <w:r>
              <w:rPr>
                <w:rFonts w:ascii="Calibri" w:hAnsi="Calibri"/>
                <w:b w:val="0"/>
                <w:color w:val="1F2937"/>
                <w:sz w:val="18"/>
              </w:rPr>
              <w:t>11.985 parcelas; siete capas</w:t>
            </w:r>
          </w:p>
        </w:tc>
      </w:tr>
      <w:tr>
        <w:trPr>
          <w:cantSplit w:val="true"/>
        </w:trP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Caranavi activo</w:t>
            </w:r>
          </w:p>
        </w:tc>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687 objetos base</w:t>
            </w:r>
          </w:p>
        </w:tc>
        <w:tc>
          <w:tcPr>
            <w:tcW w:type="dxa" w:w="4560"/>
            <w:shd w:fill="FAFBFC"/>
            <w:tcMar>
              <w:top w:w="80" w:type="dxa"/>
              <w:start w:w="120" w:type="dxa"/>
              <w:bottom w:w="80" w:type="dxa"/>
              <w:end w:w="120" w:type="dxa"/>
            </w:tcMar>
            <w:vAlign w:val="center"/>
          </w:tcPr>
          <w:p>
            <w:pPr>
              <w:jc w:val="left"/>
            </w:pPr>
            <w:r>
              <w:rPr>
                <w:rFonts w:ascii="Calibri" w:hAnsi="Calibri"/>
                <w:b w:val="0"/>
                <w:color w:val="1F2937"/>
                <w:sz w:val="18"/>
              </w:rPr>
              <w:t>637 manzanas + 17 áreas + 33 puntos</w:t>
            </w:r>
          </w:p>
        </w:tc>
      </w:tr>
      <w:tr>
        <w:trPr>
          <w:cantSplit w:val="true"/>
        </w:trPr>
        <w:tc>
          <w:tcPr>
            <w:tcW w:type="dxa" w:w="2700"/>
            <w:tcMar>
              <w:top w:w="80" w:type="dxa"/>
              <w:start w:w="120" w:type="dxa"/>
              <w:bottom w:w="80" w:type="dxa"/>
              <w:end w:w="120" w:type="dxa"/>
            </w:tcMar>
            <w:vAlign w:val="center"/>
          </w:tcPr>
          <w:p>
            <w:pPr>
              <w:jc w:val="left"/>
            </w:pPr>
            <w:r>
              <w:rPr>
                <w:rFonts w:ascii="Calibri" w:hAnsi="Calibri"/>
                <w:b w:val="0"/>
                <w:color w:val="1F2937"/>
                <w:sz w:val="18"/>
              </w:rPr>
              <w:t>Padrón Caranavi preparado</w:t>
            </w:r>
          </w:p>
        </w:tc>
        <w:tc>
          <w:tcPr>
            <w:tcW w:type="dxa" w:w="2100"/>
            <w:tcMar>
              <w:top w:w="80" w:type="dxa"/>
              <w:start w:w="120" w:type="dxa"/>
              <w:bottom w:w="80" w:type="dxa"/>
              <w:end w:w="120" w:type="dxa"/>
            </w:tcMar>
            <w:vAlign w:val="center"/>
          </w:tcPr>
          <w:p>
            <w:pPr>
              <w:jc w:val="left"/>
            </w:pPr>
            <w:r>
              <w:rPr>
                <w:rFonts w:ascii="Calibri" w:hAnsi="Calibri"/>
                <w:b w:val="0"/>
                <w:color w:val="1F2937"/>
                <w:sz w:val="18"/>
              </w:rPr>
              <w:t>6.573 predios</w:t>
            </w:r>
          </w:p>
        </w:tc>
        <w:tc>
          <w:tcPr>
            <w:tcW w:type="dxa" w:w="4560"/>
            <w:tcMar>
              <w:top w:w="80" w:type="dxa"/>
              <w:start w:w="120" w:type="dxa"/>
              <w:bottom w:w="80" w:type="dxa"/>
              <w:end w:w="120" w:type="dxa"/>
            </w:tcMar>
            <w:vAlign w:val="center"/>
          </w:tcPr>
          <w:p>
            <w:pPr>
              <w:jc w:val="left"/>
            </w:pPr>
            <w:r>
              <w:rPr>
                <w:rFonts w:ascii="Calibri" w:hAnsi="Calibri"/>
                <w:b w:val="0"/>
                <w:color w:val="1F2937"/>
                <w:sz w:val="18"/>
              </w:rPr>
              <w:t>4.486 con cod_pred; 68,2 %</w:t>
            </w:r>
          </w:p>
        </w:tc>
      </w:tr>
    </w:tbl>
    <w:p>
      <w:pPr>
        <w:spacing w:before="80" w:after="80"/>
      </w:pPr>
      <w:r>
        <w:rPr>
          <w:rFonts w:ascii="Calibri" w:hAnsi="Calibri"/>
          <w:i/>
          <w:color w:val="5F6B7A"/>
          <w:sz w:val="17"/>
        </w:rPr>
        <w:t>Fuente: Git, solución .NET, scripts/sql.ps1 y documentos 3.B.1–3.B.6.</w:t>
      </w:r>
    </w:p>
    <w:p>
      <w:pPr>
        <w:jc w:val="center"/>
      </w:pPr>
      <w:r>
        <w:drawing>
          <wp:inline xmlns:a="http://schemas.openxmlformats.org/drawingml/2006/main" xmlns:pic="http://schemas.openxmlformats.org/drawingml/2006/picture">
            <wp:extent cx="5715000" cy="3302000"/>
            <wp:docPr id="1" name="Picture 1" descr="Línea de tiempo de releases y fase actual." title="Figura 1. Evolución verificada desde la fundación hasta 3.B.7."/>
            <wp:cNvGraphicFramePr>
              <a:graphicFrameLocks noChangeAspect="1"/>
            </wp:cNvGraphicFramePr>
            <a:graphic>
              <a:graphicData uri="http://schemas.openxmlformats.org/drawingml/2006/picture">
                <pic:pic>
                  <pic:nvPicPr>
                    <pic:cNvPr id="0" name="linea_tiempo.png"/>
                    <pic:cNvPicPr/>
                  </pic:nvPicPr>
                  <pic:blipFill>
                    <a:blip r:embed="rId11"/>
                    <a:stretch>
                      <a:fillRect/>
                    </a:stretch>
                  </pic:blipFill>
                  <pic:spPr>
                    <a:xfrm>
                      <a:off x="0" y="0"/>
                      <a:ext cx="5715000" cy="3302000"/>
                    </a:xfrm>
                    <a:prstGeom prst="rect"/>
                  </pic:spPr>
                </pic:pic>
              </a:graphicData>
            </a:graphic>
          </wp:inline>
        </w:drawing>
      </w:r>
    </w:p>
    <w:p>
      <w:pPr>
        <w:spacing w:before="40" w:after="160"/>
        <w:jc w:val="center"/>
      </w:pPr>
      <w:r>
        <w:rPr>
          <w:rFonts w:ascii="Calibri" w:hAnsi="Calibri"/>
          <w:i/>
          <w:color w:val="5F6B7A"/>
          <w:sz w:val="18"/>
        </w:rPr>
        <w:t>Figura 1. Evolución verificada desde la fundación hasta 3.B.7.</w:t>
      </w:r>
    </w:p>
    <w:p>
      <w:pPr>
        <w:pStyle w:val="Heading1"/>
      </w:pPr>
      <w:r>
        <w:t>2. Método, fuentes y límites</w:t>
      </w:r>
    </w:p>
    <w:p>
      <w:pPr>
        <w:pStyle w:val="Heading2"/>
      </w:pPr>
      <w:r>
        <w:t>2.1 Fuentes primarias</w:t>
      </w:r>
    </w:p>
    <w:p>
      <w:pPr>
        <w:pStyle w:val="ListBullet"/>
      </w:pPr>
      <w:r>
        <w:rPr>
          <w:rFonts w:ascii="Calibri" w:hAnsi="Calibri"/>
          <w:color w:val="1F2937"/>
          <w:sz w:val="22"/>
        </w:rPr>
        <w:t>Historial Git completo hasta d4b2d12: 171 commits, fechas, mensajes, ramas y tags.</w:t>
      </w:r>
    </w:p>
    <w:p>
      <w:pPr>
        <w:pStyle w:val="ListBullet"/>
      </w:pPr>
      <w:r>
        <w:rPr>
          <w:rFonts w:ascii="Calibri" w:hAnsi="Calibri"/>
          <w:color w:val="1F2937"/>
          <w:sz w:val="22"/>
        </w:rPr>
        <w:t>AGENTS.md como contrato operativo, con especial atención a 17-bis y 17-ter.</w:t>
      </w:r>
    </w:p>
    <w:p>
      <w:pPr>
        <w:pStyle w:val="ListBullet"/>
      </w:pPr>
      <w:r>
        <w:rPr>
          <w:rFonts w:ascii="Calibri" w:hAnsi="Calibri"/>
          <w:color w:val="1F2937"/>
          <w:sz w:val="22"/>
        </w:rPr>
        <w:t>PLAN_MAESTRO.md v1.1 y ADR 0001–0062, diferenciando estados Aceptado/Propuesta.</w:t>
      </w:r>
    </w:p>
    <w:p>
      <w:pPr>
        <w:pStyle w:val="ListBullet"/>
      </w:pPr>
      <w:r>
        <w:rPr>
          <w:rFonts w:ascii="Calibri" w:hAnsi="Calibri"/>
          <w:color w:val="1F2937"/>
          <w:sz w:val="22"/>
        </w:rPr>
        <w:t>Cierres formales de Sprint 0–3 y documentación de fases 0–3.A.</w:t>
      </w:r>
    </w:p>
    <w:p>
      <w:pPr>
        <w:pStyle w:val="ListBullet"/>
      </w:pPr>
      <w:r>
        <w:rPr>
          <w:rFonts w:ascii="Calibri" w:hAnsi="Calibri"/>
          <w:color w:val="1F2937"/>
          <w:sz w:val="22"/>
        </w:rPr>
        <w:t>Código vigente de dominio, API, importación, activación, visor y seeds.</w:t>
      </w:r>
    </w:p>
    <w:p>
      <w:pPr>
        <w:pStyle w:val="ListBullet"/>
      </w:pPr>
      <w:r>
        <w:rPr>
          <w:rFonts w:ascii="Calibri" w:hAnsi="Calibri"/>
          <w:color w:val="1F2937"/>
          <w:sz w:val="22"/>
        </w:rPr>
        <w:t>Base local consultada de solo lectura mediante scripts/sql.ps1.</w:t>
      </w:r>
    </w:p>
    <w:p>
      <w:pPr>
        <w:pStyle w:val="ListBullet"/>
      </w:pPr>
      <w:r>
        <w:rPr>
          <w:rFonts w:ascii="Calibri" w:hAnsi="Calibri"/>
          <w:color w:val="1F2937"/>
          <w:sz w:val="22"/>
        </w:rPr>
        <w:t>Suite .NET completa ejecutada en esta sesión.</w:t>
      </w:r>
    </w:p>
    <w:p>
      <w:pPr>
        <w:pStyle w:val="ListBullet"/>
      </w:pPr>
      <w:r>
        <w:rPr>
          <w:rFonts w:ascii="Calibri" w:hAnsi="Calibri"/>
          <w:color w:val="1F2937"/>
          <w:sz w:val="22"/>
        </w:rPr>
        <w:t>Documentos 3.B.1, 3.B.2, 3.B.3, 3.B.4 y 3.B.6.</w:t>
      </w:r>
    </w:p>
    <w:p>
      <w:pPr>
        <w:pStyle w:val="Heading2"/>
      </w:pPr>
      <w:r>
        <w:t>2.2 Evidencia de pruebas actual</w:t>
      </w:r>
    </w:p>
    <w:p>
      <w:pPr/>
      <w:r>
        <w:rPr>
          <w:rFonts w:ascii="Calibri" w:hAnsi="Calibri"/>
          <w:i w:val="0"/>
          <w:color w:val="1F2937"/>
          <w:sz w:val="22"/>
        </w:rPr>
        <w:t>El 26/07/2026 se ejecutó dotnet test src\backend\SG.slnx --no-build: los cuatro proyectos terminaron 325/325 en verde, incluidos 63 tests de integración con PostgreSQL/PostGIS real. Esta evidencia confirma los binarios existentes; no sustituye un restore y build frescos. El intento previo del 24/07 detectó DLL bloqueadas por una instancia local de SG.Api, por lo que el informe no declara un build limpio actual.</w:t>
      </w:r>
    </w:p>
    <w:p>
      <w:r>
        <w:br w:type="page"/>
      </w:r>
    </w:p>
    <w:p>
      <w:pPr>
        <w:spacing w:before="80" w:after="80"/>
      </w:pPr>
      <w:r>
        <w:rPr>
          <w:rFonts w:ascii="Calibri" w:hAnsi="Calibri"/>
          <w:b/>
          <w:color w:val="0B2545"/>
          <w:sz w:val="19"/>
        </w:rPr>
        <w:t>Tabla 2. Estado de pruebas al corte</w:t>
      </w:r>
    </w:p>
    <w:tbl>
      <w:tblPr>
        <w:tblStyle w:val="TableGrid"/>
        <w:tblW w:type="dxa" w:w="9360"/>
        <w:jc w:val="left"/>
        <w:tblLayout w:type="fixed"/>
        <w:tblLook w:firstColumn="1" w:firstRow="1" w:lastColumn="0" w:lastRow="0" w:noHBand="0" w:noVBand="1" w:val="04A0"/>
        <w:tblInd w:w="120" w:type="dxa"/>
      </w:tblPr>
      <w:tblGrid>
        <w:gridCol w:w="2700"/>
        <w:gridCol w:w="1000"/>
        <w:gridCol w:w="1400"/>
        <w:gridCol w:w="4260"/>
      </w:tblGrid>
      <w:tr>
        <w:trPr>
          <w:tblHeader w:val="true"/>
          <w:cantSplit w:val="true"/>
        </w:trPr>
        <w:tc>
          <w:tcPr>
            <w:tcW w:type="dxa" w:w="2700"/>
            <w:shd w:fill="F2F4F7"/>
            <w:tcMar>
              <w:top w:w="80" w:type="dxa"/>
              <w:start w:w="120" w:type="dxa"/>
              <w:bottom w:w="80" w:type="dxa"/>
              <w:end w:w="120" w:type="dxa"/>
            </w:tcMar>
            <w:vAlign w:val="center"/>
          </w:tcPr>
          <w:p>
            <w:pPr>
              <w:jc w:val="center"/>
            </w:pPr>
            <w:r>
              <w:rPr>
                <w:rFonts w:ascii="Calibri" w:hAnsi="Calibri"/>
                <w:b/>
                <w:color w:val="0B2545"/>
                <w:sz w:val="18"/>
              </w:rPr>
              <w:t>Proyecto</w:t>
            </w:r>
          </w:p>
        </w:tc>
        <w:tc>
          <w:tcPr>
            <w:tcW w:type="dxa" w:w="1000"/>
            <w:shd w:fill="F2F4F7"/>
            <w:tcMar>
              <w:top w:w="80" w:type="dxa"/>
              <w:start w:w="120" w:type="dxa"/>
              <w:bottom w:w="80" w:type="dxa"/>
              <w:end w:w="120" w:type="dxa"/>
            </w:tcMar>
            <w:vAlign w:val="center"/>
          </w:tcPr>
          <w:p>
            <w:pPr>
              <w:jc w:val="center"/>
            </w:pPr>
            <w:r>
              <w:rPr>
                <w:rFonts w:ascii="Calibri" w:hAnsi="Calibri"/>
                <w:b/>
                <w:color w:val="0B2545"/>
                <w:sz w:val="18"/>
              </w:rPr>
              <w:t>Tests</w:t>
            </w:r>
          </w:p>
        </w:tc>
        <w:tc>
          <w:tcPr>
            <w:tcW w:type="dxa" w:w="1400"/>
            <w:shd w:fill="F2F4F7"/>
            <w:tcMar>
              <w:top w:w="80" w:type="dxa"/>
              <w:start w:w="120" w:type="dxa"/>
              <w:bottom w:w="80" w:type="dxa"/>
              <w:end w:w="120" w:type="dxa"/>
            </w:tcMar>
            <w:vAlign w:val="center"/>
          </w:tcPr>
          <w:p>
            <w:pPr>
              <w:jc w:val="center"/>
            </w:pPr>
            <w:r>
              <w:rPr>
                <w:rFonts w:ascii="Calibri" w:hAnsi="Calibri"/>
                <w:b/>
                <w:color w:val="0B2545"/>
                <w:sz w:val="18"/>
              </w:rPr>
              <w:t>Resultado</w:t>
            </w:r>
          </w:p>
        </w:tc>
        <w:tc>
          <w:tcPr>
            <w:tcW w:type="dxa" w:w="4260"/>
            <w:shd w:fill="F2F4F7"/>
            <w:tcMar>
              <w:top w:w="80" w:type="dxa"/>
              <w:start w:w="120" w:type="dxa"/>
              <w:bottom w:w="80" w:type="dxa"/>
              <w:end w:w="120" w:type="dxa"/>
            </w:tcMar>
            <w:vAlign w:val="center"/>
          </w:tcPr>
          <w:p>
            <w:pPr>
              <w:jc w:val="center"/>
            </w:pPr>
            <w:r>
              <w:rPr>
                <w:rFonts w:ascii="Calibri" w:hAnsi="Calibri"/>
                <w:b/>
                <w:color w:val="0B2545"/>
                <w:sz w:val="18"/>
              </w:rPr>
              <w:t>Observación</w:t>
            </w:r>
          </w:p>
        </w:tc>
      </w:tr>
      <w:tr>
        <w:trPr>
          <w:cantSplit w:val="true"/>
        </w:trPr>
        <w:tc>
          <w:tcPr>
            <w:tcW w:type="dxa" w:w="2700"/>
            <w:tcMar>
              <w:top w:w="80" w:type="dxa"/>
              <w:start w:w="120" w:type="dxa"/>
              <w:bottom w:w="80" w:type="dxa"/>
              <w:end w:w="120" w:type="dxa"/>
            </w:tcMar>
            <w:vAlign w:val="center"/>
          </w:tcPr>
          <w:p>
            <w:pPr>
              <w:jc w:val="left"/>
            </w:pPr>
            <w:r>
              <w:rPr>
                <w:rFonts w:ascii="Calibri" w:hAnsi="Calibri"/>
                <w:b w:val="0"/>
                <w:color w:val="1F2937"/>
                <w:sz w:val="18"/>
              </w:rPr>
              <w:t>SG.Domain.Tests</w:t>
            </w:r>
          </w:p>
        </w:tc>
        <w:tc>
          <w:tcPr>
            <w:tcW w:type="dxa" w:w="1000"/>
            <w:tcMar>
              <w:top w:w="80" w:type="dxa"/>
              <w:start w:w="120" w:type="dxa"/>
              <w:bottom w:w="80" w:type="dxa"/>
              <w:end w:w="120" w:type="dxa"/>
            </w:tcMar>
            <w:vAlign w:val="center"/>
          </w:tcPr>
          <w:p>
            <w:pPr>
              <w:jc w:val="center"/>
            </w:pPr>
            <w:r>
              <w:rPr>
                <w:rFonts w:ascii="Calibri" w:hAnsi="Calibri"/>
                <w:b w:val="0"/>
                <w:color w:val="1F2937"/>
                <w:sz w:val="18"/>
              </w:rPr>
              <w:t>141</w:t>
            </w:r>
          </w:p>
        </w:tc>
        <w:tc>
          <w:tcPr>
            <w:tcW w:type="dxa" w:w="1400"/>
            <w:tcMar>
              <w:top w:w="80" w:type="dxa"/>
              <w:start w:w="120" w:type="dxa"/>
              <w:bottom w:w="80" w:type="dxa"/>
              <w:end w:w="120" w:type="dxa"/>
            </w:tcMar>
            <w:vAlign w:val="center"/>
          </w:tcPr>
          <w:p>
            <w:pPr>
              <w:jc w:val="center"/>
            </w:pPr>
            <w:r>
              <w:rPr>
                <w:rFonts w:ascii="Calibri" w:hAnsi="Calibri"/>
                <w:b/>
                <w:color w:val="2F7D32"/>
                <w:sz w:val="18"/>
              </w:rPr>
              <w:t>Verde</w:t>
            </w:r>
          </w:p>
        </w:tc>
        <w:tc>
          <w:tcPr>
            <w:tcW w:type="dxa" w:w="4260"/>
            <w:tcMar>
              <w:top w:w="80" w:type="dxa"/>
              <w:start w:w="120" w:type="dxa"/>
              <w:bottom w:w="80" w:type="dxa"/>
              <w:end w:w="120" w:type="dxa"/>
            </w:tcMar>
            <w:vAlign w:val="center"/>
          </w:tcPr>
          <w:p>
            <w:pPr>
              <w:jc w:val="left"/>
            </w:pPr>
            <w:r>
              <w:rPr>
                <w:rFonts w:ascii="Calibri" w:hAnsi="Calibri"/>
                <w:b w:val="0"/>
                <w:color w:val="1F2937"/>
                <w:sz w:val="18"/>
              </w:rPr>
              <w:t>Reglas, estados, value objects y DatasetVersion</w:t>
            </w:r>
          </w:p>
        </w:tc>
      </w:tr>
      <w:tr>
        <w:trPr>
          <w:cantSplit w:val="true"/>
        </w:trP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SG.Application.Tests</w:t>
            </w:r>
          </w:p>
        </w:tc>
        <w:tc>
          <w:tcPr>
            <w:tcW w:type="dxa" w:w="1000"/>
            <w:shd w:fill="FAFBFC"/>
            <w:tcMar>
              <w:top w:w="80" w:type="dxa"/>
              <w:start w:w="120" w:type="dxa"/>
              <w:bottom w:w="80" w:type="dxa"/>
              <w:end w:w="120" w:type="dxa"/>
            </w:tcMar>
            <w:vAlign w:val="center"/>
          </w:tcPr>
          <w:p>
            <w:pPr>
              <w:jc w:val="center"/>
            </w:pPr>
            <w:r>
              <w:rPr>
                <w:rFonts w:ascii="Calibri" w:hAnsi="Calibri"/>
                <w:b w:val="0"/>
                <w:color w:val="1F2937"/>
                <w:sz w:val="18"/>
              </w:rPr>
              <w:t>95</w:t>
            </w:r>
          </w:p>
        </w:tc>
        <w:tc>
          <w:tcPr>
            <w:tcW w:type="dxa" w:w="1400"/>
            <w:shd w:fill="FAFBFC"/>
            <w:tcMar>
              <w:top w:w="80" w:type="dxa"/>
              <w:start w:w="120" w:type="dxa"/>
              <w:bottom w:w="80" w:type="dxa"/>
              <w:end w:w="120" w:type="dxa"/>
            </w:tcMar>
            <w:vAlign w:val="center"/>
          </w:tcPr>
          <w:p>
            <w:pPr>
              <w:jc w:val="center"/>
            </w:pPr>
            <w:r>
              <w:rPr>
                <w:rFonts w:ascii="Calibri" w:hAnsi="Calibri"/>
                <w:b/>
                <w:color w:val="2F7D32"/>
                <w:sz w:val="18"/>
              </w:rPr>
              <w:t>Verde</w:t>
            </w:r>
          </w:p>
        </w:tc>
        <w:tc>
          <w:tcPr>
            <w:tcW w:type="dxa" w:w="4260"/>
            <w:shd w:fill="FAFBFC"/>
            <w:tcMar>
              <w:top w:w="80" w:type="dxa"/>
              <w:start w:w="120" w:type="dxa"/>
              <w:bottom w:w="80" w:type="dxa"/>
              <w:end w:w="120" w:type="dxa"/>
            </w:tcMar>
            <w:vAlign w:val="center"/>
          </w:tcPr>
          <w:p>
            <w:pPr>
              <w:jc w:val="left"/>
            </w:pPr>
            <w:r>
              <w:rPr>
                <w:rFonts w:ascii="Calibri" w:hAnsi="Calibri"/>
                <w:b w:val="0"/>
                <w:color w:val="1F2937"/>
                <w:sz w:val="18"/>
              </w:rPr>
              <w:t>Handlers, validación, GIS e importación</w:t>
            </w:r>
          </w:p>
        </w:tc>
      </w:tr>
      <w:tr>
        <w:trPr>
          <w:cantSplit w:val="true"/>
        </w:trPr>
        <w:tc>
          <w:tcPr>
            <w:tcW w:type="dxa" w:w="2700"/>
            <w:tcMar>
              <w:top w:w="80" w:type="dxa"/>
              <w:start w:w="120" w:type="dxa"/>
              <w:bottom w:w="80" w:type="dxa"/>
              <w:end w:w="120" w:type="dxa"/>
            </w:tcMar>
            <w:vAlign w:val="center"/>
          </w:tcPr>
          <w:p>
            <w:pPr>
              <w:jc w:val="left"/>
            </w:pPr>
            <w:r>
              <w:rPr>
                <w:rFonts w:ascii="Calibri" w:hAnsi="Calibri"/>
                <w:b w:val="0"/>
                <w:color w:val="1F2937"/>
                <w:sz w:val="18"/>
              </w:rPr>
              <w:t>SG.Web.Tests</w:t>
            </w:r>
          </w:p>
        </w:tc>
        <w:tc>
          <w:tcPr>
            <w:tcW w:type="dxa" w:w="1000"/>
            <w:tcMar>
              <w:top w:w="80" w:type="dxa"/>
              <w:start w:w="120" w:type="dxa"/>
              <w:bottom w:w="80" w:type="dxa"/>
              <w:end w:w="120" w:type="dxa"/>
            </w:tcMar>
            <w:vAlign w:val="center"/>
          </w:tcPr>
          <w:p>
            <w:pPr>
              <w:jc w:val="center"/>
            </w:pPr>
            <w:r>
              <w:rPr>
                <w:rFonts w:ascii="Calibri" w:hAnsi="Calibri"/>
                <w:b w:val="0"/>
                <w:color w:val="1F2937"/>
                <w:sz w:val="18"/>
              </w:rPr>
              <w:t>26</w:t>
            </w:r>
          </w:p>
        </w:tc>
        <w:tc>
          <w:tcPr>
            <w:tcW w:type="dxa" w:w="1400"/>
            <w:tcMar>
              <w:top w:w="80" w:type="dxa"/>
              <w:start w:w="120" w:type="dxa"/>
              <w:bottom w:w="80" w:type="dxa"/>
              <w:end w:w="120" w:type="dxa"/>
            </w:tcMar>
            <w:vAlign w:val="center"/>
          </w:tcPr>
          <w:p>
            <w:pPr>
              <w:jc w:val="center"/>
            </w:pPr>
            <w:r>
              <w:rPr>
                <w:rFonts w:ascii="Calibri" w:hAnsi="Calibri"/>
                <w:b/>
                <w:color w:val="2F7D32"/>
                <w:sz w:val="18"/>
              </w:rPr>
              <w:t>Verde</w:t>
            </w:r>
          </w:p>
        </w:tc>
        <w:tc>
          <w:tcPr>
            <w:tcW w:type="dxa" w:w="4260"/>
            <w:tcMar>
              <w:top w:w="80" w:type="dxa"/>
              <w:start w:w="120" w:type="dxa"/>
              <w:bottom w:w="80" w:type="dxa"/>
              <w:end w:w="120" w:type="dxa"/>
            </w:tcMar>
            <w:vAlign w:val="center"/>
          </w:tcPr>
          <w:p>
            <w:pPr>
              <w:jc w:val="left"/>
            </w:pPr>
            <w:r>
              <w:rPr>
                <w:rFonts w:ascii="Calibri" w:hAnsi="Calibri"/>
                <w:b w:val="0"/>
                <w:color w:val="1F2937"/>
                <w:sz w:val="18"/>
              </w:rPr>
              <w:t>Sesión, visor, búsqueda y croquis</w:t>
            </w:r>
          </w:p>
        </w:tc>
      </w:tr>
      <w:tr>
        <w:trPr>
          <w:cantSplit w:val="true"/>
        </w:trP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SG.Api.IntegrationTests</w:t>
            </w:r>
          </w:p>
        </w:tc>
        <w:tc>
          <w:tcPr>
            <w:tcW w:type="dxa" w:w="1000"/>
            <w:shd w:fill="FAFBFC"/>
            <w:tcMar>
              <w:top w:w="80" w:type="dxa"/>
              <w:start w:w="120" w:type="dxa"/>
              <w:bottom w:w="80" w:type="dxa"/>
              <w:end w:w="120" w:type="dxa"/>
            </w:tcMar>
            <w:vAlign w:val="center"/>
          </w:tcPr>
          <w:p>
            <w:pPr>
              <w:jc w:val="center"/>
            </w:pPr>
            <w:r>
              <w:rPr>
                <w:rFonts w:ascii="Calibri" w:hAnsi="Calibri"/>
                <w:b w:val="0"/>
                <w:color w:val="1F2937"/>
                <w:sz w:val="18"/>
              </w:rPr>
              <w:t>63</w:t>
            </w:r>
          </w:p>
        </w:tc>
        <w:tc>
          <w:tcPr>
            <w:tcW w:type="dxa" w:w="1400"/>
            <w:shd w:fill="FAFBFC"/>
            <w:tcMar>
              <w:top w:w="80" w:type="dxa"/>
              <w:start w:w="120" w:type="dxa"/>
              <w:bottom w:w="80" w:type="dxa"/>
              <w:end w:w="120" w:type="dxa"/>
            </w:tcMar>
            <w:vAlign w:val="center"/>
          </w:tcPr>
          <w:p>
            <w:pPr>
              <w:jc w:val="center"/>
            </w:pPr>
            <w:r>
              <w:rPr>
                <w:rFonts w:ascii="Calibri" w:hAnsi="Calibri"/>
                <w:b/>
                <w:color w:val="2F7D32"/>
                <w:sz w:val="18"/>
              </w:rPr>
              <w:t>Verde</w:t>
            </w:r>
          </w:p>
        </w:tc>
        <w:tc>
          <w:tcPr>
            <w:tcW w:type="dxa" w:w="4260"/>
            <w:shd w:fill="FAFBFC"/>
            <w:tcMar>
              <w:top w:w="80" w:type="dxa"/>
              <w:start w:w="120" w:type="dxa"/>
              <w:bottom w:w="80" w:type="dxa"/>
              <w:end w:w="120" w:type="dxa"/>
            </w:tcMar>
            <w:vAlign w:val="center"/>
          </w:tcPr>
          <w:p>
            <w:pPr>
              <w:jc w:val="left"/>
            </w:pPr>
            <w:r>
              <w:rPr>
                <w:rFonts w:ascii="Calibri" w:hAnsi="Calibri"/>
                <w:b w:val="0"/>
                <w:color w:val="1F2937"/>
                <w:sz w:val="18"/>
              </w:rPr>
              <w:t>PostgreSQL/PostGIS real mediante Testcontainers</w:t>
            </w:r>
          </w:p>
        </w:tc>
      </w:tr>
      <w:tr>
        <w:trPr>
          <w:cantSplit w:val="true"/>
        </w:trPr>
        <w:tc>
          <w:tcPr>
            <w:tcW w:type="dxa" w:w="2700"/>
            <w:tcMar>
              <w:top w:w="80" w:type="dxa"/>
              <w:start w:w="120" w:type="dxa"/>
              <w:bottom w:w="80" w:type="dxa"/>
              <w:end w:w="120" w:type="dxa"/>
            </w:tcMar>
            <w:vAlign w:val="center"/>
          </w:tcPr>
          <w:p>
            <w:pPr>
              <w:jc w:val="left"/>
            </w:pPr>
            <w:r>
              <w:rPr>
                <w:rFonts w:ascii="Calibri" w:hAnsi="Calibri"/>
                <w:b w:val="0"/>
                <w:color w:val="1F2937"/>
                <w:sz w:val="18"/>
              </w:rPr>
              <w:t>SG.Web.E2E</w:t>
            </w:r>
          </w:p>
        </w:tc>
        <w:tc>
          <w:tcPr>
            <w:tcW w:type="dxa" w:w="1000"/>
            <w:tcMar>
              <w:top w:w="80" w:type="dxa"/>
              <w:start w:w="120" w:type="dxa"/>
              <w:bottom w:w="80" w:type="dxa"/>
              <w:end w:w="120" w:type="dxa"/>
            </w:tcMar>
            <w:vAlign w:val="center"/>
          </w:tcPr>
          <w:p>
            <w:pPr>
              <w:jc w:val="left"/>
            </w:pPr>
            <w:r>
              <w:rPr>
                <w:rFonts w:ascii="Calibri" w:hAnsi="Calibri"/>
                <w:b w:val="0"/>
                <w:color w:val="1F2937"/>
                <w:sz w:val="18"/>
              </w:rPr>
              <w:t>independiente</w:t>
            </w:r>
          </w:p>
        </w:tc>
        <w:tc>
          <w:tcPr>
            <w:tcW w:type="dxa" w:w="1400"/>
            <w:tcMar>
              <w:top w:w="80" w:type="dxa"/>
              <w:start w:w="120" w:type="dxa"/>
              <w:bottom w:w="80" w:type="dxa"/>
              <w:end w:w="120" w:type="dxa"/>
            </w:tcMar>
            <w:vAlign w:val="center"/>
          </w:tcPr>
          <w:p>
            <w:pPr>
              <w:jc w:val="center"/>
            </w:pPr>
            <w:r>
              <w:rPr>
                <w:rFonts w:ascii="Calibri" w:hAnsi="Calibri"/>
                <w:b/>
                <w:color w:val="1F2937"/>
                <w:sz w:val="18"/>
              </w:rPr>
              <w:t>No ejecutado</w:t>
            </w:r>
          </w:p>
        </w:tc>
        <w:tc>
          <w:tcPr>
            <w:tcW w:type="dxa" w:w="4260"/>
            <w:tcMar>
              <w:top w:w="80" w:type="dxa"/>
              <w:start w:w="120" w:type="dxa"/>
              <w:bottom w:w="80" w:type="dxa"/>
              <w:end w:w="120" w:type="dxa"/>
            </w:tcMar>
            <w:vAlign w:val="center"/>
          </w:tcPr>
          <w:p>
            <w:pPr>
              <w:jc w:val="left"/>
            </w:pPr>
            <w:r>
              <w:rPr>
                <w:rFonts w:ascii="Calibri" w:hAnsi="Calibri"/>
                <w:b w:val="0"/>
                <w:color w:val="1F2937"/>
                <w:sz w:val="18"/>
              </w:rPr>
              <w:t>Requiere stack/auth/browser; fuera de SG.slnx</w:t>
            </w:r>
          </w:p>
        </w:tc>
      </w:tr>
    </w:tbl>
    <w:p>
      <w:pPr>
        <w:spacing w:before="80" w:after="80"/>
      </w:pPr>
      <w:r>
        <w:rPr>
          <w:rFonts w:ascii="Calibri" w:hAnsi="Calibri"/>
          <w:i/>
          <w:color w:val="5F6B7A"/>
          <w:sz w:val="17"/>
        </w:rPr>
        <w:t>Fuente: dotnet test src\backend\SG.slnx --no-build.</w:t>
      </w:r>
    </w:p>
    <w:p>
      <w:pPr>
        <w:pStyle w:val="Heading2"/>
      </w:pPr>
      <w:r>
        <w:t>2.3 Límites</w:t>
      </w:r>
    </w:p>
    <w:p>
      <w:pPr>
        <w:pStyle w:val="ListBullet"/>
      </w:pPr>
      <w:r>
        <w:rPr>
          <w:rFonts w:ascii="Calibri" w:hAnsi="Calibri"/>
          <w:color w:val="1F2937"/>
          <w:sz w:val="22"/>
        </w:rPr>
        <w:t>No se ejecutó GDAL: el frente DGN pertenece a OSGeo4W en la máquina del orquestador.</w:t>
      </w:r>
    </w:p>
    <w:p>
      <w:pPr>
        <w:pStyle w:val="ListBullet"/>
      </w:pPr>
      <w:r>
        <w:rPr>
          <w:rFonts w:ascii="Calibri" w:hAnsi="Calibri"/>
          <w:color w:val="1F2937"/>
          <w:sz w:val="22"/>
        </w:rPr>
        <w:t>No se validó operación remota ni VPS; la evidencia es local.</w:t>
      </w:r>
    </w:p>
    <w:p>
      <w:pPr>
        <w:pStyle w:val="ListBullet"/>
      </w:pPr>
      <w:r>
        <w:rPr>
          <w:rFonts w:ascii="Calibri" w:hAnsi="Calibri"/>
          <w:color w:val="1F2937"/>
          <w:sz w:val="22"/>
        </w:rPr>
        <w:t>No se atribuye validez oficial a valores catastrales, catálogos o fórmulas pendientes del GAM.</w:t>
      </w:r>
    </w:p>
    <w:p>
      <w:pPr>
        <w:pStyle w:val="ListBullet"/>
      </w:pPr>
      <w:r>
        <w:rPr>
          <w:rFonts w:ascii="Calibri" w:hAnsi="Calibri"/>
          <w:color w:val="1F2937"/>
          <w:sz w:val="22"/>
        </w:rPr>
        <w:t>Los porcentajes de avance no se inventan: el informe usa estados discretos por entregable.</w:t>
      </w:r>
    </w:p>
    <w:p>
      <w:pPr>
        <w:pStyle w:val="ListBullet"/>
      </w:pPr>
      <w:r>
        <w:rPr>
          <w:rFonts w:ascii="Calibri" w:hAnsi="Calibri"/>
          <w:color w:val="1F2937"/>
          <w:sz w:val="22"/>
        </w:rPr>
        <w:t>Las recomendaciones regulatorias deben revisarse con asesoría jurídica y autoridades competentes.</w:t>
      </w:r>
    </w:p>
    <w:p>
      <w:pPr>
        <w:pStyle w:val="Heading2"/>
      </w:pPr>
      <w:r>
        <w:t>2.4 Revisión cruzada de los informes Codex y Claude</w:t>
      </w:r>
    </w:p>
    <w:p>
      <w:pPr/>
      <w:r>
        <w:rPr>
          <w:rFonts w:ascii="Calibri" w:hAnsi="Calibri"/>
          <w:i w:val="0"/>
          <w:color w:val="1F2937"/>
          <w:sz w:val="22"/>
        </w:rPr>
        <w:t>El informe corregido de Claude mejora la síntesis ejecutiva y expresa con claridad los dos obstáculos de 3.B.7: rechazo del paquete incompleto y reemplazo de la versión activa. El informe integral anterior aporta mayor cobertura de riesgos, operación, excelencia y trabajo pendiente. Esta versión final conserva ambas fortalezas y corrige los puntos que todavía carecían de precisión o trazabilidad.</w:t>
      </w:r>
    </w:p>
    <w:p>
      <w:pPr>
        <w:spacing w:before="80" w:after="80"/>
      </w:pPr>
      <w:r>
        <w:rPr>
          <w:rFonts w:ascii="Calibri" w:hAnsi="Calibri"/>
          <w:b/>
          <w:color w:val="0B2545"/>
          <w:sz w:val="19"/>
        </w:rPr>
        <w:t>Tabla R1. Correcciones incorporadas por la revisión cruzada</w:t>
      </w:r>
    </w:p>
    <w:tbl>
      <w:tblPr>
        <w:tblStyle w:val="TableGrid"/>
        <w:tblW w:type="dxa" w:w="9360"/>
        <w:jc w:val="left"/>
        <w:tblLayout w:type="fixed"/>
        <w:tblLook w:firstColumn="1" w:firstRow="1" w:lastColumn="0" w:lastRow="0" w:noHBand="0" w:noVBand="1" w:val="04A0"/>
        <w:tblInd w:w="120" w:type="dxa"/>
      </w:tblPr>
      <w:tblGrid>
        <w:gridCol w:w="2050"/>
        <w:gridCol w:w="3540"/>
        <w:gridCol w:w="3770"/>
      </w:tblGrid>
      <w:tr>
        <w:trPr>
          <w:tblHeader w:val="true"/>
          <w:cantSplit w:val="true"/>
        </w:trPr>
        <w:tc>
          <w:tcPr>
            <w:tcW w:type="dxa" w:w="2050"/>
            <w:shd w:fill="F2F4F7"/>
            <w:tcMar>
              <w:top w:w="80" w:type="dxa"/>
              <w:start w:w="120" w:type="dxa"/>
              <w:bottom w:w="80" w:type="dxa"/>
              <w:end w:w="120" w:type="dxa"/>
            </w:tcMar>
            <w:vAlign w:val="center"/>
          </w:tcPr>
          <w:p>
            <w:pPr>
              <w:jc w:val="center"/>
            </w:pPr>
            <w:r>
              <w:rPr>
                <w:rFonts w:ascii="Calibri" w:hAnsi="Calibri"/>
                <w:b/>
                <w:color w:val="0B2545"/>
                <w:sz w:val="18"/>
              </w:rPr>
              <w:t>Tema revisado</w:t>
            </w:r>
          </w:p>
        </w:tc>
        <w:tc>
          <w:tcPr>
            <w:tcW w:type="dxa" w:w="3540"/>
            <w:shd w:fill="F2F4F7"/>
            <w:tcMar>
              <w:top w:w="80" w:type="dxa"/>
              <w:start w:w="120" w:type="dxa"/>
              <w:bottom w:w="80" w:type="dxa"/>
              <w:end w:w="120" w:type="dxa"/>
            </w:tcMar>
            <w:vAlign w:val="center"/>
          </w:tcPr>
          <w:p>
            <w:pPr>
              <w:jc w:val="left"/>
            </w:pPr>
            <w:r>
              <w:rPr>
                <w:rFonts w:ascii="Calibri" w:hAnsi="Calibri"/>
                <w:b/>
                <w:color w:val="0B2545"/>
                <w:sz w:val="18"/>
              </w:rPr>
              <w:t>Dato o formulación que debía ajustarse</w:t>
            </w:r>
          </w:p>
        </w:tc>
        <w:tc>
          <w:tcPr>
            <w:tcW w:type="dxa" w:w="3770"/>
            <w:shd w:fill="F2F4F7"/>
            <w:tcMar>
              <w:top w:w="80" w:type="dxa"/>
              <w:start w:w="120" w:type="dxa"/>
              <w:bottom w:w="80" w:type="dxa"/>
              <w:end w:w="120" w:type="dxa"/>
            </w:tcMar>
            <w:vAlign w:val="center"/>
          </w:tcPr>
          <w:p>
            <w:pPr>
              <w:jc w:val="left"/>
            </w:pPr>
            <w:r>
              <w:rPr>
                <w:rFonts w:ascii="Calibri" w:hAnsi="Calibri"/>
                <w:b/>
                <w:color w:val="0B2545"/>
                <w:sz w:val="18"/>
              </w:rPr>
              <w:t>Criterio final incorporado</w:t>
            </w:r>
          </w:p>
        </w:tc>
      </w:tr>
      <w:tr>
        <w:trPr>
          <w:cantSplit w:val="true"/>
        </w:trPr>
        <w:tc>
          <w:tcPr>
            <w:tcW w:type="dxa" w:w="2050"/>
            <w:tcMar>
              <w:top w:w="80" w:type="dxa"/>
              <w:start w:w="120" w:type="dxa"/>
              <w:bottom w:w="80" w:type="dxa"/>
              <w:end w:w="120" w:type="dxa"/>
            </w:tcMar>
            <w:vAlign w:val="center"/>
          </w:tcPr>
          <w:p>
            <w:pPr>
              <w:jc w:val="left"/>
            </w:pPr>
            <w:r>
              <w:rPr>
                <w:rFonts w:ascii="Calibri" w:hAnsi="Calibri"/>
                <w:b w:val="0"/>
                <w:color w:val="1F2937"/>
                <w:sz w:val="18"/>
              </w:rPr>
              <w:t>Inventario Git</w:t>
            </w:r>
          </w:p>
        </w:tc>
        <w:tc>
          <w:tcPr>
            <w:tcW w:type="dxa" w:w="3540"/>
            <w:tcMar>
              <w:top w:w="80" w:type="dxa"/>
              <w:start w:w="120" w:type="dxa"/>
              <w:bottom w:w="80" w:type="dxa"/>
              <w:end w:w="120" w:type="dxa"/>
            </w:tcMar>
            <w:vAlign w:val="center"/>
          </w:tcPr>
          <w:p>
            <w:pPr>
              <w:jc w:val="left"/>
            </w:pPr>
            <w:r>
              <w:rPr>
                <w:rFonts w:ascii="Calibri" w:hAnsi="Calibri"/>
                <w:b w:val="0"/>
                <w:color w:val="1F2937"/>
                <w:sz w:val="18"/>
              </w:rPr>
              <w:t>Se hablaba de 6 tags</w:t>
            </w:r>
          </w:p>
        </w:tc>
        <w:tc>
          <w:tcPr>
            <w:tcW w:type="dxa" w:w="3770"/>
            <w:tcMar>
              <w:top w:w="80" w:type="dxa"/>
              <w:start w:w="120" w:type="dxa"/>
              <w:bottom w:w="80" w:type="dxa"/>
              <w:end w:w="120" w:type="dxa"/>
            </w:tcMar>
            <w:vAlign w:val="center"/>
          </w:tcPr>
          <w:p>
            <w:pPr>
              <w:jc w:val="left"/>
            </w:pPr>
            <w:r>
              <w:rPr>
                <w:rFonts w:ascii="Calibri" w:hAnsi="Calibri"/>
                <w:b w:val="0"/>
                <w:color w:val="1F2937"/>
                <w:sz w:val="18"/>
              </w:rPr>
              <w:t>Hay 8 tags: 6 hitos de versión/fase y 2 checkpoints</w:t>
            </w:r>
          </w:p>
        </w:tc>
      </w:tr>
      <w:tr>
        <w:trPr>
          <w:cantSplit w:val="true"/>
        </w:trPr>
        <w:tc>
          <w:tcPr>
            <w:tcW w:type="dxa" w:w="2050"/>
            <w:shd w:fill="FAFBFC"/>
            <w:tcMar>
              <w:top w:w="80" w:type="dxa"/>
              <w:start w:w="120" w:type="dxa"/>
              <w:bottom w:w="80" w:type="dxa"/>
              <w:end w:w="120" w:type="dxa"/>
            </w:tcMar>
            <w:vAlign w:val="center"/>
          </w:tcPr>
          <w:p>
            <w:pPr>
              <w:jc w:val="left"/>
            </w:pPr>
            <w:r>
              <w:rPr>
                <w:rFonts w:ascii="Calibri" w:hAnsi="Calibri"/>
                <w:b w:val="0"/>
                <w:color w:val="1F2937"/>
                <w:sz w:val="18"/>
              </w:rPr>
              <w:t>Migrations</w:t>
            </w:r>
          </w:p>
        </w:tc>
        <w:tc>
          <w:tcPr>
            <w:tcW w:type="dxa" w:w="3540"/>
            <w:shd w:fill="FAFBFC"/>
            <w:tcMar>
              <w:top w:w="80" w:type="dxa"/>
              <w:start w:w="120" w:type="dxa"/>
              <w:bottom w:w="80" w:type="dxa"/>
              <w:end w:w="120" w:type="dxa"/>
            </w:tcMar>
            <w:vAlign w:val="center"/>
          </w:tcPr>
          <w:p>
            <w:pPr>
              <w:jc w:val="left"/>
            </w:pPr>
            <w:r>
              <w:rPr>
                <w:rFonts w:ascii="Calibri" w:hAnsi="Calibri"/>
                <w:b w:val="0"/>
                <w:color w:val="1F2937"/>
                <w:sz w:val="18"/>
              </w:rPr>
              <w:t>El conteo podía incluir ModelSnapshot</w:t>
            </w:r>
          </w:p>
        </w:tc>
        <w:tc>
          <w:tcPr>
            <w:tcW w:type="dxa" w:w="3770"/>
            <w:shd w:fill="FAFBFC"/>
            <w:tcMar>
              <w:top w:w="80" w:type="dxa"/>
              <w:start w:w="120" w:type="dxa"/>
              <w:bottom w:w="80" w:type="dxa"/>
              <w:end w:w="120" w:type="dxa"/>
            </w:tcMar>
            <w:vAlign w:val="center"/>
          </w:tcPr>
          <w:p>
            <w:pPr>
              <w:jc w:val="left"/>
            </w:pPr>
            <w:r>
              <w:rPr>
                <w:rFonts w:ascii="Calibri" w:hAnsi="Calibri"/>
                <w:b w:val="0"/>
                <w:color w:val="1F2937"/>
                <w:sz w:val="18"/>
              </w:rPr>
              <w:t>15 migraciones M001–M015; ModelSnapshot no es migración</w:t>
            </w:r>
          </w:p>
        </w:tc>
      </w:tr>
      <w:tr>
        <w:trPr>
          <w:cantSplit w:val="true"/>
        </w:trPr>
        <w:tc>
          <w:tcPr>
            <w:tcW w:type="dxa" w:w="2050"/>
            <w:tcMar>
              <w:top w:w="80" w:type="dxa"/>
              <w:start w:w="120" w:type="dxa"/>
              <w:bottom w:w="80" w:type="dxa"/>
              <w:end w:w="120" w:type="dxa"/>
            </w:tcMar>
            <w:vAlign w:val="center"/>
          </w:tcPr>
          <w:p>
            <w:pPr>
              <w:jc w:val="left"/>
            </w:pPr>
            <w:r>
              <w:rPr>
                <w:rFonts w:ascii="Calibri" w:hAnsi="Calibri"/>
                <w:b w:val="0"/>
                <w:color w:val="1F2937"/>
                <w:sz w:val="18"/>
              </w:rPr>
              <w:t>DGN/GDAL</w:t>
            </w:r>
          </w:p>
        </w:tc>
        <w:tc>
          <w:tcPr>
            <w:tcW w:type="dxa" w:w="3540"/>
            <w:tcMar>
              <w:top w:w="80" w:type="dxa"/>
              <w:start w:w="120" w:type="dxa"/>
              <w:bottom w:w="80" w:type="dxa"/>
              <w:end w:w="120" w:type="dxa"/>
            </w:tcMar>
            <w:vAlign w:val="center"/>
          </w:tcPr>
          <w:p>
            <w:pPr>
              <w:jc w:val="left"/>
            </w:pPr>
            <w:r>
              <w:rPr>
                <w:rFonts w:ascii="Calibri" w:hAnsi="Calibri"/>
                <w:b w:val="0"/>
                <w:color w:val="1F2937"/>
                <w:sz w:val="18"/>
              </w:rPr>
              <w:t>Se citaron 18 reglas cosechadas</w:t>
            </w:r>
          </w:p>
        </w:tc>
        <w:tc>
          <w:tcPr>
            <w:tcW w:type="dxa" w:w="3770"/>
            <w:tcMar>
              <w:top w:w="80" w:type="dxa"/>
              <w:start w:w="120" w:type="dxa"/>
              <w:bottom w:w="80" w:type="dxa"/>
              <w:end w:w="120" w:type="dxa"/>
            </w:tcMar>
            <w:vAlign w:val="center"/>
          </w:tcPr>
          <w:p>
            <w:pPr>
              <w:jc w:val="left"/>
            </w:pPr>
            <w:r>
              <w:rPr>
                <w:rFonts w:ascii="Calibri" w:hAnsi="Calibri"/>
                <w:b w:val="0"/>
                <w:color w:val="1F2937"/>
                <w:sz w:val="18"/>
              </w:rPr>
              <w:t>AGENTS.md 17-ter contiene 34 entradas operativas</w:t>
            </w:r>
          </w:p>
        </w:tc>
      </w:tr>
      <w:tr>
        <w:trPr>
          <w:cantSplit w:val="true"/>
        </w:trPr>
        <w:tc>
          <w:tcPr>
            <w:tcW w:type="dxa" w:w="2050"/>
            <w:shd w:fill="FAFBFC"/>
            <w:tcMar>
              <w:top w:w="80" w:type="dxa"/>
              <w:start w:w="120" w:type="dxa"/>
              <w:bottom w:w="80" w:type="dxa"/>
              <w:end w:w="120" w:type="dxa"/>
            </w:tcMar>
            <w:vAlign w:val="center"/>
          </w:tcPr>
          <w:p>
            <w:pPr>
              <w:jc w:val="left"/>
            </w:pPr>
            <w:r>
              <w:rPr>
                <w:rFonts w:ascii="Calibri" w:hAnsi="Calibri"/>
                <w:b w:val="0"/>
                <w:color w:val="1F2937"/>
                <w:sz w:val="18"/>
              </w:rPr>
              <w:t>Numeración</w:t>
            </w:r>
          </w:p>
        </w:tc>
        <w:tc>
          <w:tcPr>
            <w:tcW w:type="dxa" w:w="3540"/>
            <w:shd w:fill="FAFBFC"/>
            <w:tcMar>
              <w:top w:w="80" w:type="dxa"/>
              <w:start w:w="120" w:type="dxa"/>
              <w:bottom w:w="80" w:type="dxa"/>
              <w:end w:w="120" w:type="dxa"/>
            </w:tcMar>
            <w:vAlign w:val="center"/>
          </w:tcPr>
          <w:p>
            <w:pPr>
              <w:jc w:val="left"/>
            </w:pPr>
            <w:r>
              <w:rPr>
                <w:rFonts w:ascii="Calibri" w:hAnsi="Calibri"/>
                <w:b w:val="0"/>
                <w:color w:val="1F2937"/>
                <w:sz w:val="18"/>
              </w:rPr>
              <w:t>4.504 y 4.486 podían leerse como equivalentes</w:t>
            </w:r>
          </w:p>
        </w:tc>
        <w:tc>
          <w:tcPr>
            <w:tcW w:type="dxa" w:w="3770"/>
            <w:shd w:fill="FAFBFC"/>
            <w:tcMar>
              <w:top w:w="80" w:type="dxa"/>
              <w:start w:w="120" w:type="dxa"/>
              <w:bottom w:w="80" w:type="dxa"/>
              <w:end w:w="120" w:type="dxa"/>
            </w:tcMar>
            <w:vAlign w:val="center"/>
          </w:tcPr>
          <w:p>
            <w:pPr>
              <w:jc w:val="left"/>
            </w:pPr>
            <w:r>
              <w:rPr>
                <w:rFonts w:ascii="Calibri" w:hAnsi="Calibri"/>
                <w:b w:val="0"/>
                <w:color w:val="1F2937"/>
                <w:sz w:val="18"/>
              </w:rPr>
              <w:t>4.504 = exactamente un texto; 4.486 = cod_pred canónico final</w:t>
            </w:r>
          </w:p>
        </w:tc>
      </w:tr>
      <w:tr>
        <w:trPr>
          <w:cantSplit w:val="true"/>
        </w:trPr>
        <w:tc>
          <w:tcPr>
            <w:tcW w:type="dxa" w:w="2050"/>
            <w:tcMar>
              <w:top w:w="80" w:type="dxa"/>
              <w:start w:w="120" w:type="dxa"/>
              <w:bottom w:w="80" w:type="dxa"/>
              <w:end w:w="120" w:type="dxa"/>
            </w:tcMar>
            <w:vAlign w:val="center"/>
          </w:tcPr>
          <w:p>
            <w:pPr>
              <w:jc w:val="left"/>
            </w:pPr>
            <w:r>
              <w:rPr>
                <w:rFonts w:ascii="Calibri" w:hAnsi="Calibri"/>
                <w:b w:val="0"/>
                <w:color w:val="1F2937"/>
                <w:sz w:val="18"/>
              </w:rPr>
              <w:t>Faltantes</w:t>
            </w:r>
          </w:p>
        </w:tc>
        <w:tc>
          <w:tcPr>
            <w:tcW w:type="dxa" w:w="3540"/>
            <w:tcMar>
              <w:top w:w="80" w:type="dxa"/>
              <w:start w:w="120" w:type="dxa"/>
              <w:bottom w:w="80" w:type="dxa"/>
              <w:end w:w="120" w:type="dxa"/>
            </w:tcMar>
            <w:vAlign w:val="center"/>
          </w:tcPr>
          <w:p>
            <w:pPr>
              <w:jc w:val="left"/>
            </w:pPr>
            <w:r>
              <w:rPr>
                <w:rFonts w:ascii="Calibri" w:hAnsi="Calibri"/>
                <w:b w:val="0"/>
                <w:color w:val="1F2937"/>
                <w:sz w:val="18"/>
              </w:rPr>
              <w:t>1.843 podía interpretarse como total sin número</w:t>
            </w:r>
          </w:p>
        </w:tc>
        <w:tc>
          <w:tcPr>
            <w:tcW w:type="dxa" w:w="3770"/>
            <w:tcMar>
              <w:top w:w="80" w:type="dxa"/>
              <w:start w:w="120" w:type="dxa"/>
              <w:bottom w:w="80" w:type="dxa"/>
              <w:end w:w="120" w:type="dxa"/>
            </w:tcMar>
            <w:vAlign w:val="center"/>
          </w:tcPr>
          <w:p>
            <w:pPr>
              <w:jc w:val="left"/>
            </w:pPr>
            <w:r>
              <w:rPr>
                <w:rFonts w:ascii="Calibri" w:hAnsi="Calibri"/>
                <w:b w:val="0"/>
                <w:color w:val="1F2937"/>
                <w:sz w:val="18"/>
              </w:rPr>
              <w:t>1.843 = subconjunto sin_texto; total sin cod_pred = 2.087</w:t>
            </w:r>
          </w:p>
        </w:tc>
      </w:tr>
      <w:tr>
        <w:trPr>
          <w:cantSplit w:val="true"/>
        </w:trPr>
        <w:tc>
          <w:tcPr>
            <w:tcW w:type="dxa" w:w="2050"/>
            <w:shd w:fill="FAFBFC"/>
            <w:tcMar>
              <w:top w:w="80" w:type="dxa"/>
              <w:start w:w="120" w:type="dxa"/>
              <w:bottom w:w="80" w:type="dxa"/>
              <w:end w:w="120" w:type="dxa"/>
            </w:tcMar>
            <w:vAlign w:val="center"/>
          </w:tcPr>
          <w:p>
            <w:pPr>
              <w:jc w:val="left"/>
            </w:pPr>
            <w:r>
              <w:rPr>
                <w:rFonts w:ascii="Calibri" w:hAnsi="Calibri"/>
                <w:b w:val="0"/>
                <w:color w:val="1F2937"/>
                <w:sz w:val="18"/>
              </w:rPr>
              <w:t>Valuación</w:t>
            </w:r>
          </w:p>
        </w:tc>
        <w:tc>
          <w:tcPr>
            <w:tcW w:type="dxa" w:w="3540"/>
            <w:shd w:fill="FAFBFC"/>
            <w:tcMar>
              <w:top w:w="80" w:type="dxa"/>
              <w:start w:w="120" w:type="dxa"/>
              <w:bottom w:w="80" w:type="dxa"/>
              <w:end w:w="120" w:type="dxa"/>
            </w:tcMar>
            <w:vAlign w:val="center"/>
          </w:tcPr>
          <w:p>
            <w:pPr>
              <w:jc w:val="left"/>
            </w:pPr>
            <w:r>
              <w:rPr>
                <w:rFonts w:ascii="Calibri" w:hAnsi="Calibri"/>
                <w:b w:val="0"/>
                <w:color w:val="1F2937"/>
                <w:sz w:val="18"/>
              </w:rPr>
              <w:t>La fórmula aparecía como fundamento consolidado</w:t>
            </w:r>
          </w:p>
        </w:tc>
        <w:tc>
          <w:tcPr>
            <w:tcW w:type="dxa" w:w="3770"/>
            <w:shd w:fill="FAFBFC"/>
            <w:tcMar>
              <w:top w:w="80" w:type="dxa"/>
              <w:start w:w="120" w:type="dxa"/>
              <w:bottom w:w="80" w:type="dxa"/>
              <w:end w:w="120" w:type="dxa"/>
            </w:tcMar>
            <w:vAlign w:val="center"/>
          </w:tcPr>
          <w:p>
            <w:pPr>
              <w:jc w:val="left"/>
            </w:pPr>
            <w:r>
              <w:rPr>
                <w:rFonts w:ascii="Calibri" w:hAnsi="Calibri"/>
                <w:b w:val="0"/>
                <w:color w:val="1F2937"/>
                <w:sz w:val="18"/>
              </w:rPr>
              <w:t>ADR 0045 sigue Propuesta y parcialmente reconstruido</w:t>
            </w:r>
          </w:p>
        </w:tc>
      </w:tr>
      <w:tr>
        <w:trPr>
          <w:cantSplit w:val="true"/>
        </w:trPr>
        <w:tc>
          <w:tcPr>
            <w:tcW w:type="dxa" w:w="2050"/>
            <w:tcMar>
              <w:top w:w="80" w:type="dxa"/>
              <w:start w:w="120" w:type="dxa"/>
              <w:bottom w:w="80" w:type="dxa"/>
              <w:end w:w="120" w:type="dxa"/>
            </w:tcMar>
            <w:vAlign w:val="center"/>
          </w:tcPr>
          <w:p>
            <w:pPr>
              <w:jc w:val="left"/>
            </w:pPr>
            <w:r>
              <w:rPr>
                <w:rFonts w:ascii="Calibri" w:hAnsi="Calibri"/>
                <w:b w:val="0"/>
                <w:color w:val="1F2937"/>
                <w:sz w:val="18"/>
              </w:rPr>
              <w:t>Despliegue</w:t>
            </w:r>
          </w:p>
        </w:tc>
        <w:tc>
          <w:tcPr>
            <w:tcW w:type="dxa" w:w="3540"/>
            <w:tcMar>
              <w:top w:w="80" w:type="dxa"/>
              <w:start w:w="120" w:type="dxa"/>
              <w:bottom w:w="80" w:type="dxa"/>
              <w:end w:w="120" w:type="dxa"/>
            </w:tcMar>
            <w:vAlign w:val="center"/>
          </w:tcPr>
          <w:p>
            <w:pPr>
              <w:jc w:val="left"/>
            </w:pPr>
            <w:r>
              <w:rPr>
                <w:rFonts w:ascii="Calibri" w:hAnsi="Calibri"/>
                <w:b w:val="0"/>
                <w:color w:val="1F2937"/>
                <w:sz w:val="18"/>
              </w:rPr>
              <w:t>Local y nube aparecían sin resolver la contradicción</w:t>
            </w:r>
          </w:p>
        </w:tc>
        <w:tc>
          <w:tcPr>
            <w:tcW w:type="dxa" w:w="3770"/>
            <w:tcMar>
              <w:top w:w="80" w:type="dxa"/>
              <w:start w:w="120" w:type="dxa"/>
              <w:bottom w:w="80" w:type="dxa"/>
              <w:end w:w="120" w:type="dxa"/>
            </w:tcMar>
            <w:vAlign w:val="center"/>
          </w:tcPr>
          <w:p>
            <w:pPr>
              <w:jc w:val="left"/>
            </w:pPr>
            <w:r>
              <w:rPr>
                <w:rFonts w:ascii="Calibri" w:hAnsi="Calibri"/>
                <w:b w:val="0"/>
                <w:color w:val="1F2937"/>
                <w:sz w:val="18"/>
              </w:rPr>
              <w:t>ADR 0047 acepta nube-primero; AGENTS.md conserva texto local/dual obsoleto</w:t>
            </w:r>
          </w:p>
        </w:tc>
      </w:tr>
      <w:tr>
        <w:trPr>
          <w:cantSplit w:val="true"/>
        </w:trPr>
        <w:tc>
          <w:tcPr>
            <w:tcW w:type="dxa" w:w="2050"/>
            <w:shd w:fill="FAFBFC"/>
            <w:tcMar>
              <w:top w:w="80" w:type="dxa"/>
              <w:start w:w="120" w:type="dxa"/>
              <w:bottom w:w="80" w:type="dxa"/>
              <w:end w:w="120" w:type="dxa"/>
            </w:tcMar>
            <w:vAlign w:val="center"/>
          </w:tcPr>
          <w:p>
            <w:pPr>
              <w:jc w:val="left"/>
            </w:pPr>
            <w:r>
              <w:rPr>
                <w:rFonts w:ascii="Calibri" w:hAnsi="Calibri"/>
                <w:b w:val="0"/>
                <w:color w:val="1F2937"/>
                <w:sz w:val="18"/>
              </w:rPr>
              <w:t>Pruebas</w:t>
            </w:r>
          </w:p>
        </w:tc>
        <w:tc>
          <w:tcPr>
            <w:tcW w:type="dxa" w:w="3540"/>
            <w:shd w:fill="FAFBFC"/>
            <w:tcMar>
              <w:top w:w="80" w:type="dxa"/>
              <w:start w:w="120" w:type="dxa"/>
              <w:bottom w:w="80" w:type="dxa"/>
              <w:end w:w="120" w:type="dxa"/>
            </w:tcMar>
            <w:vAlign w:val="center"/>
          </w:tcPr>
          <w:p>
            <w:pPr>
              <w:jc w:val="left"/>
            </w:pPr>
            <w:r>
              <w:rPr>
                <w:rFonts w:ascii="Calibri" w:hAnsi="Calibri"/>
                <w:b w:val="0"/>
                <w:color w:val="1F2937"/>
                <w:sz w:val="18"/>
              </w:rPr>
              <w:t>325 verdes podía confundirse con build limpio</w:t>
            </w:r>
          </w:p>
        </w:tc>
        <w:tc>
          <w:tcPr>
            <w:tcW w:type="dxa" w:w="3770"/>
            <w:shd w:fill="FAFBFC"/>
            <w:tcMar>
              <w:top w:w="80" w:type="dxa"/>
              <w:start w:w="120" w:type="dxa"/>
              <w:bottom w:w="80" w:type="dxa"/>
              <w:end w:w="120" w:type="dxa"/>
            </w:tcMar>
            <w:vAlign w:val="center"/>
          </w:tcPr>
          <w:p>
            <w:pPr>
              <w:jc w:val="left"/>
            </w:pPr>
            <w:r>
              <w:rPr>
                <w:rFonts w:ascii="Calibri" w:hAnsi="Calibri"/>
                <w:b w:val="0"/>
                <w:color w:val="1F2937"/>
                <w:sz w:val="18"/>
              </w:rPr>
              <w:t>325/325 con --no-build; restore/build fresco no demostrado</w:t>
            </w:r>
          </w:p>
        </w:tc>
      </w:tr>
      <w:tr>
        <w:trPr>
          <w:cantSplit w:val="true"/>
        </w:trPr>
        <w:tc>
          <w:tcPr>
            <w:tcW w:type="dxa" w:w="2050"/>
            <w:tcMar>
              <w:top w:w="80" w:type="dxa"/>
              <w:start w:w="120" w:type="dxa"/>
              <w:bottom w:w="80" w:type="dxa"/>
              <w:end w:w="120" w:type="dxa"/>
            </w:tcMar>
            <w:vAlign w:val="center"/>
          </w:tcPr>
          <w:p>
            <w:pPr>
              <w:jc w:val="left"/>
            </w:pPr>
            <w:r>
              <w:rPr>
                <w:rFonts w:ascii="Calibri" w:hAnsi="Calibri"/>
                <w:b w:val="0"/>
                <w:color w:val="1F2937"/>
                <w:sz w:val="18"/>
              </w:rPr>
              <w:t>3.B.7</w:t>
            </w:r>
          </w:p>
        </w:tc>
        <w:tc>
          <w:tcPr>
            <w:tcW w:type="dxa" w:w="3540"/>
            <w:tcMar>
              <w:top w:w="80" w:type="dxa"/>
              <w:start w:w="120" w:type="dxa"/>
              <w:bottom w:w="80" w:type="dxa"/>
              <w:end w:w="120" w:type="dxa"/>
            </w:tcMar>
            <w:vAlign w:val="center"/>
          </w:tcPr>
          <w:p>
            <w:pPr>
              <w:jc w:val="left"/>
            </w:pPr>
            <w:r>
              <w:rPr>
                <w:rFonts w:ascii="Calibri" w:hAnsi="Calibri"/>
                <w:b w:val="0"/>
                <w:color w:val="1F2937"/>
                <w:sz w:val="18"/>
              </w:rPr>
              <w:t>Copy-forward podía leerse como decisión tomada</w:t>
            </w:r>
          </w:p>
        </w:tc>
        <w:tc>
          <w:tcPr>
            <w:tcW w:type="dxa" w:w="3770"/>
            <w:tcMar>
              <w:top w:w="80" w:type="dxa"/>
              <w:start w:w="120" w:type="dxa"/>
              <w:bottom w:w="80" w:type="dxa"/>
              <w:end w:w="120" w:type="dxa"/>
            </w:tcMar>
            <w:vAlign w:val="center"/>
          </w:tcPr>
          <w:p>
            <w:pPr>
              <w:jc w:val="left"/>
            </w:pPr>
            <w:r>
              <w:rPr>
                <w:rFonts w:ascii="Calibri" w:hAnsi="Calibri"/>
                <w:b w:val="0"/>
                <w:color w:val="1F2937"/>
                <w:sz w:val="18"/>
              </w:rPr>
              <w:t>Es recomendación sujeta a ADR, análisis de costo y aprobación</w:t>
            </w:r>
          </w:p>
        </w:tc>
      </w:tr>
    </w:tbl>
    <w:p>
      <w:pPr>
        <w:spacing w:before="80" w:after="80"/>
      </w:pPr>
      <w:r>
        <w:rPr>
          <w:rFonts w:ascii="Calibri" w:hAnsi="Calibri"/>
          <w:i/>
          <w:color w:val="5F6B7A"/>
          <w:sz w:val="17"/>
        </w:rPr>
        <w:t>Fuente: Git, AGENTS.md, ADR 0045/0047, documentos 3.B.3–3.B.6 y ejecución de pruebas del 26/07/2026.</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4EA"/>
          </w:tcPr>
          <w:p>
            <w:pPr>
              <w:spacing w:after="40"/>
            </w:pPr>
            <w:r>
              <w:rPr>
                <w:rFonts w:ascii="Calibri" w:hAnsi="Calibri"/>
                <w:b/>
                <w:color w:val="2F7D32"/>
                <w:sz w:val="18"/>
              </w:rPr>
              <w:t>RESULTADO DE LA REVISIÓN</w:t>
            </w:r>
          </w:p>
          <w:p>
            <w:pPr>
              <w:spacing w:after="0"/>
            </w:pPr>
            <w:r>
              <w:rPr>
                <w:rFonts w:ascii="Calibri" w:hAnsi="Calibri"/>
                <w:color w:val="1F2937"/>
                <w:sz w:val="21"/>
              </w:rPr>
              <w:t>No se adopta un informe sobre el otro. Se produce una tercera versión trazable: más clara que el informe integral anterior, más completa que la versión corregida y explícita sobre sus niveles de certeza.</w:t>
            </w:r>
          </w:p>
        </w:tc>
      </w:tr>
    </w:tbl>
    <w:p>
      <w:pPr>
        <w:spacing w:after="0"/>
      </w:pPr>
    </w:p>
    <w:p>
      <w:pPr>
        <w:pStyle w:val="Heading1"/>
      </w:pPr>
      <w:r>
        <w:t>3. Qué sistema se está construyendo</w:t>
      </w:r>
    </w:p>
    <w:p>
      <w:pPr/>
      <w:r>
        <w:rPr>
          <w:rFonts w:ascii="Calibri" w:hAnsi="Calibri"/>
          <w:i w:val="0"/>
          <w:color w:val="1F2937"/>
          <w:sz w:val="22"/>
        </w:rPr>
        <w:t>El objetivo es un sistema institucional de gestión catastral municipal, no un visor aislado. El producto final debe conectar identidad territorial, predios, propietarios, geometría, valuación, trámites, certificados, documentos, auditoría, consulta, recaudación y operación multi-municipio sin perder linaje.</w:t>
      </w:r>
    </w:p>
    <w:p>
      <w:pPr>
        <w:pStyle w:val="Heading2"/>
      </w:pPr>
      <w:r>
        <w:t>3.1 Principios ya materializados</w:t>
      </w:r>
    </w:p>
    <w:p>
      <w:pPr>
        <w:pStyle w:val="ListBullet"/>
      </w:pPr>
      <w:r>
        <w:rPr>
          <w:rFonts w:ascii="Calibri" w:hAnsi="Calibri"/>
          <w:color w:val="1F2937"/>
          <w:sz w:val="22"/>
        </w:rPr>
        <w:t>Clean Architecture: dominio independiente, casos de uso en Application, adaptadores en Infrastructure y API como borde.</w:t>
      </w:r>
    </w:p>
    <w:p>
      <w:pPr>
        <w:pStyle w:val="ListBullet"/>
      </w:pPr>
      <w:r>
        <w:rPr>
          <w:rFonts w:ascii="Calibri" w:hAnsi="Calibri"/>
          <w:color w:val="1F2937"/>
          <w:sz w:val="22"/>
        </w:rPr>
        <w:t>Geometría institucional en EPSG:32719 y PostGIS como fuente espacial.</w:t>
      </w:r>
    </w:p>
    <w:p>
      <w:pPr>
        <w:pStyle w:val="ListBullet"/>
      </w:pPr>
      <w:r>
        <w:rPr>
          <w:rFonts w:ascii="Calibri" w:hAnsi="Calibri"/>
          <w:color w:val="1F2937"/>
          <w:sz w:val="22"/>
        </w:rPr>
        <w:t>Versionado de cartografía mediante DatasetVersion y selección explícita de versión activa.</w:t>
      </w:r>
    </w:p>
    <w:p>
      <w:pPr>
        <w:pStyle w:val="ListBullet"/>
      </w:pPr>
      <w:r>
        <w:rPr>
          <w:rFonts w:ascii="Calibri" w:hAnsi="Calibri"/>
          <w:color w:val="1F2937"/>
          <w:sz w:val="22"/>
        </w:rPr>
        <w:t>Datos operativos separados del snapshot cartográfico.</w:t>
      </w:r>
    </w:p>
    <w:p>
      <w:pPr>
        <w:pStyle w:val="ListBullet"/>
      </w:pPr>
      <w:r>
        <w:rPr>
          <w:rFonts w:ascii="Calibri" w:hAnsi="Calibri"/>
          <w:color w:val="1F2937"/>
          <w:sz w:val="22"/>
        </w:rPr>
        <w:t>Auditoría automática e inmutable mediante interceptor y trigger.</w:t>
      </w:r>
    </w:p>
    <w:p>
      <w:pPr>
        <w:pStyle w:val="ListBullet"/>
      </w:pPr>
      <w:r>
        <w:rPr>
          <w:rFonts w:ascii="Calibri" w:hAnsi="Calibri"/>
          <w:color w:val="1F2937"/>
          <w:sz w:val="22"/>
        </w:rPr>
        <w:t>Municipio identificado por geocódigo INE y esquemas de capas dirigidos por datos.</w:t>
      </w:r>
    </w:p>
    <w:p>
      <w:pPr>
        <w:pStyle w:val="ListBullet"/>
      </w:pPr>
      <w:r>
        <w:rPr>
          <w:rFonts w:ascii="Calibri" w:hAnsi="Calibri"/>
          <w:color w:val="1F2937"/>
          <w:sz w:val="22"/>
        </w:rPr>
        <w:t>Evidencia antes que opinión: preview, gates, ADR y pruebas.</w:t>
      </w:r>
    </w:p>
    <w:p>
      <w:pPr>
        <w:jc w:val="center"/>
      </w:pPr>
      <w:r>
        <w:drawing>
          <wp:inline xmlns:a="http://schemas.openxmlformats.org/drawingml/2006/main" xmlns:pic="http://schemas.openxmlformats.org/drawingml/2006/picture">
            <wp:extent cx="5715000" cy="3556000"/>
            <wp:docPr id="2" name="Picture 2" descr="Diagrama de capas de SG_SAUL_CATASTRO y persistencia." title="Figura 2. Arquitectura lógica vigente."/>
            <wp:cNvGraphicFramePr>
              <a:graphicFrameLocks noChangeAspect="1"/>
            </wp:cNvGraphicFramePr>
            <a:graphic>
              <a:graphicData uri="http://schemas.openxmlformats.org/drawingml/2006/picture">
                <pic:pic>
                  <pic:nvPicPr>
                    <pic:cNvPr id="0" name="arquitectura.png"/>
                    <pic:cNvPicPr/>
                  </pic:nvPicPr>
                  <pic:blipFill>
                    <a:blip r:embed="rId12"/>
                    <a:stretch>
                      <a:fillRect/>
                    </a:stretch>
                  </pic:blipFill>
                  <pic:spPr>
                    <a:xfrm>
                      <a:off x="0" y="0"/>
                      <a:ext cx="5715000" cy="3556000"/>
                    </a:xfrm>
                    <a:prstGeom prst="rect"/>
                  </pic:spPr>
                </pic:pic>
              </a:graphicData>
            </a:graphic>
          </wp:inline>
        </w:drawing>
      </w:r>
    </w:p>
    <w:p>
      <w:pPr>
        <w:spacing w:before="40" w:after="160"/>
        <w:jc w:val="center"/>
      </w:pPr>
      <w:r>
        <w:rPr>
          <w:rFonts w:ascii="Calibri" w:hAnsi="Calibri"/>
          <w:i/>
          <w:color w:val="5F6B7A"/>
          <w:sz w:val="18"/>
        </w:rPr>
        <w:t>Figura 2. Arquitectura lógica vigente.</w:t>
      </w:r>
    </w:p>
    <w:p>
      <w:pPr>
        <w:pStyle w:val="Heading2"/>
      </w:pPr>
      <w:r>
        <w:t>3.2 Stack real y observación documental</w:t>
      </w:r>
    </w:p>
    <w:p>
      <w:pPr/>
      <w:r>
        <w:rPr>
          <w:rFonts w:ascii="Calibri" w:hAnsi="Calibri"/>
          <w:i w:val="0"/>
          <w:color w:val="1F2937"/>
          <w:sz w:val="22"/>
        </w:rPr>
        <w:t>El stack real del frontend es Blazor WebAssembly sobre .NET 10 con MapLibre GL JS vía interop, de acuerdo con ADR 0046 y el código actual. La sección 3 de AGENTS.md todavía enumera React/Vite/TypeScript/Ant Design. Esta divergencia debe corregirse: el archivo declarado como fuente de verdad no puede contradecir la arquitectura implementada.</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D6"/>
          </w:tcPr>
          <w:p>
            <w:pPr>
              <w:spacing w:after="40"/>
            </w:pPr>
            <w:r>
              <w:rPr>
                <w:rFonts w:ascii="Calibri" w:hAnsi="Calibri"/>
                <w:b/>
                <w:color w:val="A46A00"/>
                <w:sz w:val="18"/>
              </w:rPr>
              <w:t>CORRECCIÓN PRIORITARIA DE DOCUMENTACIÓN</w:t>
            </w:r>
          </w:p>
          <w:p>
            <w:pPr>
              <w:spacing w:after="0"/>
            </w:pPr>
            <w:r>
              <w:rPr>
                <w:rFonts w:ascii="Calibri" w:hAnsi="Calibri"/>
                <w:color w:val="1F2937"/>
                <w:sz w:val="21"/>
              </w:rPr>
              <w:t>Actualizar AGENTS.md para reflejar Blazor WASM y la topología real. Mantener reglas históricas de React como vigentes aumenta el riesgo de que una futura tarea introduzca un segundo frontend incompatible.</w:t>
            </w:r>
          </w:p>
        </w:tc>
      </w:tr>
    </w:tbl>
    <w:p>
      <w:pPr>
        <w:spacing w:after="0"/>
      </w:pPr>
    </w:p>
    <w:p>
      <w:pPr>
        <w:pStyle w:val="Heading2"/>
      </w:pPr>
      <w:r>
        <w:t>3.3 Despliegue real y contradicción documental</w:t>
      </w:r>
    </w:p>
    <w:p>
      <w:pPr/>
      <w:r>
        <w:rPr>
          <w:rFonts w:ascii="Calibri" w:hAnsi="Calibri"/>
          <w:i w:val="0"/>
          <w:color w:val="1F2937"/>
          <w:sz w:val="22"/>
        </w:rPr>
        <w:t>El ADR 0047 está Aceptado y define nube-primero como modelo por defecto y único soportado en v1.0, con una instancia aislada por municipio; on-premise queda como excepción contractual condicionada. En cambio, AGENTS.md todavía declara un modelo dual y prioridad local para el MVP. Para decisiones de despliegue, el ADR posterior y explícitamente aceptado representa la decisión más reciente, pero la contradicción debe corregirse en la fuente maestra antes de contratar o desplegar.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BE9E9"/>
          </w:tcPr>
          <w:p>
            <w:pPr>
              <w:spacing w:after="40"/>
            </w:pPr>
            <w:r>
              <w:rPr>
                <w:rFonts w:ascii="Calibri" w:hAnsi="Calibri"/>
                <w:b/>
                <w:color w:val="9B1C1C"/>
                <w:sz w:val="18"/>
              </w:rPr>
              <w:t>GATE PREVIO AL PILOTO</w:t>
            </w:r>
          </w:p>
          <w:p>
            <w:pPr>
              <w:spacing w:after="0"/>
            </w:pPr>
            <w:r>
              <w:rPr>
                <w:rFonts w:ascii="Calibri" w:hAnsi="Calibri"/>
                <w:color w:val="1F2937"/>
                <w:sz w:val="21"/>
              </w:rPr>
              <w:t>Ratificar una sola redacción canónica: nube-primero por municipio, local únicamente bajo las condiciones de ADR 0047, y verificación jurídica de soberanía/localización de datos antes del primer contrato.</w:t>
            </w:r>
          </w:p>
        </w:tc>
      </w:tr>
    </w:tbl>
    <w:p>
      <w:pPr>
        <w:spacing w:after="0"/>
      </w:pPr>
    </w:p>
    <w:p>
      <w:pPr>
        <w:pStyle w:val="Heading1"/>
      </w:pPr>
      <w:r>
        <w:t>4. Todo lo realizado en el proyecto</w:t>
      </w:r>
    </w:p>
    <w:p>
      <w:pPr>
        <w:pStyle w:val="Heading2"/>
      </w:pPr>
      <w:r>
        <w:t>4.1 Fundación, repositorio y calidad</w:t>
      </w:r>
    </w:p>
    <w:p>
      <w:pPr>
        <w:pStyle w:val="ListBullet"/>
      </w:pPr>
      <w:r>
        <w:rPr>
          <w:rFonts w:ascii="Calibri" w:hAnsi="Calibri"/>
          <w:color w:val="1F2937"/>
          <w:sz w:val="22"/>
        </w:rPr>
        <w:t>Estructura inicial, Git, line endings, .editorconfig, Docker Compose y CI.</w:t>
      </w:r>
    </w:p>
    <w:p>
      <w:pPr>
        <w:pStyle w:val="ListBullet"/>
      </w:pPr>
      <w:r>
        <w:rPr>
          <w:rFonts w:ascii="Calibri" w:hAnsi="Calibri"/>
          <w:color w:val="1F2937"/>
          <w:sz w:val="22"/>
        </w:rPr>
        <w:t>Solución .NET 10 en SG.slnx con proyectos separados por capa.</w:t>
      </w:r>
    </w:p>
    <w:p>
      <w:pPr>
        <w:pStyle w:val="ListBullet"/>
      </w:pPr>
      <w:r>
        <w:rPr>
          <w:rFonts w:ascii="Calibri" w:hAnsi="Calibri"/>
          <w:color w:val="1F2937"/>
          <w:sz w:val="22"/>
        </w:rPr>
        <w:t>Central Package Management, warnings como errores y política de licencias.</w:t>
      </w:r>
    </w:p>
    <w:p>
      <w:pPr>
        <w:pStyle w:val="ListBullet"/>
      </w:pPr>
      <w:r>
        <w:rPr>
          <w:rFonts w:ascii="Calibri" w:hAnsi="Calibri"/>
          <w:color w:val="1F2937"/>
          <w:sz w:val="22"/>
        </w:rPr>
        <w:t>Gitleaks local/CI, política de no exposición y rotación de secretos.</w:t>
      </w:r>
    </w:p>
    <w:p>
      <w:pPr>
        <w:pStyle w:val="ListBullet"/>
      </w:pPr>
      <w:r>
        <w:rPr>
          <w:rFonts w:ascii="Calibri" w:hAnsi="Calibri"/>
          <w:color w:val="1F2937"/>
          <w:sz w:val="22"/>
        </w:rPr>
        <w:t>Política de ramas: develop integra; main representa el release estable.</w:t>
      </w:r>
    </w:p>
    <w:p>
      <w:pPr>
        <w:pStyle w:val="ListBullet"/>
      </w:pPr>
      <w:r>
        <w:rPr>
          <w:rFonts w:ascii="Calibri" w:hAnsi="Calibri"/>
          <w:color w:val="1F2937"/>
          <w:sz w:val="22"/>
        </w:rPr>
        <w:t>Wrappers canónicos de SQL y commit para reducir errores operativos.</w:t>
      </w:r>
    </w:p>
    <w:p>
      <w:pPr>
        <w:pStyle w:val="Heading2"/>
      </w:pPr>
      <w:r>
        <w:t>4.2 Identidad, seguridad y auditoría</w:t>
      </w:r>
    </w:p>
    <w:p>
      <w:pPr>
        <w:pStyle w:val="ListBullet"/>
      </w:pPr>
      <w:r>
        <w:rPr>
          <w:rFonts w:ascii="Calibri" w:hAnsi="Calibri"/>
          <w:color w:val="1F2937"/>
          <w:sz w:val="22"/>
        </w:rPr>
        <w:t>ASP.NET Core Identity, BCrypt, JWT corto, refresh tokens rotables y revocables.</w:t>
      </w:r>
    </w:p>
    <w:p>
      <w:pPr>
        <w:pStyle w:val="ListBullet"/>
      </w:pPr>
      <w:r>
        <w:rPr>
          <w:rFonts w:ascii="Calibri" w:hAnsi="Calibri"/>
          <w:color w:val="1F2937"/>
          <w:sz w:val="22"/>
        </w:rPr>
        <w:t>Endpoints login, refresh, logout y me.</w:t>
      </w:r>
    </w:p>
    <w:p>
      <w:pPr>
        <w:pStyle w:val="ListBullet"/>
      </w:pPr>
      <w:r>
        <w:rPr>
          <w:rFonts w:ascii="Calibri" w:hAnsi="Calibri"/>
          <w:color w:val="1F2937"/>
          <w:sz w:val="22"/>
        </w:rPr>
        <w:t>Seeder fail-fast: no inventa credenciales por defecto.</w:t>
      </w:r>
    </w:p>
    <w:p>
      <w:pPr>
        <w:pStyle w:val="ListBullet"/>
      </w:pPr>
      <w:r>
        <w:rPr>
          <w:rFonts w:ascii="Calibri" w:hAnsi="Calibri"/>
          <w:color w:val="1F2937"/>
          <w:sz w:val="22"/>
        </w:rPr>
        <w:t>Autorización por roles/claims en API y visor.</w:t>
      </w:r>
    </w:p>
    <w:p>
      <w:pPr>
        <w:pStyle w:val="ListBullet"/>
      </w:pPr>
      <w:r>
        <w:rPr>
          <w:rFonts w:ascii="Calibri" w:hAnsi="Calibri"/>
          <w:color w:val="1F2937"/>
          <w:sz w:val="22"/>
        </w:rPr>
        <w:t>Auditoría append-only con doble defensa: interceptor EF Core y trigger de base.</w:t>
      </w:r>
    </w:p>
    <w:p>
      <w:pPr>
        <w:pStyle w:val="ListBullet"/>
      </w:pPr>
      <w:r>
        <w:rPr>
          <w:rFonts w:ascii="Calibri" w:hAnsi="Calibri"/>
          <w:color w:val="1F2937"/>
          <w:sz w:val="22"/>
        </w:rPr>
        <w:t>Registro de incidentes de secretos y endurecimiento SCRAM-SHA-256.</w:t>
      </w:r>
    </w:p>
    <w:p>
      <w:pPr>
        <w:pStyle w:val="Heading2"/>
      </w:pPr>
      <w:r>
        <w:t>4.3 Núcleo catastral</w:t>
      </w:r>
    </w:p>
    <w:p>
      <w:pPr>
        <w:pStyle w:val="ListBullet"/>
      </w:pPr>
      <w:r>
        <w:rPr>
          <w:rFonts w:ascii="Calibri" w:hAnsi="Calibri"/>
          <w:color w:val="1F2937"/>
          <w:sz w:val="22"/>
        </w:rPr>
        <w:t>Predio como agregado con estado, historial y actualización desde importación.</w:t>
      </w:r>
    </w:p>
    <w:p>
      <w:pPr>
        <w:pStyle w:val="ListBullet"/>
      </w:pPr>
      <w:r>
        <w:rPr>
          <w:rFonts w:ascii="Calibri" w:hAnsi="Calibri"/>
          <w:color w:val="1F2937"/>
          <w:sz w:val="22"/>
        </w:rPr>
        <w:t>Propietarios naturales/jurídicos y relación histórica predio–propietario.</w:t>
      </w:r>
    </w:p>
    <w:p>
      <w:pPr>
        <w:pStyle w:val="ListBullet"/>
      </w:pPr>
      <w:r>
        <w:rPr>
          <w:rFonts w:ascii="Calibri" w:hAnsi="Calibri"/>
          <w:color w:val="1F2937"/>
          <w:sz w:val="22"/>
        </w:rPr>
        <w:t>Código catastral, ubicación y geometría como value objects.</w:t>
      </w:r>
    </w:p>
    <w:p>
      <w:pPr>
        <w:pStyle w:val="ListBullet"/>
      </w:pPr>
      <w:r>
        <w:rPr>
          <w:rFonts w:ascii="Calibri" w:hAnsi="Calibri"/>
          <w:color w:val="1F2937"/>
          <w:sz w:val="22"/>
        </w:rPr>
        <w:t>Construcciones, documentos y soft delete.</w:t>
      </w:r>
    </w:p>
    <w:p>
      <w:pPr>
        <w:pStyle w:val="ListBullet"/>
      </w:pPr>
      <w:r>
        <w:rPr>
          <w:rFonts w:ascii="Calibri" w:hAnsi="Calibri"/>
          <w:color w:val="1F2937"/>
          <w:sz w:val="22"/>
        </w:rPr>
        <w:t>Endpoints CRUD, asignación de propietario, geometría, código oficial, estados e historial.</w:t>
      </w:r>
    </w:p>
    <w:p>
      <w:pPr>
        <w:pStyle w:val="ListBullet"/>
      </w:pPr>
      <w:r>
        <w:rPr>
          <w:rFonts w:ascii="Calibri" w:hAnsi="Calibri"/>
          <w:color w:val="1F2937"/>
          <w:sz w:val="22"/>
        </w:rPr>
        <w:t>Dimensión municipal en el maestro y unicidad activa por municipio + tripleta.</w:t>
      </w:r>
    </w:p>
    <w:p>
      <w:pPr>
        <w:pStyle w:val="Heading2"/>
      </w:pPr>
      <w:r>
        <w:t>4.4 Importación y versionado</w:t>
      </w:r>
    </w:p>
    <w:p>
      <w:pPr>
        <w:pStyle w:val="ListBullet"/>
      </w:pPr>
      <w:r>
        <w:rPr>
          <w:rFonts w:ascii="Calibri" w:hAnsi="Calibri"/>
          <w:color w:val="1F2937"/>
          <w:sz w:val="22"/>
        </w:rPr>
        <w:t>Perfiles configurables, mapeos de columnas y equivalencias.</w:t>
      </w:r>
    </w:p>
    <w:p>
      <w:pPr>
        <w:pStyle w:val="ListBullet"/>
      </w:pPr>
      <w:r>
        <w:rPr>
          <w:rFonts w:ascii="Calibri" w:hAnsi="Calibri"/>
          <w:color w:val="1F2937"/>
          <w:sz w:val="22"/>
        </w:rPr>
        <w:t>Preview tradicional y confirmación para importaciones.</w:t>
      </w:r>
    </w:p>
    <w:p>
      <w:pPr>
        <w:pStyle w:val="ListBullet"/>
      </w:pPr>
      <w:r>
        <w:rPr>
          <w:rFonts w:ascii="Calibri" w:hAnsi="Calibri"/>
          <w:color w:val="1F2937"/>
          <w:sz w:val="22"/>
        </w:rPr>
        <w:t>DatasetVersion, estados EnCarga/PreviewListo/Activa/Archivada/Fallida/Descartada.</w:t>
      </w:r>
    </w:p>
    <w:p>
      <w:pPr>
        <w:pStyle w:val="ListBullet"/>
      </w:pPr>
      <w:r>
        <w:rPr>
          <w:rFonts w:ascii="Calibri" w:hAnsi="Calibri"/>
          <w:color w:val="1F2937"/>
          <w:sz w:val="22"/>
        </w:rPr>
        <w:t>Carga asíncrona con paquete persistido en MinIO y recuperación tras reinicio.</w:t>
      </w:r>
    </w:p>
    <w:p>
      <w:pPr>
        <w:pStyle w:val="ListBullet"/>
      </w:pPr>
      <w:r>
        <w:rPr>
          <w:rFonts w:ascii="Calibri" w:hAnsi="Calibri"/>
          <w:color w:val="1F2937"/>
          <w:sz w:val="22"/>
        </w:rPr>
        <w:t>Inspector de ZIP, validación previa y control de SHP/DBF/SHX/PRJ.</w:t>
      </w:r>
    </w:p>
    <w:p>
      <w:pPr>
        <w:pStyle w:val="ListBullet"/>
      </w:pPr>
      <w:r>
        <w:rPr>
          <w:rFonts w:ascii="Calibri" w:hAnsi="Calibri"/>
          <w:color w:val="1F2937"/>
          <w:sz w:val="22"/>
        </w:rPr>
        <w:t>Siete capas de Uyuni y tipos adicionales de Caranavi.</w:t>
      </w:r>
    </w:p>
    <w:p>
      <w:pPr>
        <w:pStyle w:val="ListBullet"/>
      </w:pPr>
      <w:r>
        <w:rPr>
          <w:rFonts w:ascii="Calibri" w:hAnsi="Calibri"/>
          <w:color w:val="1F2937"/>
          <w:sz w:val="22"/>
        </w:rPr>
        <w:t>Tolerancia controlada de geometrías nulas, multipartes e inválidas recuperables.</w:t>
      </w:r>
    </w:p>
    <w:p>
      <w:pPr>
        <w:pStyle w:val="ListBullet"/>
      </w:pPr>
      <w:r>
        <w:rPr>
          <w:rFonts w:ascii="Calibri" w:hAnsi="Calibri"/>
          <w:color w:val="1F2937"/>
          <w:sz w:val="22"/>
        </w:rPr>
        <w:t>Activación atómica, reconciliación predial y archivo de la versión anterior.</w:t>
      </w:r>
    </w:p>
    <w:p>
      <w:pPr>
        <w:pStyle w:val="ListBullet"/>
      </w:pPr>
      <w:r>
        <w:rPr>
          <w:rFonts w:ascii="Calibri" w:hAnsi="Calibri"/>
          <w:color w:val="1F2937"/>
          <w:sz w:val="22"/>
        </w:rPr>
        <w:t>Endpoint de descarte de versiones no activadas.</w:t>
      </w:r>
    </w:p>
    <w:p>
      <w:pPr>
        <w:pStyle w:val="Heading2"/>
      </w:pPr>
      <w:r>
        <w:t>4.5 GIS y visor</w:t>
      </w:r>
    </w:p>
    <w:p>
      <w:pPr>
        <w:pStyle w:val="ListBullet"/>
      </w:pPr>
      <w:r>
        <w:rPr>
          <w:rFonts w:ascii="Calibri" w:hAnsi="Calibri"/>
          <w:color w:val="1F2937"/>
          <w:sz w:val="22"/>
        </w:rPr>
        <w:t>Índices espaciales y tiles MVT on-the-fly con ST_AsMVT.</w:t>
      </w:r>
    </w:p>
    <w:p>
      <w:pPr>
        <w:pStyle w:val="ListBullet"/>
      </w:pPr>
      <w:r>
        <w:rPr>
          <w:rFonts w:ascii="Calibri" w:hAnsi="Calibri"/>
          <w:color w:val="1F2937"/>
          <w:sz w:val="22"/>
        </w:rPr>
        <w:t>ETag fuerte dependiente de municipio, versión, capa y tile.</w:t>
      </w:r>
    </w:p>
    <w:p>
      <w:pPr>
        <w:pStyle w:val="ListBullet"/>
      </w:pPr>
      <w:r>
        <w:rPr>
          <w:rFonts w:ascii="Calibri" w:hAnsi="Calibri"/>
          <w:color w:val="1F2937"/>
          <w:sz w:val="22"/>
        </w:rPr>
        <w:t>Visor Blazor con MapLibre, capas conmutables y bbox municipal derivado de geometrías activas.</w:t>
      </w:r>
    </w:p>
    <w:p>
      <w:pPr>
        <w:pStyle w:val="ListBullet"/>
      </w:pPr>
      <w:r>
        <w:rPr>
          <w:rFonts w:ascii="Calibri" w:hAnsi="Calibri"/>
          <w:color w:val="1F2937"/>
          <w:sz w:val="22"/>
        </w:rPr>
        <w:t>Hot-swap municipal sin perder el token en memoria.</w:t>
      </w:r>
    </w:p>
    <w:p>
      <w:pPr>
        <w:pStyle w:val="ListBullet"/>
      </w:pPr>
      <w:r>
        <w:rPr>
          <w:rFonts w:ascii="Calibri" w:hAnsi="Calibri"/>
          <w:color w:val="1F2937"/>
          <w:sz w:val="22"/>
        </w:rPr>
        <w:t>Búsqueda por tripleta, ficha predial y resaltado del predio.</w:t>
      </w:r>
    </w:p>
    <w:p>
      <w:pPr>
        <w:pStyle w:val="ListBullet"/>
      </w:pPr>
      <w:r>
        <w:rPr>
          <w:rFonts w:ascii="Calibri" w:hAnsi="Calibri"/>
          <w:color w:val="1F2937"/>
          <w:sz w:val="22"/>
        </w:rPr>
        <w:t>Croquis SVG imprimible con geometría planar, barra gráfica, norte de cuadrícula, SRID y fecha de Bolivia.</w:t>
      </w:r>
    </w:p>
    <w:p>
      <w:pPr>
        <w:pStyle w:val="ListBullet"/>
      </w:pPr>
      <w:r>
        <w:rPr>
          <w:rFonts w:ascii="Calibri" w:hAnsi="Calibri"/>
          <w:color w:val="1F2937"/>
          <w:sz w:val="22"/>
        </w:rPr>
        <w:t>Capacidades del visor derivadas del esquema municipal: Caranavi puede mostrar capas sin inventar ficha predial.</w:t>
      </w:r>
    </w:p>
    <w:p>
      <w:pPr>
        <w:pStyle w:val="Heading2"/>
      </w:pPr>
      <w:r>
        <w:t>4.6 Datos reales y control de calidad</w:t>
      </w:r>
    </w:p>
    <w:p>
      <w:pPr>
        <w:pStyle w:val="ListBullet"/>
      </w:pPr>
      <w:r>
        <w:rPr>
          <w:rFonts w:ascii="Calibri" w:hAnsi="Calibri"/>
          <w:color w:val="1F2937"/>
          <w:sz w:val="22"/>
        </w:rPr>
        <w:t>Uyuni: siete capas, 35.013 objetos y 11.985 parcelas activas.</w:t>
      </w:r>
    </w:p>
    <w:p>
      <w:pPr>
        <w:pStyle w:val="ListBullet"/>
      </w:pPr>
      <w:r>
        <w:rPr>
          <w:rFonts w:ascii="Calibri" w:hAnsi="Calibri"/>
          <w:color w:val="1F2937"/>
          <w:sz w:val="22"/>
        </w:rPr>
        <w:t>Recuperación de 32 geometrías inválidas crudas; separación O1 de nulos genuinos O4.</w:t>
      </w:r>
    </w:p>
    <w:p>
      <w:pPr>
        <w:pStyle w:val="ListBullet"/>
      </w:pPr>
      <w:r>
        <w:rPr>
          <w:rFonts w:ascii="Calibri" w:hAnsi="Calibri"/>
          <w:color w:val="1F2937"/>
          <w:sz w:val="22"/>
        </w:rPr>
        <w:t>Informes GAM de calidad para Uyuni v1/v2 y Caranavi v1.</w:t>
      </w:r>
    </w:p>
    <w:p>
      <w:pPr>
        <w:pStyle w:val="ListBullet"/>
      </w:pPr>
      <w:r>
        <w:rPr>
          <w:rFonts w:ascii="Calibri" w:hAnsi="Calibri"/>
          <w:color w:val="1F2937"/>
          <w:sz w:val="22"/>
        </w:rPr>
        <w:t>Caranavi: manzanas, áreas urbanas y puntos geodésicos activos.</w:t>
      </w:r>
    </w:p>
    <w:p>
      <w:pPr>
        <w:pStyle w:val="ListBullet"/>
      </w:pPr>
      <w:r>
        <w:rPr>
          <w:rFonts w:ascii="Calibri" w:hAnsi="Calibri"/>
          <w:color w:val="1F2937"/>
          <w:sz w:val="22"/>
        </w:rPr>
        <w:t>AGENTS.md 17-ter contiene 34 entradas operativas DGN/GDAL con cadena de custodia de artefactos.</w:t>
      </w:r>
    </w:p>
    <w:p>
      <w:pPr>
        <w:pStyle w:val="Heading2"/>
      </w:pPr>
      <w:r>
        <w:t>4.7 Releases e hitos</w:t>
      </w:r>
    </w:p>
    <w:p>
      <w:pPr>
        <w:spacing w:before="80" w:after="80"/>
      </w:pPr>
      <w:r>
        <w:rPr>
          <w:rFonts w:ascii="Calibri" w:hAnsi="Calibri"/>
          <w:b/>
          <w:color w:val="0B2545"/>
          <w:sz w:val="19"/>
        </w:rPr>
        <w:t>Tabla 3. Releases y fase de datos</w:t>
      </w:r>
    </w:p>
    <w:tbl>
      <w:tblPr>
        <w:tblStyle w:val="TableGrid"/>
        <w:tblW w:type="dxa" w:w="9360"/>
        <w:jc w:val="left"/>
        <w:tblLayout w:type="fixed"/>
        <w:tblLook w:firstColumn="1" w:firstRow="1" w:lastColumn="0" w:lastRow="0" w:noHBand="0" w:noVBand="1" w:val="04A0"/>
        <w:tblInd w:w="120" w:type="dxa"/>
      </w:tblPr>
      <w:tblGrid>
        <w:gridCol w:w="2100"/>
        <w:gridCol w:w="5560"/>
        <w:gridCol w:w="1700"/>
      </w:tblGrid>
      <w:tr>
        <w:trPr>
          <w:tblHeader w:val="true"/>
          <w:cantSplit w:val="true"/>
        </w:trPr>
        <w:tc>
          <w:tcPr>
            <w:tcW w:type="dxa" w:w="2100"/>
            <w:shd w:fill="F2F4F7"/>
            <w:tcMar>
              <w:top w:w="80" w:type="dxa"/>
              <w:start w:w="120" w:type="dxa"/>
              <w:bottom w:w="80" w:type="dxa"/>
              <w:end w:w="120" w:type="dxa"/>
            </w:tcMar>
            <w:vAlign w:val="center"/>
          </w:tcPr>
          <w:p>
            <w:pPr>
              <w:jc w:val="center"/>
            </w:pPr>
            <w:r>
              <w:rPr>
                <w:rFonts w:ascii="Calibri" w:hAnsi="Calibri"/>
                <w:b/>
                <w:color w:val="0B2545"/>
                <w:sz w:val="18"/>
              </w:rPr>
              <w:t>Tag/hito</w:t>
            </w:r>
          </w:p>
        </w:tc>
        <w:tc>
          <w:tcPr>
            <w:tcW w:type="dxa" w:w="5560"/>
            <w:shd w:fill="F2F4F7"/>
            <w:tcMar>
              <w:top w:w="80" w:type="dxa"/>
              <w:start w:w="120" w:type="dxa"/>
              <w:bottom w:w="80" w:type="dxa"/>
              <w:end w:w="120" w:type="dxa"/>
            </w:tcMar>
            <w:vAlign w:val="center"/>
          </w:tcPr>
          <w:p>
            <w:pPr>
              <w:jc w:val="left"/>
            </w:pPr>
            <w:r>
              <w:rPr>
                <w:rFonts w:ascii="Calibri" w:hAnsi="Calibri"/>
                <w:b/>
                <w:color w:val="0B2545"/>
                <w:sz w:val="18"/>
              </w:rPr>
              <w:t>Contenido principal</w:t>
            </w:r>
          </w:p>
        </w:tc>
        <w:tc>
          <w:tcPr>
            <w:tcW w:type="dxa" w:w="1700"/>
            <w:shd w:fill="F2F4F7"/>
            <w:tcMar>
              <w:top w:w="80" w:type="dxa"/>
              <w:start w:w="120" w:type="dxa"/>
              <w:bottom w:w="80" w:type="dxa"/>
              <w:end w:w="120" w:type="dxa"/>
            </w:tcMar>
            <w:vAlign w:val="center"/>
          </w:tcPr>
          <w:p>
            <w:pPr>
              <w:jc w:val="center"/>
            </w:pPr>
            <w:r>
              <w:rPr>
                <w:rFonts w:ascii="Calibri" w:hAnsi="Calibri"/>
                <w:b/>
                <w:color w:val="0B2545"/>
                <w:sz w:val="18"/>
              </w:rPr>
              <w:t>Estado</w:t>
            </w:r>
          </w:p>
        </w:tc>
      </w:tr>
      <w:tr>
        <w:trPr>
          <w:cantSplit w:val="true"/>
        </w:trPr>
        <w:tc>
          <w:tcPr>
            <w:tcW w:type="dxa" w:w="2100"/>
            <w:tcMar>
              <w:top w:w="80" w:type="dxa"/>
              <w:start w:w="120" w:type="dxa"/>
              <w:bottom w:w="80" w:type="dxa"/>
              <w:end w:w="120" w:type="dxa"/>
            </w:tcMar>
            <w:vAlign w:val="center"/>
          </w:tcPr>
          <w:p>
            <w:pPr>
              <w:jc w:val="left"/>
            </w:pPr>
            <w:r>
              <w:rPr>
                <w:rFonts w:ascii="Calibri" w:hAnsi="Calibri"/>
                <w:b w:val="0"/>
                <w:color w:val="1F2937"/>
                <w:sz w:val="18"/>
              </w:rPr>
              <w:t>v0.1.0-mvp-backend</w:t>
            </w:r>
          </w:p>
        </w:tc>
        <w:tc>
          <w:tcPr>
            <w:tcW w:type="dxa" w:w="5560"/>
            <w:tcMar>
              <w:top w:w="80" w:type="dxa"/>
              <w:start w:w="120" w:type="dxa"/>
              <w:bottom w:w="80" w:type="dxa"/>
              <w:end w:w="120" w:type="dxa"/>
            </w:tcMar>
            <w:vAlign w:val="center"/>
          </w:tcPr>
          <w:p>
            <w:pPr>
              <w:jc w:val="left"/>
            </w:pPr>
            <w:r>
              <w:rPr>
                <w:rFonts w:ascii="Calibri" w:hAnsi="Calibri"/>
                <w:b w:val="0"/>
                <w:color w:val="1F2937"/>
                <w:sz w:val="18"/>
              </w:rPr>
              <w:t>Esqueleto backend y base operativa</w:t>
            </w:r>
          </w:p>
        </w:tc>
        <w:tc>
          <w:tcPr>
            <w:tcW w:type="dxa" w:w="1700"/>
            <w:tcMar>
              <w:top w:w="80" w:type="dxa"/>
              <w:start w:w="120" w:type="dxa"/>
              <w:bottom w:w="80" w:type="dxa"/>
              <w:end w:w="120" w:type="dxa"/>
            </w:tcMar>
            <w:vAlign w:val="center"/>
          </w:tcPr>
          <w:p>
            <w:pPr>
              <w:jc w:val="center"/>
            </w:pPr>
            <w:r>
              <w:rPr>
                <w:rFonts w:ascii="Calibri" w:hAnsi="Calibri"/>
                <w:b/>
                <w:color w:val="2F7D32"/>
                <w:sz w:val="18"/>
              </w:rPr>
              <w:t>Cerrado</w:t>
            </w:r>
          </w:p>
        </w:tc>
      </w:tr>
      <w:tr>
        <w:trPr>
          <w:cantSplit w:val="true"/>
        </w:trPr>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v0.1.2 / v0.1.3</w:t>
            </w:r>
          </w:p>
        </w:tc>
        <w:tc>
          <w:tcPr>
            <w:tcW w:type="dxa" w:w="5560"/>
            <w:shd w:fill="FAFBFC"/>
            <w:tcMar>
              <w:top w:w="80" w:type="dxa"/>
              <w:start w:w="120" w:type="dxa"/>
              <w:bottom w:w="80" w:type="dxa"/>
              <w:end w:w="120" w:type="dxa"/>
            </w:tcMar>
            <w:vAlign w:val="center"/>
          </w:tcPr>
          <w:p>
            <w:pPr>
              <w:jc w:val="left"/>
            </w:pPr>
            <w:r>
              <w:rPr>
                <w:rFonts w:ascii="Calibri" w:hAnsi="Calibri"/>
                <w:b w:val="0"/>
                <w:color w:val="1F2937"/>
                <w:sz w:val="18"/>
              </w:rPr>
              <w:t>Checkpoints de identidad, seguridad y pruebas</w:t>
            </w:r>
          </w:p>
        </w:tc>
        <w:tc>
          <w:tcPr>
            <w:tcW w:type="dxa" w:w="1700"/>
            <w:shd w:fill="FAFBFC"/>
            <w:tcMar>
              <w:top w:w="80" w:type="dxa"/>
              <w:start w:w="120" w:type="dxa"/>
              <w:bottom w:w="80" w:type="dxa"/>
              <w:end w:w="120" w:type="dxa"/>
            </w:tcMar>
            <w:vAlign w:val="center"/>
          </w:tcPr>
          <w:p>
            <w:pPr>
              <w:jc w:val="center"/>
            </w:pPr>
            <w:r>
              <w:rPr>
                <w:rFonts w:ascii="Calibri" w:hAnsi="Calibri"/>
                <w:b/>
                <w:color w:val="2F7D32"/>
                <w:sz w:val="18"/>
              </w:rPr>
              <w:t>Cerrado</w:t>
            </w:r>
          </w:p>
        </w:tc>
      </w:tr>
      <w:tr>
        <w:trPr>
          <w:cantSplit w:val="true"/>
        </w:trPr>
        <w:tc>
          <w:tcPr>
            <w:tcW w:type="dxa" w:w="2100"/>
            <w:tcMar>
              <w:top w:w="80" w:type="dxa"/>
              <w:start w:w="120" w:type="dxa"/>
              <w:bottom w:w="80" w:type="dxa"/>
              <w:end w:w="120" w:type="dxa"/>
            </w:tcMar>
            <w:vAlign w:val="center"/>
          </w:tcPr>
          <w:p>
            <w:pPr>
              <w:jc w:val="left"/>
            </w:pPr>
            <w:r>
              <w:rPr>
                <w:rFonts w:ascii="Calibri" w:hAnsi="Calibri"/>
                <w:b w:val="0"/>
                <w:color w:val="1F2937"/>
                <w:sz w:val="18"/>
              </w:rPr>
              <w:t>v0.2.0-catastro-base</w:t>
            </w:r>
          </w:p>
        </w:tc>
        <w:tc>
          <w:tcPr>
            <w:tcW w:type="dxa" w:w="5560"/>
            <w:tcMar>
              <w:top w:w="80" w:type="dxa"/>
              <w:start w:w="120" w:type="dxa"/>
              <w:bottom w:w="80" w:type="dxa"/>
              <w:end w:w="120" w:type="dxa"/>
            </w:tcMar>
            <w:vAlign w:val="center"/>
          </w:tcPr>
          <w:p>
            <w:pPr>
              <w:jc w:val="left"/>
            </w:pPr>
            <w:r>
              <w:rPr>
                <w:rFonts w:ascii="Calibri" w:hAnsi="Calibri"/>
                <w:b w:val="0"/>
                <w:color w:val="1F2937"/>
                <w:sz w:val="18"/>
              </w:rPr>
              <w:t>Dominio catastral y API</w:t>
            </w:r>
          </w:p>
        </w:tc>
        <w:tc>
          <w:tcPr>
            <w:tcW w:type="dxa" w:w="1700"/>
            <w:tcMar>
              <w:top w:w="80" w:type="dxa"/>
              <w:start w:w="120" w:type="dxa"/>
              <w:bottom w:w="80" w:type="dxa"/>
              <w:end w:w="120" w:type="dxa"/>
            </w:tcMar>
            <w:vAlign w:val="center"/>
          </w:tcPr>
          <w:p>
            <w:pPr>
              <w:jc w:val="center"/>
            </w:pPr>
            <w:r>
              <w:rPr>
                <w:rFonts w:ascii="Calibri" w:hAnsi="Calibri"/>
                <w:b/>
                <w:color w:val="2F7D32"/>
                <w:sz w:val="18"/>
              </w:rPr>
              <w:t>Cerrado</w:t>
            </w:r>
          </w:p>
        </w:tc>
      </w:tr>
      <w:tr>
        <w:trPr>
          <w:cantSplit w:val="true"/>
        </w:trPr>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v0.3.0-importacion-shapefile</w:t>
            </w:r>
          </w:p>
        </w:tc>
        <w:tc>
          <w:tcPr>
            <w:tcW w:type="dxa" w:w="5560"/>
            <w:shd w:fill="FAFBFC"/>
            <w:tcMar>
              <w:top w:w="80" w:type="dxa"/>
              <w:start w:w="120" w:type="dxa"/>
              <w:bottom w:w="80" w:type="dxa"/>
              <w:end w:w="120" w:type="dxa"/>
            </w:tcMar>
            <w:vAlign w:val="center"/>
          </w:tcPr>
          <w:p>
            <w:pPr>
              <w:jc w:val="left"/>
            </w:pPr>
            <w:r>
              <w:rPr>
                <w:rFonts w:ascii="Calibri" w:hAnsi="Calibri"/>
                <w:b w:val="0"/>
                <w:color w:val="1F2937"/>
                <w:sz w:val="18"/>
              </w:rPr>
              <w:t>Importación configurable SHP</w:t>
            </w:r>
          </w:p>
        </w:tc>
        <w:tc>
          <w:tcPr>
            <w:tcW w:type="dxa" w:w="1700"/>
            <w:shd w:fill="FAFBFC"/>
            <w:tcMar>
              <w:top w:w="80" w:type="dxa"/>
              <w:start w:w="120" w:type="dxa"/>
              <w:bottom w:w="80" w:type="dxa"/>
              <w:end w:w="120" w:type="dxa"/>
            </w:tcMar>
            <w:vAlign w:val="center"/>
          </w:tcPr>
          <w:p>
            <w:pPr>
              <w:jc w:val="center"/>
            </w:pPr>
            <w:r>
              <w:rPr>
                <w:rFonts w:ascii="Calibri" w:hAnsi="Calibri"/>
                <w:b/>
                <w:color w:val="2F7D32"/>
                <w:sz w:val="18"/>
              </w:rPr>
              <w:t>Cerrado</w:t>
            </w:r>
          </w:p>
        </w:tc>
      </w:tr>
      <w:tr>
        <w:trPr>
          <w:cantSplit w:val="true"/>
        </w:trPr>
        <w:tc>
          <w:tcPr>
            <w:tcW w:type="dxa" w:w="2100"/>
            <w:tcMar>
              <w:top w:w="80" w:type="dxa"/>
              <w:start w:w="120" w:type="dxa"/>
              <w:bottom w:w="80" w:type="dxa"/>
              <w:end w:w="120" w:type="dxa"/>
            </w:tcMar>
            <w:vAlign w:val="center"/>
          </w:tcPr>
          <w:p>
            <w:pPr>
              <w:jc w:val="left"/>
            </w:pPr>
            <w:r>
              <w:rPr>
                <w:rFonts w:ascii="Calibri" w:hAnsi="Calibri"/>
                <w:b w:val="0"/>
                <w:color w:val="1F2937"/>
                <w:sz w:val="18"/>
              </w:rPr>
              <w:t>v0.4.0-fase1-nucleo-versionado</w:t>
            </w:r>
          </w:p>
        </w:tc>
        <w:tc>
          <w:tcPr>
            <w:tcW w:type="dxa" w:w="5560"/>
            <w:tcMar>
              <w:top w:w="80" w:type="dxa"/>
              <w:start w:w="120" w:type="dxa"/>
              <w:bottom w:w="80" w:type="dxa"/>
              <w:end w:w="120" w:type="dxa"/>
            </w:tcMar>
            <w:vAlign w:val="center"/>
          </w:tcPr>
          <w:p>
            <w:pPr>
              <w:jc w:val="left"/>
            </w:pPr>
            <w:r>
              <w:rPr>
                <w:rFonts w:ascii="Calibri" w:hAnsi="Calibri"/>
                <w:b w:val="0"/>
                <w:color w:val="1F2937"/>
                <w:sz w:val="18"/>
              </w:rPr>
              <w:t>DatasetVersion, async, preview y activación</w:t>
            </w:r>
          </w:p>
        </w:tc>
        <w:tc>
          <w:tcPr>
            <w:tcW w:type="dxa" w:w="1700"/>
            <w:tcMar>
              <w:top w:w="80" w:type="dxa"/>
              <w:start w:w="120" w:type="dxa"/>
              <w:bottom w:w="80" w:type="dxa"/>
              <w:end w:w="120" w:type="dxa"/>
            </w:tcMar>
            <w:vAlign w:val="center"/>
          </w:tcPr>
          <w:p>
            <w:pPr>
              <w:jc w:val="center"/>
            </w:pPr>
            <w:r>
              <w:rPr>
                <w:rFonts w:ascii="Calibri" w:hAnsi="Calibri"/>
                <w:b/>
                <w:color w:val="2F7D32"/>
                <w:sz w:val="18"/>
              </w:rPr>
              <w:t>Cerrado</w:t>
            </w:r>
          </w:p>
        </w:tc>
      </w:tr>
      <w:tr>
        <w:trPr>
          <w:cantSplit w:val="true"/>
        </w:trPr>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v0.5.0-fase2-visor</w:t>
            </w:r>
          </w:p>
        </w:tc>
        <w:tc>
          <w:tcPr>
            <w:tcW w:type="dxa" w:w="5560"/>
            <w:shd w:fill="FAFBFC"/>
            <w:tcMar>
              <w:top w:w="80" w:type="dxa"/>
              <w:start w:w="120" w:type="dxa"/>
              <w:bottom w:w="80" w:type="dxa"/>
              <w:end w:w="120" w:type="dxa"/>
            </w:tcMar>
            <w:vAlign w:val="center"/>
          </w:tcPr>
          <w:p>
            <w:pPr>
              <w:jc w:val="left"/>
            </w:pPr>
            <w:r>
              <w:rPr>
                <w:rFonts w:ascii="Calibri" w:hAnsi="Calibri"/>
                <w:b w:val="0"/>
                <w:color w:val="1F2937"/>
                <w:sz w:val="18"/>
              </w:rPr>
              <w:t>MVT, visor, búsqueda, ficha y croquis</w:t>
            </w:r>
          </w:p>
        </w:tc>
        <w:tc>
          <w:tcPr>
            <w:tcW w:type="dxa" w:w="1700"/>
            <w:shd w:fill="FAFBFC"/>
            <w:tcMar>
              <w:top w:w="80" w:type="dxa"/>
              <w:start w:w="120" w:type="dxa"/>
              <w:bottom w:w="80" w:type="dxa"/>
              <w:end w:w="120" w:type="dxa"/>
            </w:tcMar>
            <w:vAlign w:val="center"/>
          </w:tcPr>
          <w:p>
            <w:pPr>
              <w:jc w:val="center"/>
            </w:pPr>
            <w:r>
              <w:rPr>
                <w:rFonts w:ascii="Calibri" w:hAnsi="Calibri"/>
                <w:b/>
                <w:color w:val="2F7D32"/>
                <w:sz w:val="18"/>
              </w:rPr>
              <w:t>Cerrado</w:t>
            </w:r>
          </w:p>
        </w:tc>
      </w:tr>
      <w:tr>
        <w:trPr>
          <w:cantSplit w:val="true"/>
        </w:trPr>
        <w:tc>
          <w:tcPr>
            <w:tcW w:type="dxa" w:w="2100"/>
            <w:tcMar>
              <w:top w:w="80" w:type="dxa"/>
              <w:start w:w="120" w:type="dxa"/>
              <w:bottom w:w="80" w:type="dxa"/>
              <w:end w:w="120" w:type="dxa"/>
            </w:tcMar>
            <w:vAlign w:val="center"/>
          </w:tcPr>
          <w:p>
            <w:pPr>
              <w:jc w:val="left"/>
            </w:pPr>
            <w:r>
              <w:rPr>
                <w:rFonts w:ascii="Calibri" w:hAnsi="Calibri"/>
                <w:b w:val="0"/>
                <w:color w:val="1F2937"/>
                <w:sz w:val="18"/>
              </w:rPr>
              <w:t>v0.6.0-fase3a-multimunicipio</w:t>
            </w:r>
          </w:p>
        </w:tc>
        <w:tc>
          <w:tcPr>
            <w:tcW w:type="dxa" w:w="5560"/>
            <w:tcMar>
              <w:top w:w="80" w:type="dxa"/>
              <w:start w:w="120" w:type="dxa"/>
              <w:bottom w:w="80" w:type="dxa"/>
              <w:end w:w="120" w:type="dxa"/>
            </w:tcMar>
            <w:vAlign w:val="center"/>
          </w:tcPr>
          <w:p>
            <w:pPr>
              <w:jc w:val="left"/>
            </w:pPr>
            <w:r>
              <w:rPr>
                <w:rFonts w:ascii="Calibri" w:hAnsi="Calibri"/>
                <w:b w:val="0"/>
                <w:color w:val="1F2937"/>
                <w:sz w:val="18"/>
              </w:rPr>
              <w:t>INE, esquemas municipales y hot-swap</w:t>
            </w:r>
          </w:p>
        </w:tc>
        <w:tc>
          <w:tcPr>
            <w:tcW w:type="dxa" w:w="1700"/>
            <w:tcMar>
              <w:top w:w="80" w:type="dxa"/>
              <w:start w:w="120" w:type="dxa"/>
              <w:bottom w:w="80" w:type="dxa"/>
              <w:end w:w="120" w:type="dxa"/>
            </w:tcMar>
            <w:vAlign w:val="center"/>
          </w:tcPr>
          <w:p>
            <w:pPr>
              <w:jc w:val="center"/>
            </w:pPr>
            <w:r>
              <w:rPr>
                <w:rFonts w:ascii="Calibri" w:hAnsi="Calibri"/>
                <w:b/>
                <w:color w:val="2F7D32"/>
                <w:sz w:val="18"/>
              </w:rPr>
              <w:t>Cerrado</w:t>
            </w:r>
          </w:p>
        </w:tc>
      </w:tr>
      <w:tr>
        <w:trPr>
          <w:cantSplit w:val="true"/>
        </w:trPr>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Fase 3.B.1–3.B.6</w:t>
            </w:r>
          </w:p>
        </w:tc>
        <w:tc>
          <w:tcPr>
            <w:tcW w:type="dxa" w:w="5560"/>
            <w:shd w:fill="FAFBFC"/>
            <w:tcMar>
              <w:top w:w="80" w:type="dxa"/>
              <w:start w:w="120" w:type="dxa"/>
              <w:bottom w:w="80" w:type="dxa"/>
              <w:end w:w="120" w:type="dxa"/>
            </w:tcMar>
            <w:vAlign w:val="center"/>
          </w:tcPr>
          <w:p>
            <w:pPr>
              <w:jc w:val="left"/>
            </w:pPr>
            <w:r>
              <w:rPr>
                <w:rFonts w:ascii="Calibri" w:hAnsi="Calibri"/>
                <w:b w:val="0"/>
                <w:color w:val="1F2937"/>
                <w:sz w:val="18"/>
              </w:rPr>
              <w:t>Padrón predial Caranavi desde DGN</w:t>
            </w:r>
          </w:p>
        </w:tc>
        <w:tc>
          <w:tcPr>
            <w:tcW w:type="dxa" w:w="1700"/>
            <w:shd w:fill="FAFBFC"/>
            <w:tcMar>
              <w:top w:w="80" w:type="dxa"/>
              <w:start w:w="120" w:type="dxa"/>
              <w:bottom w:w="80" w:type="dxa"/>
              <w:end w:w="120" w:type="dxa"/>
            </w:tcMar>
            <w:vAlign w:val="center"/>
          </w:tcPr>
          <w:p>
            <w:pPr>
              <w:jc w:val="center"/>
            </w:pPr>
            <w:r>
              <w:rPr>
                <w:rFonts w:ascii="Calibri" w:hAnsi="Calibri"/>
                <w:b/>
                <w:color w:val="2F7D32"/>
                <w:sz w:val="18"/>
              </w:rPr>
              <w:t>Completado</w:t>
            </w:r>
          </w:p>
        </w:tc>
      </w:tr>
      <w:tr>
        <w:trPr>
          <w:cantSplit w:val="true"/>
        </w:trPr>
        <w:tc>
          <w:tcPr>
            <w:tcW w:type="dxa" w:w="2100"/>
            <w:tcMar>
              <w:top w:w="80" w:type="dxa"/>
              <w:start w:w="120" w:type="dxa"/>
              <w:bottom w:w="80" w:type="dxa"/>
              <w:end w:w="120" w:type="dxa"/>
            </w:tcMar>
            <w:vAlign w:val="center"/>
          </w:tcPr>
          <w:p>
            <w:pPr>
              <w:jc w:val="left"/>
            </w:pPr>
            <w:r>
              <w:rPr>
                <w:rFonts w:ascii="Calibri" w:hAnsi="Calibri"/>
                <w:b w:val="0"/>
                <w:color w:val="1F2937"/>
                <w:sz w:val="18"/>
              </w:rPr>
              <w:t>Fase 3.B.7</w:t>
            </w:r>
          </w:p>
        </w:tc>
        <w:tc>
          <w:tcPr>
            <w:tcW w:type="dxa" w:w="5560"/>
            <w:tcMar>
              <w:top w:w="80" w:type="dxa"/>
              <w:start w:w="120" w:type="dxa"/>
              <w:bottom w:w="80" w:type="dxa"/>
              <w:end w:w="120" w:type="dxa"/>
            </w:tcMar>
            <w:vAlign w:val="center"/>
          </w:tcPr>
          <w:p>
            <w:pPr>
              <w:jc w:val="left"/>
            </w:pPr>
            <w:r>
              <w:rPr>
                <w:rFonts w:ascii="Calibri" w:hAnsi="Calibri"/>
                <w:b w:val="0"/>
                <w:color w:val="1F2937"/>
                <w:sz w:val="18"/>
              </w:rPr>
              <w:t>Importación y activación segura del padrón</w:t>
            </w:r>
          </w:p>
        </w:tc>
        <w:tc>
          <w:tcPr>
            <w:tcW w:type="dxa" w:w="1700"/>
            <w:tcMar>
              <w:top w:w="80" w:type="dxa"/>
              <w:start w:w="120" w:type="dxa"/>
              <w:bottom w:w="80" w:type="dxa"/>
              <w:end w:w="120" w:type="dxa"/>
            </w:tcMar>
            <w:vAlign w:val="center"/>
          </w:tcPr>
          <w:p>
            <w:pPr>
              <w:jc w:val="center"/>
            </w:pPr>
            <w:r>
              <w:rPr>
                <w:rFonts w:ascii="Calibri" w:hAnsi="Calibri"/>
                <w:b/>
                <w:color w:val="9B1C1C"/>
                <w:sz w:val="18"/>
              </w:rPr>
              <w:t>Bloqueado</w:t>
            </w:r>
          </w:p>
        </w:tc>
      </w:tr>
    </w:tbl>
    <w:p>
      <w:pPr>
        <w:spacing w:before="80" w:after="80"/>
      </w:pPr>
      <w:r>
        <w:rPr>
          <w:rFonts w:ascii="Calibri" w:hAnsi="Calibri"/>
          <w:i/>
          <w:color w:val="5F6B7A"/>
          <w:sz w:val="17"/>
        </w:rPr>
        <w:t>Fuente: git tag, git log y documentos de cierre.</w:t>
      </w:r>
    </w:p>
    <w:p>
      <w:pPr>
        <w:pStyle w:val="Heading1"/>
      </w:pPr>
      <w:r>
        <w:t>5. Situación exacta al 26 de julio de 2026</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F1F8"/>
          </w:tcPr>
          <w:p>
            <w:pPr>
              <w:spacing w:after="40"/>
            </w:pPr>
            <w:r>
              <w:rPr>
                <w:rFonts w:ascii="Calibri" w:hAnsi="Calibri"/>
                <w:b/>
                <w:color w:val="2E74B5"/>
                <w:sz w:val="18"/>
              </w:rPr>
              <w:t>PUNTO ACTUAL</w:t>
            </w:r>
          </w:p>
          <w:p>
            <w:pPr>
              <w:spacing w:after="0"/>
            </w:pPr>
            <w:r>
              <w:rPr>
                <w:rFonts w:ascii="Calibri" w:hAnsi="Calibri"/>
                <w:color w:val="1F2937"/>
                <w:sz w:val="21"/>
              </w:rPr>
              <w:t>La plataforma base y el visor multimunicipio están construidos. La preparación de datos de Caranavi 3.B.1–3.B.6 está cerrada, con 3.B.5 diferida de forma explícita. Falta corregir el hallazgo staged, decidir la arquitectura y ejecutar 3.B.7 sin romper la semántica de versión completa ni ocultar las capas base activas.</w:t>
            </w:r>
          </w:p>
        </w:tc>
      </w:tr>
    </w:tbl>
    <w:p>
      <w:pPr>
        <w:spacing w:after="0"/>
      </w:pPr>
    </w:p>
    <w:p>
      <w:pPr>
        <w:pStyle w:val="Heading2"/>
      </w:pPr>
      <w:r>
        <w:t>5.1 Estado operativo de la base local</w:t>
      </w:r>
    </w:p>
    <w:p>
      <w:pPr>
        <w:spacing w:before="80" w:after="80"/>
      </w:pPr>
      <w:r>
        <w:rPr>
          <w:rFonts w:ascii="Calibri" w:hAnsi="Calibri"/>
          <w:b/>
          <w:color w:val="0B2545"/>
          <w:sz w:val="19"/>
        </w:rPr>
        <w:t>Tabla 4. DatasetVersion activa por municipio</w:t>
      </w:r>
    </w:p>
    <w:tbl>
      <w:tblPr>
        <w:tblStyle w:val="TableGrid"/>
        <w:tblW w:type="dxa" w:w="9360"/>
        <w:jc w:val="left"/>
        <w:tblLayout w:type="fixed"/>
        <w:tblLook w:firstColumn="1" w:firstRow="1" w:lastColumn="0" w:lastRow="0" w:noHBand="0" w:noVBand="1" w:val="04A0"/>
        <w:tblInd w:w="120" w:type="dxa"/>
      </w:tblPr>
      <w:tblGrid>
        <w:gridCol w:w="2050"/>
        <w:gridCol w:w="2600"/>
        <w:gridCol w:w="4710"/>
      </w:tblGrid>
      <w:tr>
        <w:trPr>
          <w:tblHeader w:val="true"/>
          <w:cantSplit w:val="true"/>
        </w:trPr>
        <w:tc>
          <w:tcPr>
            <w:tcW w:type="dxa" w:w="2050"/>
            <w:shd w:fill="F2F4F7"/>
            <w:tcMar>
              <w:top w:w="80" w:type="dxa"/>
              <w:start w:w="120" w:type="dxa"/>
              <w:bottom w:w="80" w:type="dxa"/>
              <w:end w:w="120" w:type="dxa"/>
            </w:tcMar>
            <w:vAlign w:val="center"/>
          </w:tcPr>
          <w:p>
            <w:pPr>
              <w:jc w:val="center"/>
            </w:pPr>
            <w:r>
              <w:rPr>
                <w:rFonts w:ascii="Calibri" w:hAnsi="Calibri"/>
                <w:b/>
                <w:color w:val="0B2545"/>
                <w:sz w:val="18"/>
              </w:rPr>
              <w:t>Municipio</w:t>
            </w:r>
          </w:p>
        </w:tc>
        <w:tc>
          <w:tcPr>
            <w:tcW w:type="dxa" w:w="2600"/>
            <w:shd w:fill="F2F4F7"/>
            <w:tcMar>
              <w:top w:w="80" w:type="dxa"/>
              <w:start w:w="120" w:type="dxa"/>
              <w:bottom w:w="80" w:type="dxa"/>
              <w:end w:w="120" w:type="dxa"/>
            </w:tcMar>
            <w:vAlign w:val="center"/>
          </w:tcPr>
          <w:p>
            <w:pPr>
              <w:jc w:val="center"/>
            </w:pPr>
            <w:r>
              <w:rPr>
                <w:rFonts w:ascii="Calibri" w:hAnsi="Calibri"/>
                <w:b/>
                <w:color w:val="0B2545"/>
                <w:sz w:val="18"/>
              </w:rPr>
              <w:t>Versión activa</w:t>
            </w:r>
          </w:p>
        </w:tc>
        <w:tc>
          <w:tcPr>
            <w:tcW w:type="dxa" w:w="4710"/>
            <w:shd w:fill="F2F4F7"/>
            <w:tcMar>
              <w:top w:w="80" w:type="dxa"/>
              <w:start w:w="120" w:type="dxa"/>
              <w:bottom w:w="80" w:type="dxa"/>
              <w:end w:w="120" w:type="dxa"/>
            </w:tcMar>
            <w:vAlign w:val="center"/>
          </w:tcPr>
          <w:p>
            <w:pPr>
              <w:jc w:val="center"/>
            </w:pPr>
            <w:r>
              <w:rPr>
                <w:rFonts w:ascii="Calibri" w:hAnsi="Calibri"/>
                <w:b/>
                <w:color w:val="0B2545"/>
                <w:sz w:val="18"/>
              </w:rPr>
              <w:t>Capas y conteos</w:t>
            </w:r>
          </w:p>
        </w:tc>
      </w:tr>
      <w:tr>
        <w:trPr>
          <w:cantSplit w:val="true"/>
        </w:trPr>
        <w:tc>
          <w:tcPr>
            <w:tcW w:type="dxa" w:w="2050"/>
            <w:tcMar>
              <w:top w:w="80" w:type="dxa"/>
              <w:start w:w="120" w:type="dxa"/>
              <w:bottom w:w="80" w:type="dxa"/>
              <w:end w:w="120" w:type="dxa"/>
            </w:tcMar>
            <w:vAlign w:val="center"/>
          </w:tcPr>
          <w:p>
            <w:pPr>
              <w:jc w:val="left"/>
            </w:pPr>
            <w:r>
              <w:rPr>
                <w:rFonts w:ascii="Calibri" w:hAnsi="Calibri"/>
                <w:b w:val="0"/>
                <w:color w:val="1F2937"/>
                <w:sz w:val="18"/>
              </w:rPr>
              <w:t>Caranavi (022001)</w:t>
            </w:r>
          </w:p>
        </w:tc>
        <w:tc>
          <w:tcPr>
            <w:tcW w:type="dxa" w:w="2600"/>
            <w:tcMar>
              <w:top w:w="80" w:type="dxa"/>
              <w:start w:w="120" w:type="dxa"/>
              <w:bottom w:w="80" w:type="dxa"/>
              <w:end w:w="120" w:type="dxa"/>
            </w:tcMar>
            <w:vAlign w:val="center"/>
          </w:tcPr>
          <w:p>
            <w:pPr>
              <w:jc w:val="left"/>
            </w:pPr>
            <w:r>
              <w:rPr>
                <w:rFonts w:ascii="Calibri" w:hAnsi="Calibri"/>
                <w:b w:val="0"/>
                <w:color w:val="1F2937"/>
                <w:sz w:val="18"/>
              </w:rPr>
              <w:t>v2 · 04685793… · 17/07/2026</w:t>
            </w:r>
          </w:p>
        </w:tc>
        <w:tc>
          <w:tcPr>
            <w:tcW w:type="dxa" w:w="4710"/>
            <w:tcMar>
              <w:top w:w="80" w:type="dxa"/>
              <w:start w:w="120" w:type="dxa"/>
              <w:bottom w:w="80" w:type="dxa"/>
              <w:end w:w="120" w:type="dxa"/>
            </w:tcMar>
            <w:vAlign w:val="center"/>
          </w:tcPr>
          <w:p>
            <w:pPr>
              <w:jc w:val="left"/>
            </w:pPr>
            <w:r>
              <w:rPr>
                <w:rFonts w:ascii="Calibri" w:hAnsi="Calibri"/>
                <w:b w:val="0"/>
                <w:color w:val="1F2937"/>
                <w:sz w:val="18"/>
              </w:rPr>
              <w:t>637 manzanas · 17 áreas urbanas · 33 puntos geodésicos · 0 predios</w:t>
            </w:r>
          </w:p>
        </w:tc>
      </w:tr>
      <w:tr>
        <w:trPr>
          <w:cantSplit w:val="true"/>
        </w:trPr>
        <w:tc>
          <w:tcPr>
            <w:tcW w:type="dxa" w:w="2050"/>
            <w:shd w:fill="FAFBFC"/>
            <w:tcMar>
              <w:top w:w="80" w:type="dxa"/>
              <w:start w:w="120" w:type="dxa"/>
              <w:bottom w:w="80" w:type="dxa"/>
              <w:end w:w="120" w:type="dxa"/>
            </w:tcMar>
            <w:vAlign w:val="center"/>
          </w:tcPr>
          <w:p>
            <w:pPr>
              <w:jc w:val="left"/>
            </w:pPr>
            <w:r>
              <w:rPr>
                <w:rFonts w:ascii="Calibri" w:hAnsi="Calibri"/>
                <w:b w:val="0"/>
                <w:color w:val="1F2937"/>
                <w:sz w:val="18"/>
              </w:rPr>
              <w:t>Uyuni (051201)</w:t>
            </w:r>
          </w:p>
        </w:tc>
        <w:tc>
          <w:tcPr>
            <w:tcW w:type="dxa" w:w="2600"/>
            <w:shd w:fill="FAFBFC"/>
            <w:tcMar>
              <w:top w:w="80" w:type="dxa"/>
              <w:start w:w="120" w:type="dxa"/>
              <w:bottom w:w="80" w:type="dxa"/>
              <w:end w:w="120" w:type="dxa"/>
            </w:tcMar>
            <w:vAlign w:val="center"/>
          </w:tcPr>
          <w:p>
            <w:pPr>
              <w:jc w:val="left"/>
            </w:pPr>
            <w:r>
              <w:rPr>
                <w:rFonts w:ascii="Calibri" w:hAnsi="Calibri"/>
                <w:b w:val="0"/>
                <w:color w:val="1F2937"/>
                <w:sz w:val="18"/>
              </w:rPr>
              <w:t>v3 · b6934919… · 14/07/2026</w:t>
            </w:r>
          </w:p>
        </w:tc>
        <w:tc>
          <w:tcPr>
            <w:tcW w:type="dxa" w:w="4710"/>
            <w:shd w:fill="FAFBFC"/>
            <w:tcMar>
              <w:top w:w="80" w:type="dxa"/>
              <w:start w:w="120" w:type="dxa"/>
              <w:bottom w:w="80" w:type="dxa"/>
              <w:end w:w="120" w:type="dxa"/>
            </w:tcMar>
            <w:vAlign w:val="center"/>
          </w:tcPr>
          <w:p>
            <w:pPr>
              <w:jc w:val="left"/>
            </w:pPr>
            <w:r>
              <w:rPr>
                <w:rFonts w:ascii="Calibri" w:hAnsi="Calibri"/>
                <w:b w:val="0"/>
                <w:color w:val="1F2937"/>
                <w:sz w:val="18"/>
              </w:rPr>
              <w:t>11.985 parcelas · 18.484 edificaciones · 2.352 no fotografiados · 684 manzanas · 6 distritos · 9 zonas · 1.493 vías</w:t>
            </w:r>
          </w:p>
        </w:tc>
      </w:tr>
    </w:tbl>
    <w:p>
      <w:pPr>
        <w:spacing w:before="80" w:after="80"/>
      </w:pPr>
      <w:r>
        <w:rPr>
          <w:rFonts w:ascii="Calibri" w:hAnsi="Calibri"/>
          <w:i/>
          <w:color w:val="5F6B7A"/>
          <w:sz w:val="17"/>
        </w:rPr>
        <w:t>Fuente: consulta SQL de solo lectura ejecutada mediante scripts/sql.ps1.</w:t>
      </w:r>
    </w:p>
    <w:p>
      <w:pPr>
        <w:pStyle w:val="Heading2"/>
      </w:pPr>
      <w:r>
        <w:t>5.2 Fase 3.B: resultados</w:t>
      </w:r>
    </w:p>
    <w:p>
      <w:pPr>
        <w:jc w:val="center"/>
      </w:pPr>
      <w:r>
        <w:drawing>
          <wp:inline xmlns:a="http://schemas.openxmlformats.org/drawingml/2006/main" xmlns:pic="http://schemas.openxmlformats.org/drawingml/2006/picture">
            <wp:extent cx="5715000" cy="3111500"/>
            <wp:docPr id="3" name="Picture 3" descr="Flujo DGN a shapefile con conteos y bloqueo actual." title="Figura 3. Linaje y conteos canónicos de 3.B."/>
            <wp:cNvGraphicFramePr>
              <a:graphicFrameLocks noChangeAspect="1"/>
            </wp:cNvGraphicFramePr>
            <a:graphic>
              <a:graphicData uri="http://schemas.openxmlformats.org/drawingml/2006/picture">
                <pic:pic>
                  <pic:nvPicPr>
                    <pic:cNvPr id="0" name="fase3b.png"/>
                    <pic:cNvPicPr/>
                  </pic:nvPicPr>
                  <pic:blipFill>
                    <a:blip r:embed="rId13"/>
                    <a:stretch>
                      <a:fillRect/>
                    </a:stretch>
                  </pic:blipFill>
                  <pic:spPr>
                    <a:xfrm>
                      <a:off x="0" y="0"/>
                      <a:ext cx="5715000" cy="3111500"/>
                    </a:xfrm>
                    <a:prstGeom prst="rect"/>
                  </pic:spPr>
                </pic:pic>
              </a:graphicData>
            </a:graphic>
          </wp:inline>
        </w:drawing>
      </w:r>
    </w:p>
    <w:p>
      <w:pPr>
        <w:spacing w:before="40" w:after="160"/>
        <w:jc w:val="center"/>
      </w:pPr>
      <w:r>
        <w:rPr>
          <w:rFonts w:ascii="Calibri" w:hAnsi="Calibri"/>
          <w:i/>
          <w:color w:val="5F6B7A"/>
          <w:sz w:val="18"/>
        </w:rPr>
        <w:t>Figura 3. Linaje y conteos canónicos de 3.B.</w:t>
      </w:r>
    </w:p>
    <w:p>
      <w:pPr>
        <w:spacing w:before="80" w:after="80"/>
      </w:pPr>
      <w:r>
        <w:rPr>
          <w:rFonts w:ascii="Calibri" w:hAnsi="Calibri"/>
          <w:b/>
          <w:color w:val="0B2545"/>
          <w:sz w:val="19"/>
        </w:rPr>
        <w:t>Tabla 5. Estado detallado de la fase 3.B</w:t>
      </w:r>
    </w:p>
    <w:tbl>
      <w:tblPr>
        <w:tblStyle w:val="TableGrid"/>
        <w:tblW w:type="dxa" w:w="9360"/>
        <w:jc w:val="left"/>
        <w:tblLayout w:type="fixed"/>
        <w:tblLook w:firstColumn="1" w:firstRow="1" w:lastColumn="0" w:lastRow="0" w:noHBand="0" w:noVBand="1" w:val="04A0"/>
        <w:tblInd w:w="120" w:type="dxa"/>
      </w:tblPr>
      <w:tblGrid>
        <w:gridCol w:w="1900"/>
        <w:gridCol w:w="5760"/>
        <w:gridCol w:w="1700"/>
      </w:tblGrid>
      <w:tr>
        <w:trPr>
          <w:tblHeader w:val="true"/>
          <w:cantSplit w:val="true"/>
        </w:trPr>
        <w:tc>
          <w:tcPr>
            <w:tcW w:type="dxa" w:w="1900"/>
            <w:shd w:fill="F2F4F7"/>
            <w:tcMar>
              <w:top w:w="80" w:type="dxa"/>
              <w:start w:w="120" w:type="dxa"/>
              <w:bottom w:w="80" w:type="dxa"/>
              <w:end w:w="120" w:type="dxa"/>
            </w:tcMar>
            <w:vAlign w:val="center"/>
          </w:tcPr>
          <w:p>
            <w:pPr>
              <w:jc w:val="center"/>
            </w:pPr>
            <w:r>
              <w:rPr>
                <w:rFonts w:ascii="Calibri" w:hAnsi="Calibri"/>
                <w:b/>
                <w:color w:val="0B2545"/>
                <w:sz w:val="18"/>
              </w:rPr>
              <w:t>Subetapa</w:t>
            </w:r>
          </w:p>
        </w:tc>
        <w:tc>
          <w:tcPr>
            <w:tcW w:type="dxa" w:w="5760"/>
            <w:shd w:fill="F2F4F7"/>
            <w:tcMar>
              <w:top w:w="80" w:type="dxa"/>
              <w:start w:w="120" w:type="dxa"/>
              <w:bottom w:w="80" w:type="dxa"/>
              <w:end w:w="120" w:type="dxa"/>
            </w:tcMar>
            <w:vAlign w:val="center"/>
          </w:tcPr>
          <w:p>
            <w:pPr>
              <w:jc w:val="left"/>
            </w:pPr>
            <w:r>
              <w:rPr>
                <w:rFonts w:ascii="Calibri" w:hAnsi="Calibri"/>
                <w:b/>
                <w:color w:val="0B2545"/>
                <w:sz w:val="18"/>
              </w:rPr>
              <w:t>Resultado verificable</w:t>
            </w:r>
          </w:p>
        </w:tc>
        <w:tc>
          <w:tcPr>
            <w:tcW w:type="dxa" w:w="1700"/>
            <w:shd w:fill="F2F4F7"/>
            <w:tcMar>
              <w:top w:w="80" w:type="dxa"/>
              <w:start w:w="120" w:type="dxa"/>
              <w:bottom w:w="80" w:type="dxa"/>
              <w:end w:w="120" w:type="dxa"/>
            </w:tcMar>
            <w:vAlign w:val="center"/>
          </w:tcPr>
          <w:p>
            <w:pPr>
              <w:jc w:val="center"/>
            </w:pPr>
            <w:r>
              <w:rPr>
                <w:rFonts w:ascii="Calibri" w:hAnsi="Calibri"/>
                <w:b/>
                <w:color w:val="0B2545"/>
                <w:sz w:val="18"/>
              </w:rPr>
              <w:t>Estado</w:t>
            </w:r>
          </w:p>
        </w:tc>
      </w:tr>
      <w:tr>
        <w:trPr>
          <w:cantSplit w:val="true"/>
        </w:trPr>
        <w:tc>
          <w:tcPr>
            <w:tcW w:type="dxa" w:w="1900"/>
            <w:tcMar>
              <w:top w:w="80" w:type="dxa"/>
              <w:start w:w="120" w:type="dxa"/>
              <w:bottom w:w="80" w:type="dxa"/>
              <w:end w:w="120" w:type="dxa"/>
            </w:tcMar>
            <w:vAlign w:val="center"/>
          </w:tcPr>
          <w:p>
            <w:pPr>
              <w:jc w:val="left"/>
            </w:pPr>
            <w:r>
              <w:rPr>
                <w:rFonts w:ascii="Calibri" w:hAnsi="Calibri"/>
                <w:b w:val="0"/>
                <w:color w:val="1F2937"/>
                <w:sz w:val="18"/>
              </w:rPr>
              <w:t>3.B.1 Extracción</w:t>
            </w:r>
          </w:p>
        </w:tc>
        <w:tc>
          <w:tcPr>
            <w:tcW w:type="dxa" w:w="5760"/>
            <w:tcMar>
              <w:top w:w="80" w:type="dxa"/>
              <w:start w:w="120" w:type="dxa"/>
              <w:bottom w:w="80" w:type="dxa"/>
              <w:end w:w="120" w:type="dxa"/>
            </w:tcMar>
            <w:vAlign w:val="center"/>
          </w:tcPr>
          <w:p>
            <w:pPr>
              <w:jc w:val="left"/>
            </w:pPr>
            <w:r>
              <w:rPr>
                <w:rFonts w:ascii="Calibri" w:hAnsi="Calibri"/>
                <w:b w:val="0"/>
                <w:color w:val="1F2937"/>
                <w:sz w:val="18"/>
              </w:rPr>
              <w:t>122.073 elementos DGN → 126.165 features; siete niveles materializados</w:t>
            </w:r>
          </w:p>
        </w:tc>
        <w:tc>
          <w:tcPr>
            <w:tcW w:type="dxa" w:w="1700"/>
            <w:tcMar>
              <w:top w:w="80" w:type="dxa"/>
              <w:start w:w="120" w:type="dxa"/>
              <w:bottom w:w="80" w:type="dxa"/>
              <w:end w:w="120" w:type="dxa"/>
            </w:tcMar>
            <w:vAlign w:val="center"/>
          </w:tcPr>
          <w:p>
            <w:pPr>
              <w:jc w:val="center"/>
            </w:pPr>
            <w:r>
              <w:rPr>
                <w:rFonts w:ascii="Calibri" w:hAnsi="Calibri"/>
                <w:b/>
                <w:color w:val="2F7D32"/>
                <w:sz w:val="18"/>
              </w:rPr>
              <w:t>Completado</w:t>
            </w:r>
          </w:p>
        </w:tc>
      </w:tr>
      <w:tr>
        <w:trPr>
          <w:cantSplit w:val="true"/>
        </w:trPr>
        <w:tc>
          <w:tcPr>
            <w:tcW w:type="dxa" w:w="1900"/>
            <w:shd w:fill="FAFBFC"/>
            <w:tcMar>
              <w:top w:w="80" w:type="dxa"/>
              <w:start w:w="120" w:type="dxa"/>
              <w:bottom w:w="80" w:type="dxa"/>
              <w:end w:w="120" w:type="dxa"/>
            </w:tcMar>
            <w:vAlign w:val="center"/>
          </w:tcPr>
          <w:p>
            <w:pPr>
              <w:jc w:val="left"/>
            </w:pPr>
            <w:r>
              <w:rPr>
                <w:rFonts w:ascii="Calibri" w:hAnsi="Calibri"/>
                <w:b w:val="0"/>
                <w:color w:val="1F2937"/>
                <w:sz w:val="18"/>
              </w:rPr>
              <w:t>3.B.2 Saneo</w:t>
            </w:r>
          </w:p>
        </w:tc>
        <w:tc>
          <w:tcPr>
            <w:tcW w:type="dxa" w:w="5760"/>
            <w:shd w:fill="FAFBFC"/>
            <w:tcMar>
              <w:top w:w="80" w:type="dxa"/>
              <w:start w:w="120" w:type="dxa"/>
              <w:bottom w:w="80" w:type="dxa"/>
              <w:end w:w="120" w:type="dxa"/>
            </w:tcMar>
            <w:vAlign w:val="center"/>
          </w:tcPr>
          <w:p>
            <w:pPr>
              <w:jc w:val="left"/>
            </w:pPr>
            <w:r>
              <w:rPr>
                <w:rFonts w:ascii="Calibri" w:hAnsi="Calibri"/>
                <w:b w:val="0"/>
                <w:color w:val="1F2937"/>
                <w:sz w:val="18"/>
              </w:rPr>
              <w:t>6.950 polígonos → 6.946; 4 degenerados excluidos; 0 inválidas</w:t>
            </w:r>
          </w:p>
        </w:tc>
        <w:tc>
          <w:tcPr>
            <w:tcW w:type="dxa" w:w="1700"/>
            <w:shd w:fill="FAFBFC"/>
            <w:tcMar>
              <w:top w:w="80" w:type="dxa"/>
              <w:start w:w="120" w:type="dxa"/>
              <w:bottom w:w="80" w:type="dxa"/>
              <w:end w:w="120" w:type="dxa"/>
            </w:tcMar>
            <w:vAlign w:val="center"/>
          </w:tcPr>
          <w:p>
            <w:pPr>
              <w:jc w:val="center"/>
            </w:pPr>
            <w:r>
              <w:rPr>
                <w:rFonts w:ascii="Calibri" w:hAnsi="Calibri"/>
                <w:b/>
                <w:color w:val="2F7D32"/>
                <w:sz w:val="18"/>
              </w:rPr>
              <w:t>Completado</w:t>
            </w:r>
          </w:p>
        </w:tc>
      </w:tr>
      <w:tr>
        <w:trPr>
          <w:cantSplit w:val="true"/>
        </w:trPr>
        <w:tc>
          <w:tcPr>
            <w:tcW w:type="dxa" w:w="1900"/>
            <w:tcMar>
              <w:top w:w="80" w:type="dxa"/>
              <w:start w:w="120" w:type="dxa"/>
              <w:bottom w:w="80" w:type="dxa"/>
              <w:end w:w="120" w:type="dxa"/>
            </w:tcMar>
            <w:vAlign w:val="center"/>
          </w:tcPr>
          <w:p>
            <w:pPr>
              <w:jc w:val="left"/>
            </w:pPr>
            <w:r>
              <w:rPr>
                <w:rFonts w:ascii="Calibri" w:hAnsi="Calibri"/>
                <w:b w:val="0"/>
                <w:color w:val="1F2937"/>
                <w:sz w:val="18"/>
              </w:rPr>
              <w:t>3.B.3 Numeración</w:t>
            </w:r>
          </w:p>
        </w:tc>
        <w:tc>
          <w:tcPr>
            <w:tcW w:type="dxa" w:w="5760"/>
            <w:tcMar>
              <w:top w:w="80" w:type="dxa"/>
              <w:start w:w="120" w:type="dxa"/>
              <w:bottom w:w="80" w:type="dxa"/>
              <w:end w:w="120" w:type="dxa"/>
            </w:tcMar>
            <w:vAlign w:val="center"/>
          </w:tcPr>
          <w:p>
            <w:pPr>
              <w:jc w:val="left"/>
            </w:pPr>
            <w:r>
              <w:rPr>
                <w:rFonts w:ascii="Calibri" w:hAnsi="Calibri"/>
                <w:b w:val="0"/>
                <w:color w:val="1F2937"/>
                <w:sz w:val="18"/>
              </w:rPr>
              <w:t>6.573 predios únicos; 4.504 con un texto; 742 textos huérfanos</w:t>
            </w:r>
          </w:p>
        </w:tc>
        <w:tc>
          <w:tcPr>
            <w:tcW w:type="dxa" w:w="1700"/>
            <w:tcMar>
              <w:top w:w="80" w:type="dxa"/>
              <w:start w:w="120" w:type="dxa"/>
              <w:bottom w:w="80" w:type="dxa"/>
              <w:end w:w="120" w:type="dxa"/>
            </w:tcMar>
            <w:vAlign w:val="center"/>
          </w:tcPr>
          <w:p>
            <w:pPr>
              <w:jc w:val="center"/>
            </w:pPr>
            <w:r>
              <w:rPr>
                <w:rFonts w:ascii="Calibri" w:hAnsi="Calibri"/>
                <w:b/>
                <w:color w:val="2F7D32"/>
                <w:sz w:val="18"/>
              </w:rPr>
              <w:t>Completado</w:t>
            </w:r>
          </w:p>
        </w:tc>
      </w:tr>
      <w:tr>
        <w:trPr>
          <w:cantSplit w:val="true"/>
        </w:trPr>
        <w:tc>
          <w:tcPr>
            <w:tcW w:type="dxa" w:w="1900"/>
            <w:shd w:fill="FAFBFC"/>
            <w:tcMar>
              <w:top w:w="80" w:type="dxa"/>
              <w:start w:w="120" w:type="dxa"/>
              <w:bottom w:w="80" w:type="dxa"/>
              <w:end w:w="120" w:type="dxa"/>
            </w:tcMar>
            <w:vAlign w:val="center"/>
          </w:tcPr>
          <w:p>
            <w:pPr>
              <w:jc w:val="left"/>
            </w:pPr>
            <w:r>
              <w:rPr>
                <w:rFonts w:ascii="Calibri" w:hAnsi="Calibri"/>
                <w:b w:val="0"/>
                <w:color w:val="1F2937"/>
                <w:sz w:val="18"/>
              </w:rPr>
              <w:t>3.B.4 Tripleta parcial</w:t>
            </w:r>
          </w:p>
        </w:tc>
        <w:tc>
          <w:tcPr>
            <w:tcW w:type="dxa" w:w="5760"/>
            <w:shd w:fill="FAFBFC"/>
            <w:tcMar>
              <w:top w:w="80" w:type="dxa"/>
              <w:start w:w="120" w:type="dxa"/>
              <w:bottom w:w="80" w:type="dxa"/>
              <w:end w:w="120" w:type="dxa"/>
            </w:tcMar>
            <w:vAlign w:val="center"/>
          </w:tcPr>
          <w:p>
            <w:pPr>
              <w:jc w:val="left"/>
            </w:pPr>
            <w:r>
              <w:rPr>
                <w:rFonts w:ascii="Calibri" w:hAnsi="Calibri"/>
                <w:b w:val="0"/>
                <w:color w:val="1F2937"/>
                <w:sz w:val="18"/>
              </w:rPr>
              <w:t>4.486 cod_pred (68,2 %); cod_man/cod_uv = NULL; colisión máxima 478</w:t>
            </w:r>
          </w:p>
        </w:tc>
        <w:tc>
          <w:tcPr>
            <w:tcW w:type="dxa" w:w="1700"/>
            <w:shd w:fill="FAFBFC"/>
            <w:tcMar>
              <w:top w:w="80" w:type="dxa"/>
              <w:start w:w="120" w:type="dxa"/>
              <w:bottom w:w="80" w:type="dxa"/>
              <w:end w:w="120" w:type="dxa"/>
            </w:tcMar>
            <w:vAlign w:val="center"/>
          </w:tcPr>
          <w:p>
            <w:pPr>
              <w:jc w:val="center"/>
            </w:pPr>
            <w:r>
              <w:rPr>
                <w:rFonts w:ascii="Calibri" w:hAnsi="Calibri"/>
                <w:b/>
                <w:color w:val="2F7D32"/>
                <w:sz w:val="18"/>
              </w:rPr>
              <w:t>Completado</w:t>
            </w:r>
          </w:p>
        </w:tc>
      </w:tr>
      <w:tr>
        <w:trPr>
          <w:cantSplit w:val="true"/>
        </w:trPr>
        <w:tc>
          <w:tcPr>
            <w:tcW w:type="dxa" w:w="1900"/>
            <w:tcMar>
              <w:top w:w="80" w:type="dxa"/>
              <w:start w:w="120" w:type="dxa"/>
              <w:bottom w:w="80" w:type="dxa"/>
              <w:end w:w="120" w:type="dxa"/>
            </w:tcMar>
            <w:vAlign w:val="center"/>
          </w:tcPr>
          <w:p>
            <w:pPr>
              <w:jc w:val="left"/>
            </w:pPr>
            <w:r>
              <w:rPr>
                <w:rFonts w:ascii="Calibri" w:hAnsi="Calibri"/>
                <w:b w:val="0"/>
                <w:color w:val="1F2937"/>
                <w:sz w:val="18"/>
              </w:rPr>
              <w:t>3.B.5 Level 34</w:t>
            </w:r>
          </w:p>
        </w:tc>
        <w:tc>
          <w:tcPr>
            <w:tcW w:type="dxa" w:w="5760"/>
            <w:tcMar>
              <w:top w:w="80" w:type="dxa"/>
              <w:start w:w="120" w:type="dxa"/>
              <w:bottom w:w="80" w:type="dxa"/>
              <w:end w:w="120" w:type="dxa"/>
            </w:tcMar>
            <w:vAlign w:val="center"/>
          </w:tcPr>
          <w:p>
            <w:pPr>
              <w:jc w:val="left"/>
            </w:pPr>
            <w:r>
              <w:rPr>
                <w:rFonts w:ascii="Calibri" w:hAnsi="Calibri"/>
                <w:b w:val="0"/>
                <w:color w:val="1F2937"/>
                <w:sz w:val="18"/>
              </w:rPr>
              <w:t>Diferible; no necesario para primer padrón</w:t>
            </w:r>
          </w:p>
        </w:tc>
        <w:tc>
          <w:tcPr>
            <w:tcW w:type="dxa" w:w="1700"/>
            <w:tcMar>
              <w:top w:w="80" w:type="dxa"/>
              <w:start w:w="120" w:type="dxa"/>
              <w:bottom w:w="80" w:type="dxa"/>
              <w:end w:w="120" w:type="dxa"/>
            </w:tcMar>
            <w:vAlign w:val="center"/>
          </w:tcPr>
          <w:p>
            <w:pPr>
              <w:jc w:val="center"/>
            </w:pPr>
            <w:r>
              <w:rPr>
                <w:rFonts w:ascii="Calibri" w:hAnsi="Calibri"/>
                <w:b/>
                <w:color w:val="1F2937"/>
                <w:sz w:val="18"/>
              </w:rPr>
              <w:t>Pendiente diferido</w:t>
            </w:r>
          </w:p>
        </w:tc>
      </w:tr>
      <w:tr>
        <w:trPr>
          <w:cantSplit w:val="true"/>
        </w:trPr>
        <w:tc>
          <w:tcPr>
            <w:tcW w:type="dxa" w:w="1900"/>
            <w:shd w:fill="FAFBFC"/>
            <w:tcMar>
              <w:top w:w="80" w:type="dxa"/>
              <w:start w:w="120" w:type="dxa"/>
              <w:bottom w:w="80" w:type="dxa"/>
              <w:end w:w="120" w:type="dxa"/>
            </w:tcMar>
            <w:vAlign w:val="center"/>
          </w:tcPr>
          <w:p>
            <w:pPr>
              <w:jc w:val="left"/>
            </w:pPr>
            <w:r>
              <w:rPr>
                <w:rFonts w:ascii="Calibri" w:hAnsi="Calibri"/>
                <w:b w:val="0"/>
                <w:color w:val="1F2937"/>
                <w:sz w:val="18"/>
              </w:rPr>
              <w:t>3.B.6 Shapefile</w:t>
            </w:r>
          </w:p>
        </w:tc>
        <w:tc>
          <w:tcPr>
            <w:tcW w:type="dxa" w:w="5760"/>
            <w:shd w:fill="FAFBFC"/>
            <w:tcMar>
              <w:top w:w="80" w:type="dxa"/>
              <w:start w:w="120" w:type="dxa"/>
              <w:bottom w:w="80" w:type="dxa"/>
              <w:end w:w="120" w:type="dxa"/>
            </w:tcMar>
            <w:vAlign w:val="center"/>
          </w:tcPr>
          <w:p>
            <w:pPr>
              <w:jc w:val="left"/>
            </w:pPr>
            <w:r>
              <w:rPr>
                <w:rFonts w:ascii="Calibri" w:hAnsi="Calibri"/>
                <w:b w:val="0"/>
                <w:color w:val="1F2937"/>
                <w:sz w:val="18"/>
              </w:rPr>
              <w:t>PRE_NOF_CAR: 6.573; cod_pred 4.486; cod_geo 022001; EPSG:32719; artefacto externo documentado</w:t>
            </w:r>
          </w:p>
        </w:tc>
        <w:tc>
          <w:tcPr>
            <w:tcW w:type="dxa" w:w="1700"/>
            <w:shd w:fill="FAFBFC"/>
            <w:tcMar>
              <w:top w:w="80" w:type="dxa"/>
              <w:start w:w="120" w:type="dxa"/>
              <w:bottom w:w="80" w:type="dxa"/>
              <w:end w:w="120" w:type="dxa"/>
            </w:tcMar>
            <w:vAlign w:val="center"/>
          </w:tcPr>
          <w:p>
            <w:pPr>
              <w:jc w:val="center"/>
            </w:pPr>
            <w:r>
              <w:rPr>
                <w:rFonts w:ascii="Calibri" w:hAnsi="Calibri"/>
                <w:b/>
                <w:color w:val="2F7D32"/>
                <w:sz w:val="18"/>
              </w:rPr>
              <w:t>Completado</w:t>
            </w:r>
          </w:p>
        </w:tc>
      </w:tr>
      <w:tr>
        <w:trPr>
          <w:cantSplit w:val="true"/>
        </w:trPr>
        <w:tc>
          <w:tcPr>
            <w:tcW w:type="dxa" w:w="1900"/>
            <w:tcMar>
              <w:top w:w="80" w:type="dxa"/>
              <w:start w:w="120" w:type="dxa"/>
              <w:bottom w:w="80" w:type="dxa"/>
              <w:end w:w="120" w:type="dxa"/>
            </w:tcMar>
            <w:vAlign w:val="center"/>
          </w:tcPr>
          <w:p>
            <w:pPr>
              <w:jc w:val="left"/>
            </w:pPr>
            <w:r>
              <w:rPr>
                <w:rFonts w:ascii="Calibri" w:hAnsi="Calibri"/>
                <w:b w:val="0"/>
                <w:color w:val="1F2937"/>
                <w:sz w:val="18"/>
              </w:rPr>
              <w:t>3.B.7 Importación</w:t>
            </w:r>
          </w:p>
        </w:tc>
        <w:tc>
          <w:tcPr>
            <w:tcW w:type="dxa" w:w="5760"/>
            <w:tcMar>
              <w:top w:w="80" w:type="dxa"/>
              <w:start w:w="120" w:type="dxa"/>
              <w:bottom w:w="80" w:type="dxa"/>
              <w:end w:w="120" w:type="dxa"/>
            </w:tcMar>
            <w:vAlign w:val="center"/>
          </w:tcPr>
          <w:p>
            <w:pPr>
              <w:jc w:val="left"/>
            </w:pPr>
            <w:r>
              <w:rPr>
                <w:rFonts w:ascii="Calibri" w:hAnsi="Calibri"/>
                <w:b w:val="0"/>
                <w:color w:val="1F2937"/>
                <w:sz w:val="18"/>
              </w:rPr>
              <w:t>No ejecutada; requiere decisión de composición de versión</w:t>
            </w:r>
          </w:p>
        </w:tc>
        <w:tc>
          <w:tcPr>
            <w:tcW w:type="dxa" w:w="1700"/>
            <w:tcMar>
              <w:top w:w="80" w:type="dxa"/>
              <w:start w:w="120" w:type="dxa"/>
              <w:bottom w:w="80" w:type="dxa"/>
              <w:end w:w="120" w:type="dxa"/>
            </w:tcMar>
            <w:vAlign w:val="center"/>
          </w:tcPr>
          <w:p>
            <w:pPr>
              <w:jc w:val="center"/>
            </w:pPr>
            <w:r>
              <w:rPr>
                <w:rFonts w:ascii="Calibri" w:hAnsi="Calibri"/>
                <w:b/>
                <w:color w:val="9B1C1C"/>
                <w:sz w:val="18"/>
              </w:rPr>
              <w:t>Bloqueado</w:t>
            </w:r>
          </w:p>
        </w:tc>
      </w:tr>
    </w:tbl>
    <w:p>
      <w:pPr>
        <w:spacing w:before="80" w:after="80"/>
      </w:pPr>
      <w:r>
        <w:rPr>
          <w:rFonts w:ascii="Calibri" w:hAnsi="Calibri"/>
          <w:i/>
          <w:color w:val="5F6B7A"/>
          <w:sz w:val="17"/>
        </w:rPr>
        <w:t>Fuente: EXTRACCION_CANONICA_3B1, SANEO_PADRON_3B2, ASOCIACION_NUMERACION_3B3, TRIPLETA_PARCIAL_3B4 y GENERACION_SHAPEFILE_3B6.</w:t>
      </w:r>
    </w:p>
    <w:p>
      <w:pPr>
        <w:pStyle w:val="Heading2"/>
      </w:pPr>
      <w:r>
        <w:t>5.3 Calidad e identidad del padrón de Caranavi</w:t>
      </w:r>
    </w:p>
    <w:p>
      <w:pPr>
        <w:pStyle w:val="ListBullet"/>
      </w:pPr>
      <w:r>
        <w:rPr>
          <w:rFonts w:ascii="Calibri" w:hAnsi="Calibri"/>
          <w:color w:val="1F2937"/>
          <w:sz w:val="22"/>
        </w:rPr>
        <w:t>El padrón final contiene 6.573 geometrías únicas y saneadas.</w:t>
      </w:r>
    </w:p>
    <w:p>
      <w:pPr>
        <w:pStyle w:val="ListBullet"/>
      </w:pPr>
      <w:r>
        <w:rPr>
          <w:rFonts w:ascii="Calibri" w:hAnsi="Calibri"/>
          <w:color w:val="1F2937"/>
          <w:sz w:val="22"/>
        </w:rPr>
        <w:t>En 3.B.3, 4.504 predios tenían exactamente un texto asociado; esa cifra describe el join textual, no el campo final exportado.</w:t>
      </w:r>
    </w:p>
    <w:p>
      <w:pPr>
        <w:pStyle w:val="ListBullet"/>
      </w:pPr>
      <w:r>
        <w:rPr>
          <w:rFonts w:ascii="Calibri" w:hAnsi="Calibri"/>
          <w:color w:val="1F2937"/>
          <w:sz w:val="22"/>
        </w:rPr>
        <w:t>En el shapefile canónico final, 4.486 predios tienen cod_pred recuperado y 2.087 no lo tienen.</w:t>
      </w:r>
    </w:p>
    <w:p>
      <w:pPr>
        <w:pStyle w:val="ListBullet"/>
      </w:pPr>
      <w:r>
        <w:rPr>
          <w:rFonts w:ascii="Calibri" w:hAnsi="Calibri"/>
          <w:color w:val="1F2937"/>
          <w:sz w:val="22"/>
        </w:rPr>
        <w:t>Dentro de los 2.087 sin cod_pred: 1.843 son sin_texto, 226 son ambiguo_2mas_textos y 18 contienen texto no numérico.</w:t>
      </w:r>
    </w:p>
    <w:p>
      <w:pPr>
        <w:pStyle w:val="ListBullet"/>
      </w:pPr>
      <w:r>
        <w:rPr>
          <w:rFonts w:ascii="Calibri" w:hAnsi="Calibri"/>
          <w:color w:val="1F2937"/>
          <w:sz w:val="22"/>
        </w:rPr>
        <w:t>cod_man y cod_uv no existen en la fuente y no deben inventarse.</w:t>
      </w:r>
    </w:p>
    <w:p>
      <w:pPr>
        <w:pStyle w:val="ListBullet"/>
      </w:pPr>
      <w:r>
        <w:rPr>
          <w:rFonts w:ascii="Calibri" w:hAnsi="Calibri"/>
          <w:color w:val="1F2937"/>
          <w:sz w:val="22"/>
        </w:rPr>
        <w:t>Solo hay 96 valores distintos de cod_pred; 82 se repiten y el valor 1 aparece en 478 predios.</w:t>
      </w:r>
    </w:p>
    <w:p>
      <w:pPr>
        <w:pStyle w:val="ListBullet"/>
      </w:pPr>
      <w:r>
        <w:rPr>
          <w:rFonts w:ascii="Calibri" w:hAnsi="Calibri"/>
          <w:color w:val="1F2937"/>
          <w:sz w:val="22"/>
        </w:rPr>
        <w:t>La capa predios_no_fotografiados tolera tripleta incompleta y es adecuada como staging cartográfico, no como identidad maestra definitiva.</w:t>
      </w:r>
    </w:p>
    <w:p>
      <w:pPr>
        <w:pStyle w:val="ListBullet"/>
      </w:pPr>
      <w:r>
        <w:rPr>
          <w:rFonts w:ascii="Calibri" w:hAnsi="Calibri"/>
          <w:color w:val="1F2937"/>
          <w:sz w:val="22"/>
        </w:rPr>
        <w:t>El sufijo de subdivisión quedó fuera del shapefile porque el modelo CapaPredioNoFotografiado no tiene campo; permanece en la evidencia temporal.</w:t>
      </w:r>
    </w:p>
    <w:p>
      <w:pPr>
        <w:pStyle w:val="ListBullet"/>
      </w:pPr>
      <w:r>
        <w:rPr>
          <w:rFonts w:ascii="Calibri" w:hAnsi="Calibri"/>
          <w:color w:val="1F2937"/>
          <w:sz w:val="22"/>
        </w:rPr>
        <w:t>El documento 3.B.6 declara el paquete listo en un directorio de datos externo al repositorio. Este informe no reejecutó GDAL ni verificó físicamente ese ZIP desde el entorno Codex.</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BE9E9"/>
          </w:tcPr>
          <w:p>
            <w:pPr>
              <w:spacing w:after="40"/>
            </w:pPr>
            <w:r>
              <w:rPr>
                <w:rFonts w:ascii="Calibri" w:hAnsi="Calibri"/>
                <w:b/>
                <w:color w:val="9B1C1C"/>
                <w:sz w:val="18"/>
              </w:rPr>
              <w:t>RIESGO DE IDENTIDAD</w:t>
            </w:r>
          </w:p>
          <w:p>
            <w:pPr>
              <w:spacing w:after="0"/>
            </w:pPr>
            <w:r>
              <w:rPr>
                <w:rFonts w:ascii="Calibri" w:hAnsi="Calibri"/>
                <w:color w:val="1F2937"/>
                <w:sz w:val="21"/>
              </w:rPr>
              <w:t>No se debe promover este padrón al maestro predial ni habilitar búsqueda/ficha por tripleta hasta completar cod_uv y cod_man o aprobar un modelo de identidad provisional con discriminador estable y trazable.</w:t>
            </w:r>
          </w:p>
        </w:tc>
      </w:tr>
    </w:tbl>
    <w:p>
      <w:pPr>
        <w:spacing w:after="0"/>
      </w:pPr>
    </w:p>
    <w:p>
      <w:pPr>
        <w:pStyle w:val="Heading1"/>
      </w:pPr>
      <w:r>
        <w:t>6. Diagnóstico corregido de 3.B.7</w:t>
      </w:r>
    </w:p>
    <w:p>
      <w:pPr>
        <w:jc w:val="center"/>
      </w:pPr>
      <w:r>
        <w:drawing>
          <wp:inline xmlns:a="http://schemas.openxmlformats.org/drawingml/2006/main" xmlns:pic="http://schemas.openxmlformats.org/drawingml/2006/picture">
            <wp:extent cx="5715000" cy="3333750"/>
            <wp:docPr id="4" name="Picture 4" descr="Flujo del endpoint, inspector, carga, DatasetVersion y activación." title="Figura 4. Pipeline actual y decisión faltante."/>
            <wp:cNvGraphicFramePr>
              <a:graphicFrameLocks noChangeAspect="1"/>
            </wp:cNvGraphicFramePr>
            <a:graphic>
              <a:graphicData uri="http://schemas.openxmlformats.org/drawingml/2006/picture">
                <pic:pic>
                  <pic:nvPicPr>
                    <pic:cNvPr id="0" name="pipeline_gap.png"/>
                    <pic:cNvPicPr/>
                  </pic:nvPicPr>
                  <pic:blipFill>
                    <a:blip r:embed="rId14"/>
                    <a:stretch>
                      <a:fillRect/>
                    </a:stretch>
                  </pic:blipFill>
                  <pic:spPr>
                    <a:xfrm>
                      <a:off x="0" y="0"/>
                      <a:ext cx="5715000" cy="3333750"/>
                    </a:xfrm>
                    <a:prstGeom prst="rect"/>
                  </pic:spPr>
                </pic:pic>
              </a:graphicData>
            </a:graphic>
          </wp:inline>
        </w:drawing>
      </w:r>
    </w:p>
    <w:p>
      <w:pPr>
        <w:spacing w:before="40" w:after="160"/>
        <w:jc w:val="center"/>
      </w:pPr>
      <w:r>
        <w:rPr>
          <w:rFonts w:ascii="Calibri" w:hAnsi="Calibri"/>
          <w:i/>
          <w:color w:val="5F6B7A"/>
          <w:sz w:val="18"/>
        </w:rPr>
        <w:t>Figura 4. Pipeline actual y decisión faltante.</w:t>
      </w:r>
    </w:p>
    <w:p>
      <w:pPr>
        <w:pStyle w:val="Heading2"/>
      </w:pPr>
      <w:r>
        <w:t>6.1 Qué sí está verificado en código</w:t>
      </w:r>
    </w:p>
    <w:p>
      <w:pPr>
        <w:pStyle w:val="ListBullet"/>
      </w:pPr>
      <w:r>
        <w:rPr>
          <w:rFonts w:ascii="Calibri" w:hAnsi="Calibri"/>
          <w:color w:val="1F2937"/>
          <w:sz w:val="22"/>
        </w:rPr>
        <w:t>El endpoint recibe municipio_codigo y paquete; no recibe perfil_codigo.</w:t>
      </w:r>
    </w:p>
    <w:p>
      <w:pPr>
        <w:pStyle w:val="ListBullet"/>
      </w:pPr>
      <w:r>
        <w:rPr>
          <w:rFonts w:ascii="Calibri" w:hAnsi="Calibri"/>
          <w:color w:val="1F2937"/>
          <w:sz w:val="22"/>
        </w:rPr>
        <w:t>El handler obtiene el esquema municipal completo y resuelve cada perfil por NombrePerfil.</w:t>
      </w:r>
    </w:p>
    <w:p>
      <w:pPr>
        <w:pStyle w:val="ListBullet"/>
      </w:pPr>
      <w:r>
        <w:rPr>
          <w:rFonts w:ascii="Calibri" w:hAnsi="Calibri"/>
          <w:color w:val="1F2937"/>
          <w:sz w:val="22"/>
        </w:rPr>
        <w:t>El inspector permite omitir una capa Obligatoria=false cuando no aparece ningún componente.</w:t>
      </w:r>
    </w:p>
    <w:p>
      <w:pPr>
        <w:pStyle w:val="ListBullet"/>
      </w:pPr>
      <w:r>
        <w:rPr>
          <w:rFonts w:ascii="Calibri" w:hAnsi="Calibri"/>
          <w:color w:val="1F2937"/>
          <w:sz w:val="22"/>
        </w:rPr>
        <w:t>Si una capa opcional aparece, exige SHP/DBF/SHX/PRJ coherentes.</w:t>
      </w:r>
    </w:p>
    <w:p>
      <w:pPr>
        <w:pStyle w:val="ListBullet"/>
      </w:pPr>
      <w:r>
        <w:rPr>
          <w:rFonts w:ascii="Calibri" w:hAnsi="Calibri"/>
          <w:color w:val="1F2937"/>
          <w:sz w:val="22"/>
        </w:rPr>
        <w:t>CargaVersionadaServicio consume dinámicamente los perfiles del esquema y tiene un case explícito para TipoCapa.PrediosNoFotografiados.</w:t>
      </w:r>
    </w:p>
    <w:p>
      <w:pPr>
        <w:pStyle w:val="ListBullet"/>
      </w:pPr>
      <w:r>
        <w:rPr>
          <w:rFonts w:ascii="Calibri" w:hAnsi="Calibri"/>
          <w:color w:val="1F2937"/>
          <w:sz w:val="22"/>
        </w:rPr>
        <w:t>La activación archiva la DatasetVersion activa anterior y activa la nueva; no es aditiva.</w:t>
      </w:r>
    </w:p>
    <w:p>
      <w:pPr>
        <w:pStyle w:val="Heading2"/>
      </w:pPr>
      <w:r>
        <w:t>6.2 Correcciones necesarias al archivo staged HALLAZGO_PIPELINE_3B7.md</w:t>
      </w:r>
    </w:p>
    <w:p>
      <w:pPr>
        <w:spacing w:before="80" w:after="80"/>
      </w:pPr>
      <w:r>
        <w:rPr>
          <w:rFonts w:ascii="Calibri" w:hAnsi="Calibri"/>
          <w:b/>
          <w:color w:val="0B2545"/>
          <w:sz w:val="19"/>
        </w:rPr>
        <w:t>Tabla 6. Observaciones que deben corregirse antes de commitear el hallazgo</w:t>
      </w:r>
    </w:p>
    <w:tbl>
      <w:tblPr>
        <w:tblStyle w:val="TableGrid"/>
        <w:tblW w:type="dxa" w:w="9360"/>
        <w:jc w:val="left"/>
        <w:tblLayout w:type="fixed"/>
        <w:tblLook w:firstColumn="1" w:firstRow="1" w:lastColumn="0" w:lastRow="0" w:noHBand="0" w:noVBand="1" w:val="04A0"/>
        <w:tblInd w:w="120" w:type="dxa"/>
      </w:tblPr>
      <w:tblGrid>
        <w:gridCol w:w="2650"/>
        <w:gridCol w:w="3800"/>
        <w:gridCol w:w="2910"/>
      </w:tblGrid>
      <w:tr>
        <w:trPr>
          <w:tblHeader w:val="true"/>
          <w:cantSplit w:val="true"/>
        </w:trPr>
        <w:tc>
          <w:tcPr>
            <w:tcW w:type="dxa" w:w="2650"/>
            <w:shd w:fill="F2F4F7"/>
            <w:tcMar>
              <w:top w:w="80" w:type="dxa"/>
              <w:start w:w="120" w:type="dxa"/>
              <w:bottom w:w="80" w:type="dxa"/>
              <w:end w:w="120" w:type="dxa"/>
            </w:tcMar>
            <w:vAlign w:val="center"/>
          </w:tcPr>
          <w:p>
            <w:pPr>
              <w:jc w:val="left"/>
            </w:pPr>
            <w:r>
              <w:rPr>
                <w:rFonts w:ascii="Calibri" w:hAnsi="Calibri"/>
                <w:b/>
                <w:color w:val="0B2545"/>
                <w:sz w:val="18"/>
              </w:rPr>
              <w:t>Afirmación staged</w:t>
            </w:r>
          </w:p>
        </w:tc>
        <w:tc>
          <w:tcPr>
            <w:tcW w:type="dxa" w:w="3800"/>
            <w:shd w:fill="F2F4F7"/>
            <w:tcMar>
              <w:top w:w="80" w:type="dxa"/>
              <w:start w:w="120" w:type="dxa"/>
              <w:bottom w:w="80" w:type="dxa"/>
              <w:end w:w="120" w:type="dxa"/>
            </w:tcMar>
            <w:vAlign w:val="center"/>
          </w:tcPr>
          <w:p>
            <w:pPr>
              <w:jc w:val="left"/>
            </w:pPr>
            <w:r>
              <w:rPr>
                <w:rFonts w:ascii="Calibri" w:hAnsi="Calibri"/>
                <w:b/>
                <w:color w:val="0B2545"/>
                <w:sz w:val="18"/>
              </w:rPr>
              <w:t>Hecho observable</w:t>
            </w:r>
          </w:p>
        </w:tc>
        <w:tc>
          <w:tcPr>
            <w:tcW w:type="dxa" w:w="2910"/>
            <w:shd w:fill="F2F4F7"/>
            <w:tcMar>
              <w:top w:w="80" w:type="dxa"/>
              <w:start w:w="120" w:type="dxa"/>
              <w:bottom w:w="80" w:type="dxa"/>
              <w:end w:w="120" w:type="dxa"/>
            </w:tcMar>
            <w:vAlign w:val="center"/>
          </w:tcPr>
          <w:p>
            <w:pPr>
              <w:jc w:val="center"/>
            </w:pPr>
            <w:r>
              <w:rPr>
                <w:rFonts w:ascii="Calibri" w:hAnsi="Calibri"/>
                <w:b/>
                <w:color w:val="0B2545"/>
                <w:sz w:val="18"/>
              </w:rPr>
              <w:t>Corrección</w:t>
            </w:r>
          </w:p>
        </w:tc>
      </w:tr>
      <w:tr>
        <w:trPr>
          <w:cantSplit w:val="true"/>
        </w:trPr>
        <w:tc>
          <w:tcPr>
            <w:tcW w:type="dxa" w:w="2650"/>
            <w:tcMar>
              <w:top w:w="80" w:type="dxa"/>
              <w:start w:w="120" w:type="dxa"/>
              <w:bottom w:w="80" w:type="dxa"/>
              <w:end w:w="120" w:type="dxa"/>
            </w:tcMar>
            <w:vAlign w:val="center"/>
          </w:tcPr>
          <w:p>
            <w:pPr>
              <w:jc w:val="left"/>
            </w:pPr>
            <w:r>
              <w:rPr>
                <w:rFonts w:ascii="Calibri" w:hAnsi="Calibri"/>
                <w:b w:val="0"/>
                <w:color w:val="1F2937"/>
                <w:sz w:val="18"/>
              </w:rPr>
              <w:t>“Perfil default de tres capas”</w:t>
            </w:r>
          </w:p>
        </w:tc>
        <w:tc>
          <w:tcPr>
            <w:tcW w:type="dxa" w:w="3800"/>
            <w:tcMar>
              <w:top w:w="80" w:type="dxa"/>
              <w:start w:w="120" w:type="dxa"/>
              <w:bottom w:w="80" w:type="dxa"/>
              <w:end w:w="120" w:type="dxa"/>
            </w:tcMar>
            <w:vAlign w:val="center"/>
          </w:tcPr>
          <w:p>
            <w:pPr>
              <w:jc w:val="left"/>
            </w:pPr>
            <w:r>
              <w:rPr>
                <w:rFonts w:ascii="Calibri" w:hAnsi="Calibri"/>
                <w:b w:val="0"/>
                <w:color w:val="1F2937"/>
                <w:sz w:val="18"/>
              </w:rPr>
              <w:t>El handler carga el esquema municipal; Caranavi tiene cuatro definiciones, tres obligatorias y una opcional</w:t>
            </w:r>
          </w:p>
        </w:tc>
        <w:tc>
          <w:tcPr>
            <w:tcW w:type="dxa" w:w="2910"/>
            <w:tcMar>
              <w:top w:w="80" w:type="dxa"/>
              <w:start w:w="120" w:type="dxa"/>
              <w:bottom w:w="80" w:type="dxa"/>
              <w:end w:w="120" w:type="dxa"/>
            </w:tcMar>
            <w:vAlign w:val="center"/>
          </w:tcPr>
          <w:p>
            <w:pPr>
              <w:jc w:val="left"/>
            </w:pPr>
            <w:r>
              <w:rPr>
                <w:rFonts w:ascii="Calibri" w:hAnsi="Calibri"/>
                <w:b w:val="0"/>
                <w:color w:val="1F2937"/>
                <w:sz w:val="18"/>
              </w:rPr>
              <w:t>Hablar de esquema municipal, no de perfil default de paquete</w:t>
            </w:r>
          </w:p>
        </w:tc>
      </w:tr>
      <w:tr>
        <w:trPr>
          <w:cantSplit w:val="true"/>
        </w:trPr>
        <w:tc>
          <w:tcPr>
            <w:tcW w:type="dxa" w:w="2650"/>
            <w:shd w:fill="FAFBFC"/>
            <w:tcMar>
              <w:top w:w="80" w:type="dxa"/>
              <w:start w:w="120" w:type="dxa"/>
              <w:bottom w:w="80" w:type="dxa"/>
              <w:end w:w="120" w:type="dxa"/>
            </w:tcMar>
            <w:vAlign w:val="center"/>
          </w:tcPr>
          <w:p>
            <w:pPr>
              <w:jc w:val="left"/>
            </w:pPr>
            <w:r>
              <w:rPr>
                <w:rFonts w:ascii="Calibri" w:hAnsi="Calibri"/>
                <w:b w:val="0"/>
                <w:color w:val="1F2937"/>
                <w:sz w:val="18"/>
              </w:rPr>
              <w:t>“No filtra por Obligatoria”</w:t>
            </w:r>
          </w:p>
        </w:tc>
        <w:tc>
          <w:tcPr>
            <w:tcW w:type="dxa" w:w="3800"/>
            <w:shd w:fill="FAFBFC"/>
            <w:tcMar>
              <w:top w:w="80" w:type="dxa"/>
              <w:start w:w="120" w:type="dxa"/>
              <w:bottom w:w="80" w:type="dxa"/>
              <w:end w:w="120" w:type="dxa"/>
            </w:tcMar>
            <w:vAlign w:val="center"/>
          </w:tcPr>
          <w:p>
            <w:pPr>
              <w:jc w:val="left"/>
            </w:pPr>
            <w:r>
              <w:rPr>
                <w:rFonts w:ascii="Calibri" w:hAnsi="Calibri"/>
                <w:b w:val="0"/>
                <w:color w:val="1F2937"/>
                <w:sz w:val="18"/>
              </w:rPr>
              <w:t>InspectorPaqueteVersionado omite una definición no obligatoria ausente</w:t>
            </w:r>
          </w:p>
        </w:tc>
        <w:tc>
          <w:tcPr>
            <w:tcW w:type="dxa" w:w="2910"/>
            <w:shd w:fill="FAFBFC"/>
            <w:tcMar>
              <w:top w:w="80" w:type="dxa"/>
              <w:start w:w="120" w:type="dxa"/>
              <w:bottom w:w="80" w:type="dxa"/>
              <w:end w:w="120" w:type="dxa"/>
            </w:tcMar>
            <w:vAlign w:val="center"/>
          </w:tcPr>
          <w:p>
            <w:pPr>
              <w:jc w:val="left"/>
            </w:pPr>
            <w:r>
              <w:rPr>
                <w:rFonts w:ascii="Calibri" w:hAnsi="Calibri"/>
                <w:b w:val="0"/>
                <w:color w:val="1F2937"/>
                <w:sz w:val="18"/>
              </w:rPr>
              <w:t>Eliminar esa afirmación</w:t>
            </w:r>
          </w:p>
        </w:tc>
      </w:tr>
      <w:tr>
        <w:trPr>
          <w:cantSplit w:val="true"/>
        </w:trPr>
        <w:tc>
          <w:tcPr>
            <w:tcW w:type="dxa" w:w="2650"/>
            <w:tcMar>
              <w:top w:w="80" w:type="dxa"/>
              <w:start w:w="120" w:type="dxa"/>
              <w:bottom w:w="80" w:type="dxa"/>
              <w:end w:w="120" w:type="dxa"/>
            </w:tcMar>
            <w:vAlign w:val="center"/>
          </w:tcPr>
          <w:p>
            <w:pPr>
              <w:jc w:val="left"/>
            </w:pPr>
            <w:r>
              <w:rPr>
                <w:rFonts w:ascii="Calibri" w:hAnsi="Calibri"/>
                <w:b w:val="0"/>
                <w:color w:val="1F2937"/>
                <w:sz w:val="18"/>
              </w:rPr>
              <w:t>“Perfil sin consumidor”</w:t>
            </w:r>
          </w:p>
        </w:tc>
        <w:tc>
          <w:tcPr>
            <w:tcW w:type="dxa" w:w="3800"/>
            <w:tcMar>
              <w:top w:w="80" w:type="dxa"/>
              <w:start w:w="120" w:type="dxa"/>
              <w:bottom w:w="80" w:type="dxa"/>
              <w:end w:w="120" w:type="dxa"/>
            </w:tcMar>
            <w:vAlign w:val="center"/>
          </w:tcPr>
          <w:p>
            <w:pPr>
              <w:jc w:val="left"/>
            </w:pPr>
            <w:r>
              <w:rPr>
                <w:rFonts w:ascii="Calibri" w:hAnsi="Calibri"/>
                <w:b w:val="0"/>
                <w:color w:val="1F2937"/>
                <w:sz w:val="18"/>
              </w:rPr>
              <w:t>Handler y loader resuelven NombrePerfil; loader implementa PrediosNoFotografiados</w:t>
            </w:r>
          </w:p>
        </w:tc>
        <w:tc>
          <w:tcPr>
            <w:tcW w:type="dxa" w:w="2910"/>
            <w:tcMar>
              <w:top w:w="80" w:type="dxa"/>
              <w:start w:w="120" w:type="dxa"/>
              <w:bottom w:w="80" w:type="dxa"/>
              <w:end w:w="120" w:type="dxa"/>
            </w:tcMar>
            <w:vAlign w:val="center"/>
          </w:tcPr>
          <w:p>
            <w:pPr>
              <w:jc w:val="left"/>
            </w:pPr>
            <w:r>
              <w:rPr>
                <w:rFonts w:ascii="Calibri" w:hAnsi="Calibri"/>
                <w:b w:val="0"/>
                <w:color w:val="1F2937"/>
                <w:sz w:val="18"/>
              </w:rPr>
              <w:t>Registrar que el perfil sí está conectado</w:t>
            </w:r>
          </w:p>
        </w:tc>
      </w:tr>
      <w:tr>
        <w:trPr>
          <w:cantSplit w:val="true"/>
        </w:trPr>
        <w:tc>
          <w:tcPr>
            <w:tcW w:type="dxa" w:w="2650"/>
            <w:shd w:fill="FAFBFC"/>
            <w:tcMar>
              <w:top w:w="80" w:type="dxa"/>
              <w:start w:w="120" w:type="dxa"/>
              <w:bottom w:w="80" w:type="dxa"/>
              <w:end w:w="120" w:type="dxa"/>
            </w:tcMar>
            <w:vAlign w:val="center"/>
          </w:tcPr>
          <w:p>
            <w:pPr>
              <w:jc w:val="left"/>
            </w:pPr>
            <w:r>
              <w:rPr>
                <w:rFonts w:ascii="Calibri" w:hAnsi="Calibri"/>
                <w:b w:val="0"/>
                <w:color w:val="1F2937"/>
                <w:sz w:val="18"/>
              </w:rPr>
              <w:t>“Activación aditiva confirmada”</w:t>
            </w:r>
          </w:p>
        </w:tc>
        <w:tc>
          <w:tcPr>
            <w:tcW w:type="dxa" w:w="3800"/>
            <w:shd w:fill="FAFBFC"/>
            <w:tcMar>
              <w:top w:w="80" w:type="dxa"/>
              <w:start w:w="120" w:type="dxa"/>
              <w:bottom w:w="80" w:type="dxa"/>
              <w:end w:w="120" w:type="dxa"/>
            </w:tcMar>
            <w:vAlign w:val="center"/>
          </w:tcPr>
          <w:p>
            <w:pPr>
              <w:jc w:val="left"/>
            </w:pPr>
            <w:r>
              <w:rPr>
                <w:rFonts w:ascii="Calibri" w:hAnsi="Calibri"/>
                <w:b w:val="0"/>
                <w:color w:val="1F2937"/>
                <w:sz w:val="18"/>
              </w:rPr>
              <w:t>ActivaActual.Archivar() y version.Activar()</w:t>
            </w:r>
          </w:p>
        </w:tc>
        <w:tc>
          <w:tcPr>
            <w:tcW w:type="dxa" w:w="2910"/>
            <w:shd w:fill="FAFBFC"/>
            <w:tcMar>
              <w:top w:w="80" w:type="dxa"/>
              <w:start w:w="120" w:type="dxa"/>
              <w:bottom w:w="80" w:type="dxa"/>
              <w:end w:w="120" w:type="dxa"/>
            </w:tcMar>
            <w:vAlign w:val="center"/>
          </w:tcPr>
          <w:p>
            <w:pPr>
              <w:jc w:val="left"/>
            </w:pPr>
            <w:r>
              <w:rPr>
                <w:rFonts w:ascii="Calibri" w:hAnsi="Calibri"/>
                <w:b w:val="0"/>
                <w:color w:val="1F2937"/>
                <w:sz w:val="18"/>
              </w:rPr>
              <w:t>Declarar reemplazo de versión activa</w:t>
            </w:r>
          </w:p>
        </w:tc>
      </w:tr>
      <w:tr>
        <w:trPr>
          <w:cantSplit w:val="true"/>
        </w:trPr>
        <w:tc>
          <w:tcPr>
            <w:tcW w:type="dxa" w:w="2650"/>
            <w:tcMar>
              <w:top w:w="80" w:type="dxa"/>
              <w:start w:w="120" w:type="dxa"/>
              <w:bottom w:w="80" w:type="dxa"/>
              <w:end w:w="120" w:type="dxa"/>
            </w:tcMar>
            <w:vAlign w:val="center"/>
          </w:tcPr>
          <w:p>
            <w:pPr>
              <w:jc w:val="left"/>
            </w:pPr>
            <w:r>
              <w:rPr>
                <w:rFonts w:ascii="Calibri" w:hAnsi="Calibri"/>
                <w:b w:val="0"/>
                <w:color w:val="1F2937"/>
                <w:sz w:val="18"/>
              </w:rPr>
              <w:t>“Solo handler/comando/worker”</w:t>
            </w:r>
          </w:p>
        </w:tc>
        <w:tc>
          <w:tcPr>
            <w:tcW w:type="dxa" w:w="3800"/>
            <w:tcMar>
              <w:top w:w="80" w:type="dxa"/>
              <w:start w:w="120" w:type="dxa"/>
              <w:bottom w:w="80" w:type="dxa"/>
              <w:end w:w="120" w:type="dxa"/>
            </w:tcMar>
            <w:vAlign w:val="center"/>
          </w:tcPr>
          <w:p>
            <w:pPr>
              <w:jc w:val="left"/>
            </w:pPr>
            <w:r>
              <w:rPr>
                <w:rFonts w:ascii="Calibri" w:hAnsi="Calibri"/>
                <w:b w:val="0"/>
                <w:color w:val="1F2937"/>
                <w:sz w:val="18"/>
              </w:rPr>
              <w:t>El problema toca el contrato de snapshot completo de ADR 0049</w:t>
            </w:r>
          </w:p>
        </w:tc>
        <w:tc>
          <w:tcPr>
            <w:tcW w:type="dxa" w:w="2910"/>
            <w:tcMar>
              <w:top w:w="80" w:type="dxa"/>
              <w:start w:w="120" w:type="dxa"/>
              <w:bottom w:w="80" w:type="dxa"/>
              <w:end w:w="120" w:type="dxa"/>
            </w:tcMar>
            <w:vAlign w:val="center"/>
          </w:tcPr>
          <w:p>
            <w:pPr>
              <w:jc w:val="left"/>
            </w:pPr>
            <w:r>
              <w:rPr>
                <w:rFonts w:ascii="Calibri" w:hAnsi="Calibri"/>
                <w:b w:val="0"/>
                <w:color w:val="1F2937"/>
                <w:sz w:val="18"/>
              </w:rPr>
              <w:t>Requiere ADR de composición e impacto de linaje</w:t>
            </w:r>
          </w:p>
        </w:tc>
      </w:tr>
    </w:tbl>
    <w:p>
      <w:pPr>
        <w:spacing w:before="80" w:after="80"/>
      </w:pPr>
      <w:r>
        <w:rPr>
          <w:rFonts w:ascii="Calibri" w:hAnsi="Calibri"/>
          <w:i/>
          <w:color w:val="5F6B7A"/>
          <w:sz w:val="17"/>
        </w:rPr>
        <w:t>Fuente: CrearVersionImportacionHandler, InspectorPaqueteVersionado, CargaVersionadaServicio y ActivacionVersionServicio.</w:t>
      </w:r>
    </w:p>
    <w:p>
      <w:pPr>
        <w:pStyle w:val="Heading2"/>
      </w:pPr>
      <w:r>
        <w:t>6.3 Causa raíz real</w:t>
      </w:r>
    </w:p>
    <w:p>
      <w:pPr/>
      <w:r>
        <w:rPr>
          <w:rFonts w:ascii="Calibri" w:hAnsi="Calibri"/>
          <w:i w:val="0"/>
          <w:color w:val="1F2937"/>
          <w:sz w:val="22"/>
        </w:rPr>
        <w:t>PRE_NOF_CAR es una capa opcional dentro del esquema municipal de Caranavi. Un ZIP que contiene solo esa capa sigue omitiendo las tres capas obligatorias, por lo que el inspector lo rechaza correctamente según el contrato actual. El conflicto no es que el perfil no exista ni que la opcional sea ignorada: es que la importación vigente representa un snapshot municipal y las capas base son obligatorias para crear ese snapshot.</w:t>
      </w:r>
    </w:p>
    <w:p>
      <w:pPr/>
      <w:r>
        <w:rPr>
          <w:rFonts w:ascii="Calibri" w:hAnsi="Calibri"/>
          <w:i w:val="0"/>
          <w:color w:val="1F2937"/>
          <w:sz w:val="22"/>
        </w:rPr>
        <w:t>Aun si el endpoint aceptara perfil_codigo y cargara solo PRE_NOF_CAR, la activación de esa DatasetVersion archivaría la versión activa que contiene manzanas, áreas y puntos. El visor, los tiles y las capacidades consultan la versión activa; por tanto, la solución parcial introduciría una pérdida funcional visible.</w:t>
      </w:r>
    </w:p>
    <w:p>
      <w:r>
        <w:br w:type="page"/>
      </w:r>
    </w:p>
    <w:p>
      <w:pPr>
        <w:pStyle w:val="Heading2"/>
      </w:pPr>
      <w:r>
        <w:t>6.4 Opciones de diseño</w:t>
      </w:r>
    </w:p>
    <w:p>
      <w:pPr>
        <w:spacing w:before="80" w:after="80"/>
      </w:pPr>
      <w:r>
        <w:rPr>
          <w:rFonts w:ascii="Calibri" w:hAnsi="Calibri"/>
          <w:b/>
          <w:color w:val="0B2545"/>
          <w:sz w:val="19"/>
        </w:rPr>
        <w:t>Tabla 7. Alternativas para importaciones parciales</w:t>
      </w:r>
    </w:p>
    <w:tbl>
      <w:tblPr>
        <w:tblStyle w:val="TableGrid"/>
        <w:tblW w:type="dxa" w:w="9360"/>
        <w:jc w:val="left"/>
        <w:tblLayout w:type="fixed"/>
        <w:tblLook w:firstColumn="1" w:firstRow="1" w:lastColumn="0" w:lastRow="0" w:noHBand="0" w:noVBand="1" w:val="04A0"/>
        <w:tblInd w:w="120" w:type="dxa"/>
      </w:tblPr>
      <w:tblGrid>
        <w:gridCol w:w="2100"/>
        <w:gridCol w:w="2300"/>
        <w:gridCol w:w="2900"/>
        <w:gridCol w:w="2060"/>
      </w:tblGrid>
      <w:tr>
        <w:trPr>
          <w:tblHeader w:val="true"/>
          <w:cantSplit w:val="true"/>
        </w:trPr>
        <w:tc>
          <w:tcPr>
            <w:tcW w:type="dxa" w:w="2100"/>
            <w:shd w:fill="F2F4F7"/>
            <w:tcMar>
              <w:top w:w="80" w:type="dxa"/>
              <w:start w:w="120" w:type="dxa"/>
              <w:bottom w:w="80" w:type="dxa"/>
              <w:end w:w="120" w:type="dxa"/>
            </w:tcMar>
            <w:vAlign w:val="center"/>
          </w:tcPr>
          <w:p>
            <w:pPr>
              <w:jc w:val="center"/>
            </w:pPr>
            <w:r>
              <w:rPr>
                <w:rFonts w:ascii="Calibri" w:hAnsi="Calibri"/>
                <w:b/>
                <w:color w:val="0B2545"/>
                <w:sz w:val="18"/>
              </w:rPr>
              <w:t>Opción</w:t>
            </w:r>
          </w:p>
        </w:tc>
        <w:tc>
          <w:tcPr>
            <w:tcW w:type="dxa" w:w="2300"/>
            <w:shd w:fill="F2F4F7"/>
            <w:tcMar>
              <w:top w:w="80" w:type="dxa"/>
              <w:start w:w="120" w:type="dxa"/>
              <w:bottom w:w="80" w:type="dxa"/>
              <w:end w:w="120" w:type="dxa"/>
            </w:tcMar>
            <w:vAlign w:val="center"/>
          </w:tcPr>
          <w:p>
            <w:pPr>
              <w:jc w:val="center"/>
            </w:pPr>
            <w:r>
              <w:rPr>
                <w:rFonts w:ascii="Calibri" w:hAnsi="Calibri"/>
                <w:b/>
                <w:color w:val="0B2545"/>
                <w:sz w:val="18"/>
              </w:rPr>
              <w:t>Ventajas</w:t>
            </w:r>
          </w:p>
        </w:tc>
        <w:tc>
          <w:tcPr>
            <w:tcW w:type="dxa" w:w="2900"/>
            <w:shd w:fill="F2F4F7"/>
            <w:tcMar>
              <w:top w:w="80" w:type="dxa"/>
              <w:start w:w="120" w:type="dxa"/>
              <w:bottom w:w="80" w:type="dxa"/>
              <w:end w:w="120" w:type="dxa"/>
            </w:tcMar>
            <w:vAlign w:val="center"/>
          </w:tcPr>
          <w:p>
            <w:pPr>
              <w:jc w:val="center"/>
            </w:pPr>
            <w:r>
              <w:rPr>
                <w:rFonts w:ascii="Calibri" w:hAnsi="Calibri"/>
                <w:b/>
                <w:color w:val="0B2545"/>
                <w:sz w:val="18"/>
              </w:rPr>
              <w:t>Riesgos</w:t>
            </w:r>
          </w:p>
        </w:tc>
        <w:tc>
          <w:tcPr>
            <w:tcW w:type="dxa" w:w="2060"/>
            <w:shd w:fill="F2F4F7"/>
            <w:tcMar>
              <w:top w:w="80" w:type="dxa"/>
              <w:start w:w="120" w:type="dxa"/>
              <w:bottom w:w="80" w:type="dxa"/>
              <w:end w:w="120" w:type="dxa"/>
            </w:tcMar>
            <w:vAlign w:val="center"/>
          </w:tcPr>
          <w:p>
            <w:pPr>
              <w:jc w:val="center"/>
            </w:pPr>
            <w:r>
              <w:rPr>
                <w:rFonts w:ascii="Calibri" w:hAnsi="Calibri"/>
                <w:b/>
                <w:color w:val="0B2545"/>
                <w:sz w:val="18"/>
              </w:rPr>
              <w:t>Veredicto</w:t>
            </w:r>
          </w:p>
        </w:tc>
      </w:tr>
      <w:tr>
        <w:trPr>
          <w:cantSplit w:val="true"/>
        </w:trPr>
        <w:tc>
          <w:tcPr>
            <w:tcW w:type="dxa" w:w="2100"/>
            <w:tcMar>
              <w:top w:w="80" w:type="dxa"/>
              <w:start w:w="120" w:type="dxa"/>
              <w:bottom w:w="80" w:type="dxa"/>
              <w:end w:w="120" w:type="dxa"/>
            </w:tcMar>
            <w:vAlign w:val="center"/>
          </w:tcPr>
          <w:p>
            <w:pPr>
              <w:jc w:val="left"/>
            </w:pPr>
            <w:r>
              <w:rPr>
                <w:rFonts w:ascii="Calibri" w:hAnsi="Calibri"/>
                <w:b w:val="0"/>
                <w:color w:val="1F2937"/>
                <w:sz w:val="18"/>
              </w:rPr>
              <w:t>Exigir ZIP completo de 4 capas</w:t>
            </w:r>
          </w:p>
        </w:tc>
        <w:tc>
          <w:tcPr>
            <w:tcW w:type="dxa" w:w="2300"/>
            <w:tcMar>
              <w:top w:w="80" w:type="dxa"/>
              <w:start w:w="120" w:type="dxa"/>
              <w:bottom w:w="80" w:type="dxa"/>
              <w:end w:w="120" w:type="dxa"/>
            </w:tcMar>
            <w:vAlign w:val="center"/>
          </w:tcPr>
          <w:p>
            <w:pPr>
              <w:jc w:val="left"/>
            </w:pPr>
            <w:r>
              <w:rPr>
                <w:rFonts w:ascii="Calibri" w:hAnsi="Calibri"/>
                <w:b w:val="0"/>
                <w:color w:val="1F2937"/>
                <w:sz w:val="18"/>
              </w:rPr>
              <w:t>Sin cambio de backend; respeta snapshot</w:t>
            </w:r>
          </w:p>
        </w:tc>
        <w:tc>
          <w:tcPr>
            <w:tcW w:type="dxa" w:w="2900"/>
            <w:tcMar>
              <w:top w:w="80" w:type="dxa"/>
              <w:start w:w="120" w:type="dxa"/>
              <w:bottom w:w="80" w:type="dxa"/>
              <w:end w:w="120" w:type="dxa"/>
            </w:tcMar>
            <w:vAlign w:val="center"/>
          </w:tcPr>
          <w:p>
            <w:pPr>
              <w:jc w:val="left"/>
            </w:pPr>
            <w:r>
              <w:rPr>
                <w:rFonts w:ascii="Calibri" w:hAnsi="Calibri"/>
                <w:b w:val="0"/>
                <w:color w:val="1F2937"/>
                <w:sz w:val="18"/>
              </w:rPr>
              <w:t>Duplica archivos; operación manual; no escala a cambios puntuales</w:t>
            </w:r>
          </w:p>
        </w:tc>
        <w:tc>
          <w:tcPr>
            <w:tcW w:type="dxa" w:w="2060"/>
            <w:tcMar>
              <w:top w:w="80" w:type="dxa"/>
              <w:start w:w="120" w:type="dxa"/>
              <w:bottom w:w="80" w:type="dxa"/>
              <w:end w:w="120" w:type="dxa"/>
            </w:tcMar>
            <w:vAlign w:val="center"/>
          </w:tcPr>
          <w:p>
            <w:pPr>
              <w:jc w:val="center"/>
            </w:pPr>
            <w:r>
              <w:rPr>
                <w:rFonts w:ascii="Calibri" w:hAnsi="Calibri"/>
                <w:b/>
                <w:color w:val="1F2937"/>
                <w:sz w:val="18"/>
              </w:rPr>
              <w:t>Válida como contingencia</w:t>
            </w:r>
          </w:p>
        </w:tc>
      </w:tr>
      <w:tr>
        <w:trPr>
          <w:cantSplit w:val="true"/>
        </w:trPr>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Permitir versión de una sola capa</w:t>
            </w:r>
          </w:p>
        </w:tc>
        <w:tc>
          <w:tcPr>
            <w:tcW w:type="dxa" w:w="2300"/>
            <w:shd w:fill="FAFBFC"/>
            <w:tcMar>
              <w:top w:w="80" w:type="dxa"/>
              <w:start w:w="120" w:type="dxa"/>
              <w:bottom w:w="80" w:type="dxa"/>
              <w:end w:w="120" w:type="dxa"/>
            </w:tcMar>
            <w:vAlign w:val="center"/>
          </w:tcPr>
          <w:p>
            <w:pPr>
              <w:jc w:val="left"/>
            </w:pPr>
            <w:r>
              <w:rPr>
                <w:rFonts w:ascii="Calibri" w:hAnsi="Calibri"/>
                <w:b w:val="0"/>
                <w:color w:val="1F2937"/>
                <w:sz w:val="18"/>
              </w:rPr>
              <w:t>Cambio aparente pequeño</w:t>
            </w:r>
          </w:p>
        </w:tc>
        <w:tc>
          <w:tcPr>
            <w:tcW w:type="dxa" w:w="2900"/>
            <w:shd w:fill="FAFBFC"/>
            <w:tcMar>
              <w:top w:w="80" w:type="dxa"/>
              <w:start w:w="120" w:type="dxa"/>
              <w:bottom w:w="80" w:type="dxa"/>
              <w:end w:w="120" w:type="dxa"/>
            </w:tcMar>
            <w:vAlign w:val="center"/>
          </w:tcPr>
          <w:p>
            <w:pPr>
              <w:jc w:val="left"/>
            </w:pPr>
            <w:r>
              <w:rPr>
                <w:rFonts w:ascii="Calibri" w:hAnsi="Calibri"/>
                <w:b w:val="0"/>
                <w:color w:val="1F2937"/>
                <w:sz w:val="18"/>
              </w:rPr>
              <w:t>Rompe snapshot, oculta capas activas y contradice ADR 0049</w:t>
            </w:r>
          </w:p>
        </w:tc>
        <w:tc>
          <w:tcPr>
            <w:tcW w:type="dxa" w:w="2060"/>
            <w:shd w:fill="FAFBFC"/>
            <w:tcMar>
              <w:top w:w="80" w:type="dxa"/>
              <w:start w:w="120" w:type="dxa"/>
              <w:bottom w:w="80" w:type="dxa"/>
              <w:end w:w="120" w:type="dxa"/>
            </w:tcMar>
            <w:vAlign w:val="center"/>
          </w:tcPr>
          <w:p>
            <w:pPr>
              <w:jc w:val="center"/>
            </w:pPr>
            <w:r>
              <w:rPr>
                <w:rFonts w:ascii="Calibri" w:hAnsi="Calibri"/>
                <w:b/>
                <w:color w:val="1F2937"/>
                <w:sz w:val="18"/>
              </w:rPr>
              <w:t>No recomendada</w:t>
            </w:r>
          </w:p>
        </w:tc>
      </w:tr>
      <w:tr>
        <w:trPr>
          <w:cantSplit w:val="true"/>
        </w:trPr>
        <w:tc>
          <w:tcPr>
            <w:tcW w:type="dxa" w:w="2100"/>
            <w:tcMar>
              <w:top w:w="80" w:type="dxa"/>
              <w:start w:w="120" w:type="dxa"/>
              <w:bottom w:w="80" w:type="dxa"/>
              <w:end w:w="120" w:type="dxa"/>
            </w:tcMar>
            <w:vAlign w:val="center"/>
          </w:tcPr>
          <w:p>
            <w:pPr>
              <w:jc w:val="left"/>
            </w:pPr>
            <w:r>
              <w:rPr>
                <w:rFonts w:ascii="Calibri" w:hAnsi="Calibri"/>
                <w:b w:val="0"/>
                <w:color w:val="1F2937"/>
                <w:sz w:val="18"/>
              </w:rPr>
              <w:t>Composición/copy-forward N+1</w:t>
            </w:r>
          </w:p>
        </w:tc>
        <w:tc>
          <w:tcPr>
            <w:tcW w:type="dxa" w:w="2300"/>
            <w:tcMar>
              <w:top w:w="80" w:type="dxa"/>
              <w:start w:w="120" w:type="dxa"/>
              <w:bottom w:w="80" w:type="dxa"/>
              <w:end w:w="120" w:type="dxa"/>
            </w:tcMar>
            <w:vAlign w:val="center"/>
          </w:tcPr>
          <w:p>
            <w:pPr>
              <w:jc w:val="left"/>
            </w:pPr>
            <w:r>
              <w:rPr>
                <w:rFonts w:ascii="Calibri" w:hAnsi="Calibri"/>
                <w:b w:val="0"/>
                <w:color w:val="1F2937"/>
                <w:sz w:val="18"/>
              </w:rPr>
              <w:t>Preserva snapshot, permite cambios por capa y mantiene visor consistente</w:t>
            </w:r>
          </w:p>
        </w:tc>
        <w:tc>
          <w:tcPr>
            <w:tcW w:type="dxa" w:w="2900"/>
            <w:tcMar>
              <w:top w:w="80" w:type="dxa"/>
              <w:start w:w="120" w:type="dxa"/>
              <w:bottom w:w="80" w:type="dxa"/>
              <w:end w:w="120" w:type="dxa"/>
            </w:tcMar>
            <w:vAlign w:val="center"/>
          </w:tcPr>
          <w:p>
            <w:pPr>
              <w:jc w:val="left"/>
            </w:pPr>
            <w:r>
              <w:rPr>
                <w:rFonts w:ascii="Calibri" w:hAnsi="Calibri"/>
                <w:b w:val="0"/>
                <w:color w:val="1F2937"/>
                <w:sz w:val="18"/>
              </w:rPr>
              <w:t>Requiere ADR, copia transaccional, linaje y tests</w:t>
            </w:r>
          </w:p>
        </w:tc>
        <w:tc>
          <w:tcPr>
            <w:tcW w:type="dxa" w:w="2060"/>
            <w:tcMar>
              <w:top w:w="80" w:type="dxa"/>
              <w:start w:w="120" w:type="dxa"/>
              <w:bottom w:w="80" w:type="dxa"/>
              <w:end w:w="120" w:type="dxa"/>
            </w:tcMar>
            <w:vAlign w:val="center"/>
          </w:tcPr>
          <w:p>
            <w:pPr>
              <w:jc w:val="center"/>
            </w:pPr>
            <w:r>
              <w:rPr>
                <w:rFonts w:ascii="Calibri" w:hAnsi="Calibri"/>
                <w:b/>
                <w:color w:val="1F2937"/>
                <w:sz w:val="18"/>
              </w:rPr>
              <w:t>Recomendada</w:t>
            </w:r>
          </w:p>
        </w:tc>
      </w:tr>
      <w:tr>
        <w:trPr>
          <w:cantSplit w:val="true"/>
        </w:trPr>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Versionado independiente por capa</w:t>
            </w:r>
          </w:p>
        </w:tc>
        <w:tc>
          <w:tcPr>
            <w:tcW w:type="dxa" w:w="2300"/>
            <w:shd w:fill="FAFBFC"/>
            <w:tcMar>
              <w:top w:w="80" w:type="dxa"/>
              <w:start w:w="120" w:type="dxa"/>
              <w:bottom w:w="80" w:type="dxa"/>
              <w:end w:w="120" w:type="dxa"/>
            </w:tcMar>
            <w:vAlign w:val="center"/>
          </w:tcPr>
          <w:p>
            <w:pPr>
              <w:jc w:val="left"/>
            </w:pPr>
            <w:r>
              <w:rPr>
                <w:rFonts w:ascii="Calibri" w:hAnsi="Calibri"/>
                <w:b w:val="0"/>
                <w:color w:val="1F2937"/>
                <w:sz w:val="18"/>
              </w:rPr>
              <w:t>Máxima flexibilidad</w:t>
            </w:r>
          </w:p>
        </w:tc>
        <w:tc>
          <w:tcPr>
            <w:tcW w:type="dxa" w:w="2900"/>
            <w:shd w:fill="FAFBFC"/>
            <w:tcMar>
              <w:top w:w="80" w:type="dxa"/>
              <w:start w:w="120" w:type="dxa"/>
              <w:bottom w:w="80" w:type="dxa"/>
              <w:end w:w="120" w:type="dxa"/>
            </w:tcMar>
            <w:vAlign w:val="center"/>
          </w:tcPr>
          <w:p>
            <w:pPr>
              <w:jc w:val="left"/>
            </w:pPr>
            <w:r>
              <w:rPr>
                <w:rFonts w:ascii="Calibri" w:hAnsi="Calibri"/>
                <w:b w:val="0"/>
                <w:color w:val="1F2937"/>
                <w:sz w:val="18"/>
              </w:rPr>
              <w:t>Rediseño profundo de consultas, activación y coherencia temporal</w:t>
            </w:r>
          </w:p>
        </w:tc>
        <w:tc>
          <w:tcPr>
            <w:tcW w:type="dxa" w:w="2060"/>
            <w:shd w:fill="FAFBFC"/>
            <w:tcMar>
              <w:top w:w="80" w:type="dxa"/>
              <w:start w:w="120" w:type="dxa"/>
              <w:bottom w:w="80" w:type="dxa"/>
              <w:end w:w="120" w:type="dxa"/>
            </w:tcMar>
            <w:vAlign w:val="center"/>
          </w:tcPr>
          <w:p>
            <w:pPr>
              <w:jc w:val="center"/>
            </w:pPr>
            <w:r>
              <w:rPr>
                <w:rFonts w:ascii="Calibri" w:hAnsi="Calibri"/>
                <w:b/>
                <w:color w:val="1F2937"/>
                <w:sz w:val="18"/>
              </w:rPr>
              <w:t>Futuro, no MVP</w:t>
            </w:r>
          </w:p>
        </w:tc>
      </w:tr>
    </w:tbl>
    <w:p>
      <w:pPr>
        <w:spacing w:before="80" w:after="80"/>
      </w:pPr>
      <w:r>
        <w:rPr>
          <w:rFonts w:ascii="Calibri" w:hAnsi="Calibri"/>
          <w:i/>
          <w:color w:val="5F6B7A"/>
          <w:sz w:val="17"/>
        </w:rPr>
        <w:t>Fuente: análisis del contrato de DatasetVersion y activación.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4EA"/>
          </w:tcPr>
          <w:p>
            <w:pPr>
              <w:spacing w:after="40"/>
            </w:pPr>
            <w:r>
              <w:rPr>
                <w:rFonts w:ascii="Calibri" w:hAnsi="Calibri"/>
                <w:b/>
                <w:color w:val="2F7D32"/>
                <w:sz w:val="18"/>
              </w:rPr>
              <w:t>RECOMENDACIÓN DE ARQUITECTURA</w:t>
            </w:r>
          </w:p>
          <w:p>
            <w:pPr>
              <w:spacing w:after="0"/>
            </w:pPr>
            <w:r>
              <w:rPr>
                <w:rFonts w:ascii="Calibri" w:hAnsi="Calibri"/>
                <w:color w:val="1F2937"/>
                <w:sz w:val="21"/>
              </w:rPr>
              <w:t>Agregar una operación de actualización de capas que reciba municipio, base_version_id implícita o explícita y paquete parcial. El sistema crea una DatasetVersion N+1 completa: copia las filas de capas no modificadas, carga las nuevas, ejecuta preview sobre el resultado compuesto, registra linaje por capa y solo entonces permite activar.</w:t>
            </w:r>
          </w:p>
        </w:tc>
      </w:tr>
    </w:tbl>
    <w:p>
      <w:pPr>
        <w:spacing w:after="0"/>
      </w:pPr>
    </w:p>
    <w:p>
      <w:pPr>
        <w:pStyle w:val="Heading2"/>
      </w:pPr>
      <w:r>
        <w:t>6.5 Gate de aceptación propuesto para 3.B.7</w:t>
      </w:r>
    </w:p>
    <w:p>
      <w:pPr>
        <w:pStyle w:val="ListNumber"/>
      </w:pPr>
      <w:r>
        <w:rPr>
          <w:rFonts w:ascii="Calibri" w:hAnsi="Calibri"/>
          <w:color w:val="1F2937"/>
          <w:sz w:val="22"/>
        </w:rPr>
        <w:t>Corregir y revisar HALLAZGO_PIPELINE_3B7.md; eliminar las cinco afirmaciones inexactas.</w:t>
      </w:r>
    </w:p>
    <w:p>
      <w:pPr>
        <w:pStyle w:val="ListNumber"/>
      </w:pPr>
      <w:r>
        <w:rPr>
          <w:rFonts w:ascii="Calibri" w:hAnsi="Calibri"/>
          <w:color w:val="1F2937"/>
          <w:sz w:val="22"/>
        </w:rPr>
        <w:t>Aprobar ADR de snapshot compuesto: semántica, linaje, rollback, idempotencia y costos.</w:t>
      </w:r>
    </w:p>
    <w:p>
      <w:pPr>
        <w:pStyle w:val="ListNumber"/>
      </w:pPr>
      <w:r>
        <w:rPr>
          <w:rFonts w:ascii="Calibri" w:hAnsi="Calibri"/>
          <w:color w:val="1F2937"/>
          <w:sz w:val="22"/>
        </w:rPr>
        <w:t>Implementar composición transaccional sin tocar la versión activa.</w:t>
      </w:r>
    </w:p>
    <w:p>
      <w:pPr>
        <w:pStyle w:val="ListNumber"/>
      </w:pPr>
      <w:r>
        <w:rPr>
          <w:rFonts w:ascii="Calibri" w:hAnsi="Calibri"/>
          <w:color w:val="1F2937"/>
          <w:sz w:val="22"/>
        </w:rPr>
        <w:t>Tests: positivo PRE_NOF_CAR; negativo perfil/capa ajena; capa obligatoria parcial; rollback; activación; conservación de tres capas base.</w:t>
      </w:r>
    </w:p>
    <w:p>
      <w:pPr>
        <w:pStyle w:val="ListNumber"/>
      </w:pPr>
      <w:r>
        <w:rPr>
          <w:rFonts w:ascii="Calibri" w:hAnsi="Calibri"/>
          <w:color w:val="1F2937"/>
          <w:sz w:val="22"/>
        </w:rPr>
        <w:t>Restore y build frescos; suite 325+ en verde y SG.Web.E2E pertinente.</w:t>
      </w:r>
    </w:p>
    <w:p>
      <w:pPr>
        <w:pStyle w:val="ListNumber"/>
      </w:pPr>
      <w:r>
        <w:rPr>
          <w:rFonts w:ascii="Calibri" w:hAnsi="Calibri"/>
          <w:color w:val="1F2937"/>
          <w:sz w:val="22"/>
        </w:rPr>
        <w:t>Importar el ZIP real, hacer polling hasta PreviewListo y revisar los 6.573 registros.</w:t>
      </w:r>
    </w:p>
    <w:p>
      <w:pPr>
        <w:pStyle w:val="ListNumber"/>
      </w:pPr>
      <w:r>
        <w:rPr>
          <w:rFonts w:ascii="Calibri" w:hAnsi="Calibri"/>
          <w:color w:val="1F2937"/>
          <w:sz w:val="22"/>
        </w:rPr>
        <w:t>Activar y confirmar por SQL que Caranavi mantiene 637 manzanas, 17 áreas, 33 puntos y suma 6.573 predios no fotografiados.</w:t>
      </w:r>
    </w:p>
    <w:p>
      <w:pPr>
        <w:pStyle w:val="ListNumber"/>
      </w:pPr>
      <w:r>
        <w:rPr>
          <w:rFonts w:ascii="Calibri" w:hAnsi="Calibri"/>
          <w:color w:val="1F2937"/>
          <w:sz w:val="22"/>
        </w:rPr>
        <w:t>Verificar visor, tiles y configuración de capacidades; búsqueda/ficha debe permanecer deshabilitada mientras no exista parcela maestra con tripleta completa.</w:t>
      </w:r>
    </w:p>
    <w:p>
      <w:pPr>
        <w:pStyle w:val="ListNumber"/>
      </w:pPr>
      <w:r>
        <w:rPr>
          <w:rFonts w:ascii="Calibri" w:hAnsi="Calibri"/>
          <w:color w:val="1F2937"/>
          <w:sz w:val="22"/>
        </w:rPr>
        <w:t>Probar rollback a la versión anterior y documentar evidencia.</w:t>
      </w:r>
    </w:p>
    <w:p>
      <w:r>
        <w:br w:type="page"/>
      </w:r>
    </w:p>
    <w:p>
      <w:pPr>
        <w:pStyle w:val="Heading1"/>
      </w:pPr>
      <w:r>
        <w:t>7. Matriz funcional consolidada</w:t>
      </w:r>
    </w:p>
    <w:p>
      <w:pPr>
        <w:spacing w:before="80" w:after="80"/>
      </w:pPr>
      <w:r>
        <w:rPr>
          <w:rFonts w:ascii="Calibri" w:hAnsi="Calibri"/>
          <w:b/>
          <w:color w:val="0B2545"/>
          <w:sz w:val="19"/>
        </w:rPr>
        <w:t>Tabla 8. Estado por capacidad</w:t>
      </w:r>
    </w:p>
    <w:tbl>
      <w:tblPr>
        <w:tblStyle w:val="TableGrid"/>
        <w:tblW w:type="dxa" w:w="9360"/>
        <w:jc w:val="left"/>
        <w:tblLayout w:type="fixed"/>
        <w:tblLook w:firstColumn="1" w:firstRow="1" w:lastColumn="0" w:lastRow="0" w:noHBand="0" w:noVBand="1" w:val="04A0"/>
        <w:tblInd w:w="120" w:type="dxa"/>
      </w:tblPr>
      <w:tblGrid>
        <w:gridCol w:w="1900"/>
        <w:gridCol w:w="1550"/>
        <w:gridCol w:w="2820"/>
        <w:gridCol w:w="3090"/>
      </w:tblGrid>
      <w:tr>
        <w:trPr>
          <w:tblHeader w:val="true"/>
          <w:cantSplit w:val="true"/>
        </w:trPr>
        <w:tc>
          <w:tcPr>
            <w:tcW w:type="dxa" w:w="1900"/>
            <w:shd w:fill="F2F4F7"/>
            <w:tcMar>
              <w:top w:w="80" w:type="dxa"/>
              <w:start w:w="120" w:type="dxa"/>
              <w:bottom w:w="80" w:type="dxa"/>
              <w:end w:w="120" w:type="dxa"/>
            </w:tcMar>
            <w:vAlign w:val="center"/>
          </w:tcPr>
          <w:p>
            <w:pPr>
              <w:spacing w:after="0" w:line="240" w:lineRule="auto"/>
              <w:jc w:val="center"/>
            </w:pPr>
            <w:r>
              <w:rPr>
                <w:rFonts w:ascii="Calibri" w:hAnsi="Calibri"/>
                <w:b/>
                <w:color w:val="0B2545"/>
                <w:sz w:val="18"/>
              </w:rPr>
              <w:t>Área</w:t>
            </w:r>
          </w:p>
        </w:tc>
        <w:tc>
          <w:tcPr>
            <w:tcW w:type="dxa" w:w="1550"/>
            <w:shd w:fill="F2F4F7"/>
            <w:tcMar>
              <w:top w:w="80" w:type="dxa"/>
              <w:start w:w="120" w:type="dxa"/>
              <w:bottom w:w="80" w:type="dxa"/>
              <w:end w:w="120" w:type="dxa"/>
            </w:tcMar>
            <w:vAlign w:val="center"/>
          </w:tcPr>
          <w:p>
            <w:pPr>
              <w:spacing w:after="0" w:line="240" w:lineRule="auto"/>
              <w:jc w:val="center"/>
            </w:pPr>
            <w:r>
              <w:rPr>
                <w:rFonts w:ascii="Calibri" w:hAnsi="Calibri"/>
                <w:b/>
                <w:color w:val="0B2545"/>
                <w:sz w:val="18"/>
              </w:rPr>
              <w:t>Estado</w:t>
            </w:r>
          </w:p>
        </w:tc>
        <w:tc>
          <w:tcPr>
            <w:tcW w:type="dxa" w:w="2820"/>
            <w:shd w:fill="F2F4F7"/>
            <w:tcMar>
              <w:top w:w="80" w:type="dxa"/>
              <w:start w:w="120" w:type="dxa"/>
              <w:bottom w:w="80" w:type="dxa"/>
              <w:end w:w="120" w:type="dxa"/>
            </w:tcMar>
            <w:vAlign w:val="center"/>
          </w:tcPr>
          <w:p>
            <w:pPr>
              <w:spacing w:after="0" w:line="240" w:lineRule="auto"/>
              <w:jc w:val="center"/>
            </w:pPr>
            <w:r>
              <w:rPr>
                <w:rFonts w:ascii="Calibri" w:hAnsi="Calibri"/>
                <w:b/>
                <w:color w:val="0B2545"/>
                <w:sz w:val="18"/>
              </w:rPr>
              <w:t>Qué existe</w:t>
            </w:r>
          </w:p>
        </w:tc>
        <w:tc>
          <w:tcPr>
            <w:tcW w:type="dxa" w:w="3090"/>
            <w:shd w:fill="F2F4F7"/>
            <w:tcMar>
              <w:top w:w="80" w:type="dxa"/>
              <w:start w:w="120" w:type="dxa"/>
              <w:bottom w:w="80" w:type="dxa"/>
              <w:end w:w="120" w:type="dxa"/>
            </w:tcMar>
            <w:vAlign w:val="center"/>
          </w:tcPr>
          <w:p>
            <w:pPr>
              <w:spacing w:after="0" w:line="240" w:lineRule="auto"/>
              <w:jc w:val="left"/>
            </w:pPr>
            <w:r>
              <w:rPr>
                <w:rFonts w:ascii="Calibri" w:hAnsi="Calibri"/>
                <w:b/>
                <w:color w:val="0B2545"/>
                <w:sz w:val="18"/>
              </w:rPr>
              <w:t>Qué falta para cierre</w:t>
            </w:r>
          </w:p>
        </w:tc>
      </w:tr>
      <w:tr>
        <w:trPr>
          <w:cantSplit w:val="true"/>
        </w:trPr>
        <w:tc>
          <w:tcPr>
            <w:tcW w:type="dxa" w:w="1900"/>
            <w:tcMar>
              <w:top w:w="80" w:type="dxa"/>
              <w:start w:w="120" w:type="dxa"/>
              <w:bottom w:w="80" w:type="dxa"/>
              <w:end w:w="120" w:type="dxa"/>
            </w:tcMar>
            <w:vAlign w:val="center"/>
          </w:tcPr>
          <w:p>
            <w:pPr>
              <w:spacing w:after="0" w:line="240" w:lineRule="auto"/>
              <w:jc w:val="left"/>
            </w:pPr>
            <w:r>
              <w:rPr>
                <w:rFonts w:ascii="Calibri" w:hAnsi="Calibri"/>
                <w:b w:val="0"/>
                <w:color w:val="1F2937"/>
                <w:sz w:val="18"/>
              </w:rPr>
              <w:t>Infraestructura base</w:t>
            </w:r>
          </w:p>
        </w:tc>
        <w:tc>
          <w:tcPr>
            <w:tcW w:type="dxa" w:w="1550"/>
            <w:tcMar>
              <w:top w:w="80" w:type="dxa"/>
              <w:start w:w="120" w:type="dxa"/>
              <w:bottom w:w="80" w:type="dxa"/>
              <w:end w:w="120" w:type="dxa"/>
            </w:tcMar>
            <w:vAlign w:val="center"/>
          </w:tcPr>
          <w:p>
            <w:pPr>
              <w:spacing w:after="0" w:line="240" w:lineRule="auto"/>
              <w:jc w:val="center"/>
            </w:pPr>
            <w:r>
              <w:rPr>
                <w:rFonts w:ascii="Calibri" w:hAnsi="Calibri"/>
                <w:b/>
                <w:color w:val="2F7D32"/>
                <w:sz w:val="18"/>
              </w:rPr>
              <w:t>Completado</w:t>
            </w:r>
          </w:p>
        </w:tc>
        <w:tc>
          <w:tcPr>
            <w:tcW w:type="dxa" w:w="2820"/>
            <w:tcMar>
              <w:top w:w="80" w:type="dxa"/>
              <w:start w:w="120" w:type="dxa"/>
              <w:bottom w:w="80" w:type="dxa"/>
              <w:end w:w="120" w:type="dxa"/>
            </w:tcMar>
            <w:vAlign w:val="center"/>
          </w:tcPr>
          <w:p>
            <w:pPr>
              <w:spacing w:after="0" w:line="240" w:lineRule="auto"/>
              <w:jc w:val="left"/>
            </w:pPr>
            <w:r>
              <w:rPr>
                <w:rFonts w:ascii="Calibri" w:hAnsi="Calibri"/>
                <w:b w:val="0"/>
                <w:color w:val="1F2937"/>
                <w:sz w:val="18"/>
              </w:rPr>
              <w:t>Compose, Caddy, Postgres, MinIO, health</w:t>
            </w:r>
          </w:p>
        </w:tc>
        <w:tc>
          <w:tcPr>
            <w:tcW w:type="dxa" w:w="3090"/>
            <w:tcMar>
              <w:top w:w="80" w:type="dxa"/>
              <w:start w:w="120" w:type="dxa"/>
              <w:bottom w:w="80" w:type="dxa"/>
              <w:end w:w="120" w:type="dxa"/>
            </w:tcMar>
            <w:vAlign w:val="center"/>
          </w:tcPr>
          <w:p>
            <w:pPr>
              <w:spacing w:after="0" w:line="240" w:lineRule="auto"/>
              <w:jc w:val="left"/>
            </w:pPr>
            <w:r>
              <w:rPr>
                <w:rFonts w:ascii="Calibri" w:hAnsi="Calibri"/>
                <w:b w:val="0"/>
                <w:color w:val="1F2937"/>
                <w:sz w:val="18"/>
              </w:rPr>
              <w:t>Runbook de instancia, producción y restore</w:t>
            </w:r>
          </w:p>
        </w:tc>
      </w:tr>
      <w:tr>
        <w:trPr>
          <w:cantSplit w:val="true"/>
        </w:trPr>
        <w:tc>
          <w:tcPr>
            <w:tcW w:type="dxa" w:w="1900"/>
            <w:shd w:fill="FAFBFC"/>
            <w:tcMar>
              <w:top w:w="80" w:type="dxa"/>
              <w:start w:w="120" w:type="dxa"/>
              <w:bottom w:w="80" w:type="dxa"/>
              <w:end w:w="120" w:type="dxa"/>
            </w:tcMar>
            <w:vAlign w:val="center"/>
          </w:tcPr>
          <w:p>
            <w:pPr>
              <w:spacing w:after="0" w:line="240" w:lineRule="auto"/>
              <w:jc w:val="left"/>
            </w:pPr>
            <w:r>
              <w:rPr>
                <w:rFonts w:ascii="Calibri" w:hAnsi="Calibri"/>
                <w:b w:val="0"/>
                <w:color w:val="1F2937"/>
                <w:sz w:val="18"/>
              </w:rPr>
              <w:t>Identidad y acceso</w:t>
            </w:r>
          </w:p>
        </w:tc>
        <w:tc>
          <w:tcPr>
            <w:tcW w:type="dxa" w:w="1550"/>
            <w:shd w:fill="FAFBFC"/>
            <w:tcMar>
              <w:top w:w="80" w:type="dxa"/>
              <w:start w:w="120" w:type="dxa"/>
              <w:bottom w:w="80" w:type="dxa"/>
              <w:end w:w="120" w:type="dxa"/>
            </w:tcMar>
            <w:vAlign w:val="center"/>
          </w:tcPr>
          <w:p>
            <w:pPr>
              <w:spacing w:after="0" w:line="240" w:lineRule="auto"/>
              <w:jc w:val="center"/>
            </w:pPr>
            <w:r>
              <w:rPr>
                <w:rFonts w:ascii="Calibri" w:hAnsi="Calibri"/>
                <w:b/>
                <w:color w:val="A46A00"/>
                <w:sz w:val="18"/>
              </w:rPr>
              <w:t>Parcial</w:t>
            </w:r>
          </w:p>
        </w:tc>
        <w:tc>
          <w:tcPr>
            <w:tcW w:type="dxa" w:w="2820"/>
            <w:shd w:fill="FAFBFC"/>
            <w:tcMar>
              <w:top w:w="80" w:type="dxa"/>
              <w:start w:w="120" w:type="dxa"/>
              <w:bottom w:w="80" w:type="dxa"/>
              <w:end w:w="120" w:type="dxa"/>
            </w:tcMar>
            <w:vAlign w:val="center"/>
          </w:tcPr>
          <w:p>
            <w:pPr>
              <w:spacing w:after="0" w:line="240" w:lineRule="auto"/>
              <w:jc w:val="left"/>
            </w:pPr>
            <w:r>
              <w:rPr>
                <w:rFonts w:ascii="Calibri" w:hAnsi="Calibri"/>
                <w:b w:val="0"/>
                <w:color w:val="1F2937"/>
                <w:sz w:val="18"/>
              </w:rPr>
              <w:t>JWT, refresh, roles, BCrypt</w:t>
            </w:r>
          </w:p>
        </w:tc>
        <w:tc>
          <w:tcPr>
            <w:tcW w:type="dxa" w:w="3090"/>
            <w:shd w:fill="FAFBFC"/>
            <w:tcMar>
              <w:top w:w="80" w:type="dxa"/>
              <w:start w:w="120" w:type="dxa"/>
              <w:bottom w:w="80" w:type="dxa"/>
              <w:end w:w="120" w:type="dxa"/>
            </w:tcMar>
            <w:vAlign w:val="center"/>
          </w:tcPr>
          <w:p>
            <w:pPr>
              <w:spacing w:after="0" w:line="240" w:lineRule="auto"/>
              <w:jc w:val="left"/>
            </w:pPr>
            <w:r>
              <w:rPr>
                <w:rFonts w:ascii="Calibri" w:hAnsi="Calibri"/>
                <w:b w:val="0"/>
                <w:color w:val="1F2937"/>
                <w:sz w:val="18"/>
              </w:rPr>
              <w:t>Administración de usuarios, MFA/SSO evaluado, matriz de permisos final</w:t>
            </w:r>
          </w:p>
        </w:tc>
      </w:tr>
      <w:tr>
        <w:trPr>
          <w:cantSplit w:val="true"/>
        </w:trPr>
        <w:tc>
          <w:tcPr>
            <w:tcW w:type="dxa" w:w="1900"/>
            <w:tcMar>
              <w:top w:w="80" w:type="dxa"/>
              <w:start w:w="120" w:type="dxa"/>
              <w:bottom w:w="80" w:type="dxa"/>
              <w:end w:w="120" w:type="dxa"/>
            </w:tcMar>
            <w:vAlign w:val="center"/>
          </w:tcPr>
          <w:p>
            <w:pPr>
              <w:spacing w:after="0" w:line="240" w:lineRule="auto"/>
              <w:jc w:val="left"/>
            </w:pPr>
            <w:r>
              <w:rPr>
                <w:rFonts w:ascii="Calibri" w:hAnsi="Calibri"/>
                <w:b w:val="0"/>
                <w:color w:val="1F2937"/>
                <w:sz w:val="18"/>
              </w:rPr>
              <w:t>Auditoría</w:t>
            </w:r>
          </w:p>
        </w:tc>
        <w:tc>
          <w:tcPr>
            <w:tcW w:type="dxa" w:w="1550"/>
            <w:tcMar>
              <w:top w:w="80" w:type="dxa"/>
              <w:start w:w="120" w:type="dxa"/>
              <w:bottom w:w="80" w:type="dxa"/>
              <w:end w:w="120" w:type="dxa"/>
            </w:tcMar>
            <w:vAlign w:val="center"/>
          </w:tcPr>
          <w:p>
            <w:pPr>
              <w:spacing w:after="0" w:line="240" w:lineRule="auto"/>
              <w:jc w:val="center"/>
            </w:pPr>
            <w:r>
              <w:rPr>
                <w:rFonts w:ascii="Calibri" w:hAnsi="Calibri"/>
                <w:b/>
                <w:color w:val="2F7D32"/>
                <w:sz w:val="18"/>
              </w:rPr>
              <w:t>Completado</w:t>
            </w:r>
          </w:p>
        </w:tc>
        <w:tc>
          <w:tcPr>
            <w:tcW w:type="dxa" w:w="2820"/>
            <w:tcMar>
              <w:top w:w="80" w:type="dxa"/>
              <w:start w:w="120" w:type="dxa"/>
              <w:bottom w:w="80" w:type="dxa"/>
              <w:end w:w="120" w:type="dxa"/>
            </w:tcMar>
            <w:vAlign w:val="center"/>
          </w:tcPr>
          <w:p>
            <w:pPr>
              <w:spacing w:after="0" w:line="240" w:lineRule="auto"/>
              <w:jc w:val="left"/>
            </w:pPr>
            <w:r>
              <w:rPr>
                <w:rFonts w:ascii="Calibri" w:hAnsi="Calibri"/>
                <w:b w:val="0"/>
                <w:color w:val="1F2937"/>
                <w:sz w:val="18"/>
              </w:rPr>
              <w:t>Interceptor + trigger append-only</w:t>
            </w:r>
          </w:p>
        </w:tc>
        <w:tc>
          <w:tcPr>
            <w:tcW w:type="dxa" w:w="3090"/>
            <w:tcMar>
              <w:top w:w="80" w:type="dxa"/>
              <w:start w:w="120" w:type="dxa"/>
              <w:bottom w:w="80" w:type="dxa"/>
              <w:end w:w="120" w:type="dxa"/>
            </w:tcMar>
            <w:vAlign w:val="center"/>
          </w:tcPr>
          <w:p>
            <w:pPr>
              <w:spacing w:after="0" w:line="240" w:lineRule="auto"/>
              <w:jc w:val="left"/>
            </w:pPr>
            <w:r>
              <w:rPr>
                <w:rFonts w:ascii="Calibri" w:hAnsi="Calibri"/>
                <w:b w:val="0"/>
                <w:color w:val="1F2937"/>
                <w:sz w:val="18"/>
              </w:rPr>
              <w:t>Explotación, retención y reportes</w:t>
            </w:r>
          </w:p>
        </w:tc>
      </w:tr>
      <w:tr>
        <w:trPr>
          <w:cantSplit w:val="true"/>
        </w:trPr>
        <w:tc>
          <w:tcPr>
            <w:tcW w:type="dxa" w:w="1900"/>
            <w:shd w:fill="FAFBFC"/>
            <w:tcMar>
              <w:top w:w="80" w:type="dxa"/>
              <w:start w:w="120" w:type="dxa"/>
              <w:bottom w:w="80" w:type="dxa"/>
              <w:end w:w="120" w:type="dxa"/>
            </w:tcMar>
            <w:vAlign w:val="center"/>
          </w:tcPr>
          <w:p>
            <w:pPr>
              <w:spacing w:after="0" w:line="240" w:lineRule="auto"/>
              <w:jc w:val="left"/>
            </w:pPr>
            <w:r>
              <w:rPr>
                <w:rFonts w:ascii="Calibri" w:hAnsi="Calibri"/>
                <w:b w:val="0"/>
                <w:color w:val="1F2937"/>
                <w:sz w:val="18"/>
              </w:rPr>
              <w:t>Dominio predial</w:t>
            </w:r>
          </w:p>
        </w:tc>
        <w:tc>
          <w:tcPr>
            <w:tcW w:type="dxa" w:w="1550"/>
            <w:shd w:fill="FAFBFC"/>
            <w:tcMar>
              <w:top w:w="80" w:type="dxa"/>
              <w:start w:w="120" w:type="dxa"/>
              <w:bottom w:w="80" w:type="dxa"/>
              <w:end w:w="120" w:type="dxa"/>
            </w:tcMar>
            <w:vAlign w:val="center"/>
          </w:tcPr>
          <w:p>
            <w:pPr>
              <w:spacing w:after="0" w:line="240" w:lineRule="auto"/>
              <w:jc w:val="center"/>
            </w:pPr>
            <w:r>
              <w:rPr>
                <w:rFonts w:ascii="Calibri" w:hAnsi="Calibri"/>
                <w:b/>
                <w:color w:val="A46A00"/>
                <w:sz w:val="18"/>
              </w:rPr>
              <w:t>Parcial</w:t>
            </w:r>
          </w:p>
        </w:tc>
        <w:tc>
          <w:tcPr>
            <w:tcW w:type="dxa" w:w="2820"/>
            <w:shd w:fill="FAFBFC"/>
            <w:tcMar>
              <w:top w:w="80" w:type="dxa"/>
              <w:start w:w="120" w:type="dxa"/>
              <w:bottom w:w="80" w:type="dxa"/>
              <w:end w:w="120" w:type="dxa"/>
            </w:tcMar>
            <w:vAlign w:val="center"/>
          </w:tcPr>
          <w:p>
            <w:pPr>
              <w:spacing w:after="0" w:line="240" w:lineRule="auto"/>
              <w:jc w:val="left"/>
            </w:pPr>
            <w:r>
              <w:rPr>
                <w:rFonts w:ascii="Calibri" w:hAnsi="Calibri"/>
                <w:b w:val="0"/>
                <w:color w:val="1F2937"/>
                <w:sz w:val="18"/>
              </w:rPr>
              <w:t>Predio, propietario, historial, documentos</w:t>
            </w:r>
          </w:p>
        </w:tc>
        <w:tc>
          <w:tcPr>
            <w:tcW w:type="dxa" w:w="3090"/>
            <w:shd w:fill="FAFBFC"/>
            <w:tcMar>
              <w:top w:w="80" w:type="dxa"/>
              <w:start w:w="120" w:type="dxa"/>
              <w:bottom w:w="80" w:type="dxa"/>
              <w:end w:w="120" w:type="dxa"/>
            </w:tcMar>
            <w:vAlign w:val="center"/>
          </w:tcPr>
          <w:p>
            <w:pPr>
              <w:spacing w:after="0" w:line="240" w:lineRule="auto"/>
              <w:jc w:val="left"/>
            </w:pPr>
            <w:r>
              <w:rPr>
                <w:rFonts w:ascii="Calibri" w:hAnsi="Calibri"/>
                <w:b w:val="0"/>
                <w:color w:val="1F2937"/>
                <w:sz w:val="18"/>
              </w:rPr>
              <w:t>Mutaciones complejas, colindancias y catálogos oficiales</w:t>
            </w:r>
          </w:p>
        </w:tc>
      </w:tr>
      <w:tr>
        <w:trPr>
          <w:cantSplit w:val="true"/>
        </w:trPr>
        <w:tc>
          <w:tcPr>
            <w:tcW w:type="dxa" w:w="1900"/>
            <w:tcMar>
              <w:top w:w="80" w:type="dxa"/>
              <w:start w:w="120" w:type="dxa"/>
              <w:bottom w:w="80" w:type="dxa"/>
              <w:end w:w="120" w:type="dxa"/>
            </w:tcMar>
            <w:vAlign w:val="center"/>
          </w:tcPr>
          <w:p>
            <w:pPr>
              <w:spacing w:after="0" w:line="240" w:lineRule="auto"/>
              <w:jc w:val="left"/>
            </w:pPr>
            <w:r>
              <w:rPr>
                <w:rFonts w:ascii="Calibri" w:hAnsi="Calibri"/>
                <w:b w:val="0"/>
                <w:color w:val="1F2937"/>
                <w:sz w:val="18"/>
              </w:rPr>
              <w:t>Importación</w:t>
            </w:r>
          </w:p>
        </w:tc>
        <w:tc>
          <w:tcPr>
            <w:tcW w:type="dxa" w:w="1550"/>
            <w:tcMar>
              <w:top w:w="80" w:type="dxa"/>
              <w:start w:w="120" w:type="dxa"/>
              <w:bottom w:w="80" w:type="dxa"/>
              <w:end w:w="120" w:type="dxa"/>
            </w:tcMar>
            <w:vAlign w:val="center"/>
          </w:tcPr>
          <w:p>
            <w:pPr>
              <w:spacing w:after="0" w:line="240" w:lineRule="auto"/>
              <w:jc w:val="center"/>
            </w:pPr>
            <w:r>
              <w:rPr>
                <w:rFonts w:ascii="Calibri" w:hAnsi="Calibri"/>
                <w:b/>
                <w:color w:val="A46A00"/>
                <w:sz w:val="18"/>
              </w:rPr>
              <w:t>Parcial</w:t>
            </w:r>
          </w:p>
        </w:tc>
        <w:tc>
          <w:tcPr>
            <w:tcW w:type="dxa" w:w="2820"/>
            <w:tcMar>
              <w:top w:w="80" w:type="dxa"/>
              <w:start w:w="120" w:type="dxa"/>
              <w:bottom w:w="80" w:type="dxa"/>
              <w:end w:w="120" w:type="dxa"/>
            </w:tcMar>
            <w:vAlign w:val="center"/>
          </w:tcPr>
          <w:p>
            <w:pPr>
              <w:spacing w:after="0" w:line="240" w:lineRule="auto"/>
              <w:jc w:val="left"/>
            </w:pPr>
            <w:r>
              <w:rPr>
                <w:rFonts w:ascii="Calibri" w:hAnsi="Calibri"/>
                <w:b w:val="0"/>
                <w:color w:val="1F2937"/>
                <w:sz w:val="18"/>
              </w:rPr>
              <w:t>Async, preview, activación y esquema municipal</w:t>
            </w:r>
          </w:p>
        </w:tc>
        <w:tc>
          <w:tcPr>
            <w:tcW w:type="dxa" w:w="3090"/>
            <w:tcMar>
              <w:top w:w="80" w:type="dxa"/>
              <w:start w:w="120" w:type="dxa"/>
              <w:bottom w:w="80" w:type="dxa"/>
              <w:end w:w="120" w:type="dxa"/>
            </w:tcMar>
            <w:vAlign w:val="center"/>
          </w:tcPr>
          <w:p>
            <w:pPr>
              <w:spacing w:after="0" w:line="240" w:lineRule="auto"/>
              <w:jc w:val="left"/>
            </w:pPr>
            <w:r>
              <w:rPr>
                <w:rFonts w:ascii="Calibri" w:hAnsi="Calibri"/>
                <w:b w:val="0"/>
                <w:color w:val="1F2937"/>
                <w:sz w:val="18"/>
              </w:rPr>
              <w:t>Composición parcial segura y limpieza de artefactos</w:t>
            </w:r>
          </w:p>
        </w:tc>
      </w:tr>
      <w:tr>
        <w:trPr>
          <w:cantSplit w:val="true"/>
        </w:trPr>
        <w:tc>
          <w:tcPr>
            <w:tcW w:type="dxa" w:w="1900"/>
            <w:shd w:fill="FAFBFC"/>
            <w:tcMar>
              <w:top w:w="80" w:type="dxa"/>
              <w:start w:w="120" w:type="dxa"/>
              <w:bottom w:w="80" w:type="dxa"/>
              <w:end w:w="120" w:type="dxa"/>
            </w:tcMar>
            <w:vAlign w:val="center"/>
          </w:tcPr>
          <w:p>
            <w:pPr>
              <w:spacing w:after="0" w:line="240" w:lineRule="auto"/>
              <w:jc w:val="left"/>
            </w:pPr>
            <w:r>
              <w:rPr>
                <w:rFonts w:ascii="Calibri" w:hAnsi="Calibri"/>
                <w:b w:val="0"/>
                <w:color w:val="1F2937"/>
                <w:sz w:val="18"/>
              </w:rPr>
              <w:t>Calidad GIS</w:t>
            </w:r>
          </w:p>
        </w:tc>
        <w:tc>
          <w:tcPr>
            <w:tcW w:type="dxa" w:w="1550"/>
            <w:shd w:fill="FAFBFC"/>
            <w:tcMar>
              <w:top w:w="80" w:type="dxa"/>
              <w:start w:w="120" w:type="dxa"/>
              <w:bottom w:w="80" w:type="dxa"/>
              <w:end w:w="120" w:type="dxa"/>
            </w:tcMar>
            <w:vAlign w:val="center"/>
          </w:tcPr>
          <w:p>
            <w:pPr>
              <w:spacing w:after="0" w:line="240" w:lineRule="auto"/>
              <w:jc w:val="center"/>
            </w:pPr>
            <w:r>
              <w:rPr>
                <w:rFonts w:ascii="Calibri" w:hAnsi="Calibri"/>
                <w:b/>
                <w:color w:val="A46A00"/>
                <w:sz w:val="18"/>
              </w:rPr>
              <w:t>Parcial</w:t>
            </w:r>
          </w:p>
        </w:tc>
        <w:tc>
          <w:tcPr>
            <w:tcW w:type="dxa" w:w="2820"/>
            <w:shd w:fill="FAFBFC"/>
            <w:tcMar>
              <w:top w:w="80" w:type="dxa"/>
              <w:start w:w="120" w:type="dxa"/>
              <w:bottom w:w="80" w:type="dxa"/>
              <w:end w:w="120" w:type="dxa"/>
            </w:tcMar>
            <w:vAlign w:val="center"/>
          </w:tcPr>
          <w:p>
            <w:pPr>
              <w:spacing w:after="0" w:line="240" w:lineRule="auto"/>
              <w:jc w:val="left"/>
            </w:pPr>
            <w:r>
              <w:rPr>
                <w:rFonts w:ascii="Calibri" w:hAnsi="Calibri"/>
                <w:b w:val="0"/>
                <w:color w:val="1F2937"/>
                <w:sz w:val="18"/>
              </w:rPr>
              <w:t>O1/O4, M-LECTOR, PostGIS</w:t>
            </w:r>
          </w:p>
        </w:tc>
        <w:tc>
          <w:tcPr>
            <w:tcW w:type="dxa" w:w="3090"/>
            <w:shd w:fill="FAFBFC"/>
            <w:tcMar>
              <w:top w:w="80" w:type="dxa"/>
              <w:start w:w="120" w:type="dxa"/>
              <w:bottom w:w="80" w:type="dxa"/>
              <w:end w:w="120" w:type="dxa"/>
            </w:tcMar>
            <w:vAlign w:val="center"/>
          </w:tcPr>
          <w:p>
            <w:pPr>
              <w:spacing w:after="0" w:line="240" w:lineRule="auto"/>
              <w:jc w:val="left"/>
            </w:pPr>
            <w:r>
              <w:rPr>
                <w:rFonts w:ascii="Calibri" w:hAnsi="Calibri"/>
                <w:b w:val="0"/>
                <w:color w:val="1F2937"/>
                <w:sz w:val="18"/>
              </w:rPr>
              <w:t>Métricas institucionales y política DBF encoding</w:t>
            </w:r>
          </w:p>
        </w:tc>
      </w:tr>
      <w:tr>
        <w:trPr>
          <w:cantSplit w:val="true"/>
        </w:trPr>
        <w:tc>
          <w:tcPr>
            <w:tcW w:type="dxa" w:w="1900"/>
            <w:tcMar>
              <w:top w:w="80" w:type="dxa"/>
              <w:start w:w="120" w:type="dxa"/>
              <w:bottom w:w="80" w:type="dxa"/>
              <w:end w:w="120" w:type="dxa"/>
            </w:tcMar>
            <w:vAlign w:val="center"/>
          </w:tcPr>
          <w:p>
            <w:pPr>
              <w:spacing w:after="0" w:line="240" w:lineRule="auto"/>
              <w:jc w:val="left"/>
            </w:pPr>
            <w:r>
              <w:rPr>
                <w:rFonts w:ascii="Calibri" w:hAnsi="Calibri"/>
                <w:b w:val="0"/>
                <w:color w:val="1F2937"/>
                <w:sz w:val="18"/>
              </w:rPr>
              <w:t>Visor</w:t>
            </w:r>
          </w:p>
        </w:tc>
        <w:tc>
          <w:tcPr>
            <w:tcW w:type="dxa" w:w="1550"/>
            <w:tcMar>
              <w:top w:w="80" w:type="dxa"/>
              <w:start w:w="120" w:type="dxa"/>
              <w:bottom w:w="80" w:type="dxa"/>
              <w:end w:w="120" w:type="dxa"/>
            </w:tcMar>
            <w:vAlign w:val="center"/>
          </w:tcPr>
          <w:p>
            <w:pPr>
              <w:spacing w:after="0" w:line="240" w:lineRule="auto"/>
              <w:jc w:val="center"/>
            </w:pPr>
            <w:r>
              <w:rPr>
                <w:rFonts w:ascii="Calibri" w:hAnsi="Calibri"/>
                <w:b/>
                <w:color w:val="2F7D32"/>
                <w:sz w:val="18"/>
              </w:rPr>
              <w:t>Completado MVP</w:t>
            </w:r>
          </w:p>
        </w:tc>
        <w:tc>
          <w:tcPr>
            <w:tcW w:type="dxa" w:w="2820"/>
            <w:tcMar>
              <w:top w:w="80" w:type="dxa"/>
              <w:start w:w="120" w:type="dxa"/>
              <w:bottom w:w="80" w:type="dxa"/>
              <w:end w:w="120" w:type="dxa"/>
            </w:tcMar>
            <w:vAlign w:val="center"/>
          </w:tcPr>
          <w:p>
            <w:pPr>
              <w:spacing w:after="0" w:line="240" w:lineRule="auto"/>
              <w:jc w:val="left"/>
            </w:pPr>
            <w:r>
              <w:rPr>
                <w:rFonts w:ascii="Calibri" w:hAnsi="Calibri"/>
                <w:b w:val="0"/>
                <w:color w:val="1F2937"/>
                <w:sz w:val="18"/>
              </w:rPr>
              <w:t>MVT, MapLibre, capas, hot-swap</w:t>
            </w:r>
          </w:p>
        </w:tc>
        <w:tc>
          <w:tcPr>
            <w:tcW w:type="dxa" w:w="3090"/>
            <w:tcMar>
              <w:top w:w="80" w:type="dxa"/>
              <w:start w:w="120" w:type="dxa"/>
              <w:bottom w:w="80" w:type="dxa"/>
              <w:end w:w="120" w:type="dxa"/>
            </w:tcMar>
            <w:vAlign w:val="center"/>
          </w:tcPr>
          <w:p>
            <w:pPr>
              <w:spacing w:after="0" w:line="240" w:lineRule="auto"/>
              <w:jc w:val="left"/>
            </w:pPr>
            <w:r>
              <w:rPr>
                <w:rFonts w:ascii="Calibri" w:hAnsi="Calibri"/>
                <w:b w:val="0"/>
                <w:color w:val="1F2937"/>
                <w:sz w:val="18"/>
              </w:rPr>
              <w:t>Accesibilidad, performance y UX operativa</w:t>
            </w:r>
          </w:p>
        </w:tc>
      </w:tr>
      <w:tr>
        <w:trPr>
          <w:cantSplit w:val="true"/>
        </w:trPr>
        <w:tc>
          <w:tcPr>
            <w:tcW w:type="dxa" w:w="1900"/>
            <w:shd w:fill="FAFBFC"/>
            <w:tcMar>
              <w:top w:w="80" w:type="dxa"/>
              <w:start w:w="120" w:type="dxa"/>
              <w:bottom w:w="80" w:type="dxa"/>
              <w:end w:w="120" w:type="dxa"/>
            </w:tcMar>
            <w:vAlign w:val="center"/>
          </w:tcPr>
          <w:p>
            <w:pPr>
              <w:spacing w:after="0" w:line="240" w:lineRule="auto"/>
              <w:jc w:val="left"/>
            </w:pPr>
            <w:r>
              <w:rPr>
                <w:rFonts w:ascii="Calibri" w:hAnsi="Calibri"/>
                <w:b w:val="0"/>
                <w:color w:val="1F2937"/>
                <w:sz w:val="18"/>
              </w:rPr>
              <w:t>Búsqueda/ficha</w:t>
            </w:r>
          </w:p>
        </w:tc>
        <w:tc>
          <w:tcPr>
            <w:tcW w:type="dxa" w:w="1550"/>
            <w:shd w:fill="FAFBFC"/>
            <w:tcMar>
              <w:top w:w="80" w:type="dxa"/>
              <w:start w:w="120" w:type="dxa"/>
              <w:bottom w:w="80" w:type="dxa"/>
              <w:end w:w="120" w:type="dxa"/>
            </w:tcMar>
            <w:vAlign w:val="center"/>
          </w:tcPr>
          <w:p>
            <w:pPr>
              <w:spacing w:after="0" w:line="240" w:lineRule="auto"/>
              <w:jc w:val="center"/>
            </w:pPr>
            <w:r>
              <w:rPr>
                <w:rFonts w:ascii="Calibri" w:hAnsi="Calibri"/>
                <w:b/>
                <w:color w:val="2F7D32"/>
                <w:sz w:val="18"/>
              </w:rPr>
              <w:t>Completado MVP</w:t>
            </w:r>
          </w:p>
        </w:tc>
        <w:tc>
          <w:tcPr>
            <w:tcW w:type="dxa" w:w="2820"/>
            <w:shd w:fill="FAFBFC"/>
            <w:tcMar>
              <w:top w:w="80" w:type="dxa"/>
              <w:start w:w="120" w:type="dxa"/>
              <w:bottom w:w="80" w:type="dxa"/>
              <w:end w:w="120" w:type="dxa"/>
            </w:tcMar>
            <w:vAlign w:val="center"/>
          </w:tcPr>
          <w:p>
            <w:pPr>
              <w:spacing w:after="0" w:line="240" w:lineRule="auto"/>
              <w:jc w:val="left"/>
            </w:pPr>
            <w:r>
              <w:rPr>
                <w:rFonts w:ascii="Calibri" w:hAnsi="Calibri"/>
                <w:b w:val="0"/>
                <w:color w:val="1F2937"/>
                <w:sz w:val="18"/>
              </w:rPr>
              <w:t>Tripleta y versión activa</w:t>
            </w:r>
          </w:p>
        </w:tc>
        <w:tc>
          <w:tcPr>
            <w:tcW w:type="dxa" w:w="3090"/>
            <w:shd w:fill="FAFBFC"/>
            <w:tcMar>
              <w:top w:w="80" w:type="dxa"/>
              <w:start w:w="120" w:type="dxa"/>
              <w:bottom w:w="80" w:type="dxa"/>
              <w:end w:w="120" w:type="dxa"/>
            </w:tcMar>
            <w:vAlign w:val="center"/>
          </w:tcPr>
          <w:p>
            <w:pPr>
              <w:spacing w:after="0" w:line="240" w:lineRule="auto"/>
              <w:jc w:val="left"/>
            </w:pPr>
            <w:r>
              <w:rPr>
                <w:rFonts w:ascii="Calibri" w:hAnsi="Calibri"/>
                <w:b w:val="0"/>
                <w:color w:val="1F2937"/>
                <w:sz w:val="18"/>
              </w:rPr>
              <w:t>Más criterios, privacidad y datos oficiales</w:t>
            </w:r>
          </w:p>
        </w:tc>
      </w:tr>
      <w:tr>
        <w:trPr>
          <w:cantSplit w:val="true"/>
        </w:trPr>
        <w:tc>
          <w:tcPr>
            <w:tcW w:type="dxa" w:w="1900"/>
            <w:tcMar>
              <w:top w:w="80" w:type="dxa"/>
              <w:start w:w="120" w:type="dxa"/>
              <w:bottom w:w="80" w:type="dxa"/>
              <w:end w:w="120" w:type="dxa"/>
            </w:tcMar>
            <w:vAlign w:val="center"/>
          </w:tcPr>
          <w:p>
            <w:pPr>
              <w:spacing w:after="0" w:line="240" w:lineRule="auto"/>
              <w:jc w:val="left"/>
            </w:pPr>
            <w:r>
              <w:rPr>
                <w:rFonts w:ascii="Calibri" w:hAnsi="Calibri"/>
                <w:b w:val="0"/>
                <w:color w:val="1F2937"/>
                <w:sz w:val="18"/>
              </w:rPr>
              <w:t>Croquis</w:t>
            </w:r>
          </w:p>
        </w:tc>
        <w:tc>
          <w:tcPr>
            <w:tcW w:type="dxa" w:w="1550"/>
            <w:tcMar>
              <w:top w:w="80" w:type="dxa"/>
              <w:start w:w="120" w:type="dxa"/>
              <w:bottom w:w="80" w:type="dxa"/>
              <w:end w:w="120" w:type="dxa"/>
            </w:tcMar>
            <w:vAlign w:val="center"/>
          </w:tcPr>
          <w:p>
            <w:pPr>
              <w:spacing w:after="0" w:line="240" w:lineRule="auto"/>
              <w:jc w:val="center"/>
            </w:pPr>
            <w:r>
              <w:rPr>
                <w:rFonts w:ascii="Calibri" w:hAnsi="Calibri"/>
                <w:b/>
                <w:color w:val="2F7D32"/>
                <w:sz w:val="18"/>
              </w:rPr>
              <w:t>Completado MVP</w:t>
            </w:r>
          </w:p>
        </w:tc>
        <w:tc>
          <w:tcPr>
            <w:tcW w:type="dxa" w:w="2820"/>
            <w:tcMar>
              <w:top w:w="80" w:type="dxa"/>
              <w:start w:w="120" w:type="dxa"/>
              <w:bottom w:w="80" w:type="dxa"/>
              <w:end w:w="120" w:type="dxa"/>
            </w:tcMar>
            <w:vAlign w:val="center"/>
          </w:tcPr>
          <w:p>
            <w:pPr>
              <w:spacing w:after="0" w:line="240" w:lineRule="auto"/>
              <w:jc w:val="left"/>
            </w:pPr>
            <w:r>
              <w:rPr>
                <w:rFonts w:ascii="Calibri" w:hAnsi="Calibri"/>
                <w:b w:val="0"/>
                <w:color w:val="1F2937"/>
                <w:sz w:val="18"/>
              </w:rPr>
              <w:t>SVG, escala, norte, fecha</w:t>
            </w:r>
          </w:p>
        </w:tc>
        <w:tc>
          <w:tcPr>
            <w:tcW w:type="dxa" w:w="3090"/>
            <w:tcMar>
              <w:top w:w="80" w:type="dxa"/>
              <w:start w:w="120" w:type="dxa"/>
              <w:bottom w:w="80" w:type="dxa"/>
              <w:end w:w="120" w:type="dxa"/>
            </w:tcMar>
            <w:vAlign w:val="center"/>
          </w:tcPr>
          <w:p>
            <w:pPr>
              <w:spacing w:after="0" w:line="240" w:lineRule="auto"/>
              <w:jc w:val="left"/>
            </w:pPr>
            <w:r>
              <w:rPr>
                <w:rFonts w:ascii="Calibri" w:hAnsi="Calibri"/>
                <w:b w:val="0"/>
                <w:color w:val="1F2937"/>
                <w:sz w:val="18"/>
              </w:rPr>
              <w:t>Integración en certificado</w:t>
            </w:r>
          </w:p>
        </w:tc>
      </w:tr>
      <w:tr>
        <w:trPr>
          <w:cantSplit w:val="true"/>
        </w:trPr>
        <w:tc>
          <w:tcPr>
            <w:tcW w:type="dxa" w:w="1900"/>
            <w:shd w:fill="FAFBFC"/>
            <w:tcMar>
              <w:top w:w="80" w:type="dxa"/>
              <w:start w:w="120" w:type="dxa"/>
              <w:bottom w:w="80" w:type="dxa"/>
              <w:end w:w="120" w:type="dxa"/>
            </w:tcMar>
            <w:vAlign w:val="center"/>
          </w:tcPr>
          <w:p>
            <w:pPr>
              <w:spacing w:after="0" w:line="240" w:lineRule="auto"/>
              <w:jc w:val="left"/>
            </w:pPr>
            <w:r>
              <w:rPr>
                <w:rFonts w:ascii="Calibri" w:hAnsi="Calibri"/>
                <w:b w:val="0"/>
                <w:color w:val="1F2937"/>
                <w:sz w:val="18"/>
              </w:rPr>
              <w:t>Multimunicipio</w:t>
            </w:r>
          </w:p>
        </w:tc>
        <w:tc>
          <w:tcPr>
            <w:tcW w:type="dxa" w:w="1550"/>
            <w:shd w:fill="FAFBFC"/>
            <w:tcMar>
              <w:top w:w="80" w:type="dxa"/>
              <w:start w:w="120" w:type="dxa"/>
              <w:bottom w:w="80" w:type="dxa"/>
              <w:end w:w="120" w:type="dxa"/>
            </w:tcMar>
            <w:vAlign w:val="center"/>
          </w:tcPr>
          <w:p>
            <w:pPr>
              <w:spacing w:after="0" w:line="240" w:lineRule="auto"/>
              <w:jc w:val="center"/>
            </w:pPr>
            <w:r>
              <w:rPr>
                <w:rFonts w:ascii="Calibri" w:hAnsi="Calibri"/>
                <w:b/>
                <w:color w:val="2F7D32"/>
                <w:sz w:val="18"/>
              </w:rPr>
              <w:t>Completado base</w:t>
            </w:r>
          </w:p>
        </w:tc>
        <w:tc>
          <w:tcPr>
            <w:tcW w:type="dxa" w:w="2820"/>
            <w:shd w:fill="FAFBFC"/>
            <w:tcMar>
              <w:top w:w="80" w:type="dxa"/>
              <w:start w:w="120" w:type="dxa"/>
              <w:bottom w:w="80" w:type="dxa"/>
              <w:end w:w="120" w:type="dxa"/>
            </w:tcMar>
            <w:vAlign w:val="center"/>
          </w:tcPr>
          <w:p>
            <w:pPr>
              <w:spacing w:after="0" w:line="240" w:lineRule="auto"/>
              <w:jc w:val="left"/>
            </w:pPr>
            <w:r>
              <w:rPr>
                <w:rFonts w:ascii="Calibri" w:hAnsi="Calibri"/>
                <w:b w:val="0"/>
                <w:color w:val="1F2937"/>
                <w:sz w:val="18"/>
              </w:rPr>
              <w:t>INE, esquemas y dos municipios</w:t>
            </w:r>
          </w:p>
        </w:tc>
        <w:tc>
          <w:tcPr>
            <w:tcW w:type="dxa" w:w="3090"/>
            <w:shd w:fill="FAFBFC"/>
            <w:tcMar>
              <w:top w:w="80" w:type="dxa"/>
              <w:start w:w="120" w:type="dxa"/>
              <w:bottom w:w="80" w:type="dxa"/>
              <w:end w:w="120" w:type="dxa"/>
            </w:tcMar>
            <w:vAlign w:val="center"/>
          </w:tcPr>
          <w:p>
            <w:pPr>
              <w:spacing w:after="0" w:line="240" w:lineRule="auto"/>
              <w:jc w:val="left"/>
            </w:pPr>
            <w:r>
              <w:rPr>
                <w:rFonts w:ascii="Calibri" w:hAnsi="Calibri"/>
                <w:b w:val="0"/>
                <w:color w:val="1F2937"/>
                <w:sz w:val="18"/>
              </w:rPr>
              <w:t>Automatizar provisión por instancia</w:t>
            </w:r>
          </w:p>
        </w:tc>
      </w:tr>
      <w:tr>
        <w:trPr>
          <w:cantSplit w:val="true"/>
        </w:trPr>
        <w:tc>
          <w:tcPr>
            <w:tcW w:type="dxa" w:w="1900"/>
            <w:tcMar>
              <w:top w:w="80" w:type="dxa"/>
              <w:start w:w="120" w:type="dxa"/>
              <w:bottom w:w="80" w:type="dxa"/>
              <w:end w:w="120" w:type="dxa"/>
            </w:tcMar>
            <w:vAlign w:val="center"/>
          </w:tcPr>
          <w:p>
            <w:pPr>
              <w:spacing w:after="0" w:line="240" w:lineRule="auto"/>
              <w:jc w:val="left"/>
            </w:pPr>
            <w:r>
              <w:rPr>
                <w:rFonts w:ascii="Calibri" w:hAnsi="Calibri"/>
                <w:b w:val="0"/>
                <w:color w:val="1F2937"/>
                <w:sz w:val="18"/>
              </w:rPr>
              <w:t>Caranavi predial</w:t>
            </w:r>
          </w:p>
        </w:tc>
        <w:tc>
          <w:tcPr>
            <w:tcW w:type="dxa" w:w="1550"/>
            <w:tcMar>
              <w:top w:w="80" w:type="dxa"/>
              <w:start w:w="120" w:type="dxa"/>
              <w:bottom w:w="80" w:type="dxa"/>
              <w:end w:w="120" w:type="dxa"/>
            </w:tcMar>
            <w:vAlign w:val="center"/>
          </w:tcPr>
          <w:p>
            <w:pPr>
              <w:spacing w:after="0" w:line="240" w:lineRule="auto"/>
              <w:jc w:val="center"/>
            </w:pPr>
            <w:r>
              <w:rPr>
                <w:rFonts w:ascii="Calibri" w:hAnsi="Calibri"/>
                <w:b/>
                <w:color w:val="9B1C1C"/>
                <w:sz w:val="18"/>
              </w:rPr>
              <w:t>Bloqueado</w:t>
            </w:r>
          </w:p>
        </w:tc>
        <w:tc>
          <w:tcPr>
            <w:tcW w:type="dxa" w:w="2820"/>
            <w:tcMar>
              <w:top w:w="80" w:type="dxa"/>
              <w:start w:w="120" w:type="dxa"/>
              <w:bottom w:w="80" w:type="dxa"/>
              <w:end w:w="120" w:type="dxa"/>
            </w:tcMar>
            <w:vAlign w:val="center"/>
          </w:tcPr>
          <w:p>
            <w:pPr>
              <w:spacing w:after="0" w:line="240" w:lineRule="auto"/>
              <w:jc w:val="left"/>
            </w:pPr>
            <w:r>
              <w:rPr>
                <w:rFonts w:ascii="Calibri" w:hAnsi="Calibri"/>
                <w:b w:val="0"/>
                <w:color w:val="1F2937"/>
                <w:sz w:val="18"/>
              </w:rPr>
              <w:t>PRE_NOF_CAR documentado como listo fuera del repo</w:t>
            </w:r>
          </w:p>
        </w:tc>
        <w:tc>
          <w:tcPr>
            <w:tcW w:type="dxa" w:w="3090"/>
            <w:tcMar>
              <w:top w:w="80" w:type="dxa"/>
              <w:start w:w="120" w:type="dxa"/>
              <w:bottom w:w="80" w:type="dxa"/>
              <w:end w:w="120" w:type="dxa"/>
            </w:tcMar>
            <w:vAlign w:val="center"/>
          </w:tcPr>
          <w:p>
            <w:pPr>
              <w:spacing w:after="0" w:line="240" w:lineRule="auto"/>
              <w:jc w:val="left"/>
            </w:pPr>
            <w:r>
              <w:rPr>
                <w:rFonts w:ascii="Calibri" w:hAnsi="Calibri"/>
                <w:b w:val="0"/>
                <w:color w:val="1F2937"/>
                <w:sz w:val="18"/>
              </w:rPr>
              <w:t>3.B.7 y estrategia de identidad</w:t>
            </w:r>
          </w:p>
        </w:tc>
      </w:tr>
      <w:tr>
        <w:trPr>
          <w:cantSplit w:val="true"/>
        </w:trPr>
        <w:tc>
          <w:tcPr>
            <w:tcW w:type="dxa" w:w="1900"/>
            <w:shd w:fill="FAFBFC"/>
            <w:tcMar>
              <w:top w:w="80" w:type="dxa"/>
              <w:start w:w="120" w:type="dxa"/>
              <w:bottom w:w="80" w:type="dxa"/>
              <w:end w:w="120" w:type="dxa"/>
            </w:tcMar>
            <w:vAlign w:val="center"/>
          </w:tcPr>
          <w:p>
            <w:pPr>
              <w:spacing w:after="0" w:line="240" w:lineRule="auto"/>
              <w:jc w:val="left"/>
            </w:pPr>
            <w:r>
              <w:rPr>
                <w:rFonts w:ascii="Calibri" w:hAnsi="Calibri"/>
                <w:b w:val="0"/>
                <w:color w:val="1F2937"/>
                <w:sz w:val="18"/>
              </w:rPr>
              <w:t>Valuación</w:t>
            </w:r>
          </w:p>
        </w:tc>
        <w:tc>
          <w:tcPr>
            <w:tcW w:type="dxa" w:w="1550"/>
            <w:shd w:fill="FAFBFC"/>
            <w:tcMar>
              <w:top w:w="80" w:type="dxa"/>
              <w:start w:w="120" w:type="dxa"/>
              <w:bottom w:w="80" w:type="dxa"/>
              <w:end w:w="120" w:type="dxa"/>
            </w:tcMar>
            <w:vAlign w:val="center"/>
          </w:tcPr>
          <w:p>
            <w:pPr>
              <w:spacing w:after="0" w:line="240" w:lineRule="auto"/>
              <w:jc w:val="center"/>
            </w:pPr>
            <w:r>
              <w:rPr>
                <w:rFonts w:ascii="Calibri" w:hAnsi="Calibri"/>
                <w:b/>
                <w:color w:val="A46A00"/>
                <w:sz w:val="18"/>
              </w:rPr>
              <w:t>Diseño parcial</w:t>
            </w:r>
          </w:p>
        </w:tc>
        <w:tc>
          <w:tcPr>
            <w:tcW w:type="dxa" w:w="2820"/>
            <w:shd w:fill="FAFBFC"/>
            <w:tcMar>
              <w:top w:w="80" w:type="dxa"/>
              <w:start w:w="120" w:type="dxa"/>
              <w:bottom w:w="80" w:type="dxa"/>
              <w:end w:w="120" w:type="dxa"/>
            </w:tcMar>
            <w:vAlign w:val="center"/>
          </w:tcPr>
          <w:p>
            <w:pPr>
              <w:spacing w:after="0" w:line="240" w:lineRule="auto"/>
              <w:jc w:val="left"/>
            </w:pPr>
            <w:r>
              <w:rPr>
                <w:rFonts w:ascii="Calibri" w:hAnsi="Calibri"/>
                <w:b w:val="0"/>
                <w:color w:val="1F2937"/>
                <w:sz w:val="18"/>
              </w:rPr>
              <w:t>ADR 0045 y evidencia Uyuni</w:t>
            </w:r>
          </w:p>
        </w:tc>
        <w:tc>
          <w:tcPr>
            <w:tcW w:type="dxa" w:w="3090"/>
            <w:shd w:fill="FAFBFC"/>
            <w:tcMar>
              <w:top w:w="80" w:type="dxa"/>
              <w:start w:w="120" w:type="dxa"/>
              <w:bottom w:w="80" w:type="dxa"/>
              <w:end w:w="120" w:type="dxa"/>
            </w:tcMar>
            <w:vAlign w:val="center"/>
          </w:tcPr>
          <w:p>
            <w:pPr>
              <w:spacing w:after="0" w:line="240" w:lineRule="auto"/>
              <w:jc w:val="left"/>
            </w:pPr>
            <w:r>
              <w:rPr>
                <w:rFonts w:ascii="Calibri" w:hAnsi="Calibri"/>
                <w:b w:val="0"/>
                <w:color w:val="1F2937"/>
                <w:sz w:val="18"/>
              </w:rPr>
              <w:t>Modelo, fórmula versionada y valores oficiales</w:t>
            </w:r>
          </w:p>
        </w:tc>
      </w:tr>
      <w:tr>
        <w:trPr>
          <w:cantSplit w:val="true"/>
        </w:trPr>
        <w:tc>
          <w:tcPr>
            <w:tcW w:type="dxa" w:w="1900"/>
            <w:tcMar>
              <w:top w:w="80" w:type="dxa"/>
              <w:start w:w="120" w:type="dxa"/>
              <w:bottom w:w="80" w:type="dxa"/>
              <w:end w:w="120" w:type="dxa"/>
            </w:tcMar>
            <w:vAlign w:val="center"/>
          </w:tcPr>
          <w:p>
            <w:pPr>
              <w:spacing w:after="0" w:line="240" w:lineRule="auto"/>
              <w:jc w:val="left"/>
            </w:pPr>
            <w:r>
              <w:rPr>
                <w:rFonts w:ascii="Calibri" w:hAnsi="Calibri"/>
                <w:b w:val="0"/>
                <w:color w:val="1F2937"/>
                <w:sz w:val="18"/>
              </w:rPr>
              <w:t>Certificados</w:t>
            </w:r>
          </w:p>
        </w:tc>
        <w:tc>
          <w:tcPr>
            <w:tcW w:type="dxa" w:w="1550"/>
            <w:tcMar>
              <w:top w:w="80" w:type="dxa"/>
              <w:start w:w="120" w:type="dxa"/>
              <w:bottom w:w="80" w:type="dxa"/>
              <w:end w:w="120" w:type="dxa"/>
            </w:tcMar>
            <w:vAlign w:val="center"/>
          </w:tcPr>
          <w:p>
            <w:pPr>
              <w:spacing w:after="0" w:line="240" w:lineRule="auto"/>
              <w:jc w:val="center"/>
            </w:pPr>
            <w:r>
              <w:rPr>
                <w:rFonts w:ascii="Calibri" w:hAnsi="Calibri"/>
                <w:b/>
                <w:color w:val="1F2937"/>
                <w:sz w:val="18"/>
              </w:rPr>
              <w:t>Pendiente</w:t>
            </w:r>
          </w:p>
        </w:tc>
        <w:tc>
          <w:tcPr>
            <w:tcW w:type="dxa" w:w="2820"/>
            <w:tcMar>
              <w:top w:w="80" w:type="dxa"/>
              <w:start w:w="120" w:type="dxa"/>
              <w:bottom w:w="80" w:type="dxa"/>
              <w:end w:w="120" w:type="dxa"/>
            </w:tcMar>
            <w:vAlign w:val="center"/>
          </w:tcPr>
          <w:p>
            <w:pPr>
              <w:spacing w:after="0" w:line="240" w:lineRule="auto"/>
              <w:jc w:val="left"/>
            </w:pPr>
            <w:r>
              <w:rPr>
                <w:rFonts w:ascii="Calibri" w:hAnsi="Calibri"/>
                <w:b w:val="0"/>
                <w:color w:val="1F2937"/>
                <w:sz w:val="18"/>
              </w:rPr>
              <w:t>Croquis reutilizable</w:t>
            </w:r>
          </w:p>
        </w:tc>
        <w:tc>
          <w:tcPr>
            <w:tcW w:type="dxa" w:w="3090"/>
            <w:tcMar>
              <w:top w:w="80" w:type="dxa"/>
              <w:start w:w="120" w:type="dxa"/>
              <w:bottom w:w="80" w:type="dxa"/>
              <w:end w:w="120" w:type="dxa"/>
            </w:tcMar>
            <w:vAlign w:val="center"/>
          </w:tcPr>
          <w:p>
            <w:pPr>
              <w:spacing w:after="0" w:line="240" w:lineRule="auto"/>
              <w:jc w:val="left"/>
            </w:pPr>
            <w:r>
              <w:rPr>
                <w:rFonts w:ascii="Calibri" w:hAnsi="Calibri"/>
                <w:b w:val="0"/>
                <w:color w:val="1F2937"/>
                <w:sz w:val="18"/>
              </w:rPr>
              <w:t>PDF, folio, QR, emisión</w:t>
            </w:r>
          </w:p>
        </w:tc>
      </w:tr>
      <w:tr>
        <w:trPr>
          <w:cantSplit w:val="true"/>
        </w:trPr>
        <w:tc>
          <w:tcPr>
            <w:tcW w:type="dxa" w:w="1900"/>
            <w:shd w:fill="FAFBFC"/>
            <w:tcMar>
              <w:top w:w="80" w:type="dxa"/>
              <w:start w:w="120" w:type="dxa"/>
              <w:bottom w:w="80" w:type="dxa"/>
              <w:end w:w="120" w:type="dxa"/>
            </w:tcMar>
            <w:vAlign w:val="center"/>
          </w:tcPr>
          <w:p>
            <w:pPr>
              <w:spacing w:after="0" w:line="240" w:lineRule="auto"/>
              <w:jc w:val="left"/>
            </w:pPr>
            <w:r>
              <w:rPr>
                <w:rFonts w:ascii="Calibri" w:hAnsi="Calibri"/>
                <w:b w:val="0"/>
                <w:color w:val="1F2937"/>
                <w:sz w:val="18"/>
              </w:rPr>
              <w:t>Trámites</w:t>
            </w:r>
          </w:p>
        </w:tc>
        <w:tc>
          <w:tcPr>
            <w:tcW w:type="dxa" w:w="1550"/>
            <w:shd w:fill="FAFBFC"/>
            <w:tcMar>
              <w:top w:w="80" w:type="dxa"/>
              <w:start w:w="120" w:type="dxa"/>
              <w:bottom w:w="80" w:type="dxa"/>
              <w:end w:w="120" w:type="dxa"/>
            </w:tcMar>
            <w:vAlign w:val="center"/>
          </w:tcPr>
          <w:p>
            <w:pPr>
              <w:spacing w:after="0" w:line="240" w:lineRule="auto"/>
              <w:jc w:val="center"/>
            </w:pPr>
            <w:r>
              <w:rPr>
                <w:rFonts w:ascii="Calibri" w:hAnsi="Calibri"/>
                <w:b/>
                <w:color w:val="1F2937"/>
                <w:sz w:val="18"/>
              </w:rPr>
              <w:t>Pendiente</w:t>
            </w:r>
          </w:p>
        </w:tc>
        <w:tc>
          <w:tcPr>
            <w:tcW w:type="dxa" w:w="2820"/>
            <w:shd w:fill="FAFBFC"/>
            <w:tcMar>
              <w:top w:w="80" w:type="dxa"/>
              <w:start w:w="120" w:type="dxa"/>
              <w:bottom w:w="80" w:type="dxa"/>
              <w:end w:w="120" w:type="dxa"/>
            </w:tcMar>
            <w:vAlign w:val="center"/>
          </w:tcPr>
          <w:p>
            <w:pPr>
              <w:spacing w:after="0" w:line="240" w:lineRule="auto"/>
              <w:jc w:val="left"/>
            </w:pPr>
            <w:r>
              <w:rPr>
                <w:rFonts w:ascii="Calibri" w:hAnsi="Calibri"/>
                <w:b w:val="0"/>
                <w:color w:val="1F2937"/>
                <w:sz w:val="18"/>
              </w:rPr>
              <w:t>Patrones de estados existentes</w:t>
            </w:r>
          </w:p>
        </w:tc>
        <w:tc>
          <w:tcPr>
            <w:tcW w:type="dxa" w:w="3090"/>
            <w:shd w:fill="FAFBFC"/>
            <w:tcMar>
              <w:top w:w="80" w:type="dxa"/>
              <w:start w:w="120" w:type="dxa"/>
              <w:bottom w:w="80" w:type="dxa"/>
              <w:end w:w="120" w:type="dxa"/>
            </w:tcMar>
            <w:vAlign w:val="center"/>
          </w:tcPr>
          <w:p>
            <w:pPr>
              <w:spacing w:after="0" w:line="240" w:lineRule="auto"/>
              <w:jc w:val="left"/>
            </w:pPr>
            <w:r>
              <w:rPr>
                <w:rFonts w:ascii="Calibri" w:hAnsi="Calibri"/>
                <w:b w:val="0"/>
                <w:color w:val="1F2937"/>
                <w:sz w:val="18"/>
              </w:rPr>
              <w:t>Flujos, bandeja, documentos y mutaciones</w:t>
            </w:r>
          </w:p>
        </w:tc>
      </w:tr>
      <w:tr>
        <w:trPr>
          <w:cantSplit w:val="true"/>
        </w:trPr>
        <w:tc>
          <w:tcPr>
            <w:tcW w:type="dxa" w:w="1900"/>
            <w:tcMar>
              <w:top w:w="80" w:type="dxa"/>
              <w:start w:w="120" w:type="dxa"/>
              <w:bottom w:w="80" w:type="dxa"/>
              <w:end w:w="120" w:type="dxa"/>
            </w:tcMar>
            <w:vAlign w:val="center"/>
          </w:tcPr>
          <w:p>
            <w:pPr>
              <w:spacing w:after="0" w:line="240" w:lineRule="auto"/>
              <w:jc w:val="left"/>
            </w:pPr>
            <w:r>
              <w:rPr>
                <w:rFonts w:ascii="Calibri" w:hAnsi="Calibri"/>
                <w:b w:val="0"/>
                <w:color w:val="1F2937"/>
                <w:sz w:val="18"/>
              </w:rPr>
              <w:t>Tributación</w:t>
            </w:r>
          </w:p>
        </w:tc>
        <w:tc>
          <w:tcPr>
            <w:tcW w:type="dxa" w:w="1550"/>
            <w:tcMar>
              <w:top w:w="80" w:type="dxa"/>
              <w:start w:w="120" w:type="dxa"/>
              <w:bottom w:w="80" w:type="dxa"/>
              <w:end w:w="120" w:type="dxa"/>
            </w:tcMar>
            <w:vAlign w:val="center"/>
          </w:tcPr>
          <w:p>
            <w:pPr>
              <w:spacing w:after="0" w:line="240" w:lineRule="auto"/>
              <w:jc w:val="center"/>
            </w:pPr>
            <w:r>
              <w:rPr>
                <w:rFonts w:ascii="Calibri" w:hAnsi="Calibri"/>
                <w:b/>
                <w:color w:val="1F2937"/>
                <w:sz w:val="18"/>
              </w:rPr>
              <w:t>Pendiente</w:t>
            </w:r>
          </w:p>
        </w:tc>
        <w:tc>
          <w:tcPr>
            <w:tcW w:type="dxa" w:w="2820"/>
            <w:tcMar>
              <w:top w:w="80" w:type="dxa"/>
              <w:start w:w="120" w:type="dxa"/>
              <w:bottom w:w="80" w:type="dxa"/>
              <w:end w:w="120" w:type="dxa"/>
            </w:tcMar>
            <w:vAlign w:val="center"/>
          </w:tcPr>
          <w:p>
            <w:pPr>
              <w:spacing w:after="0" w:line="240" w:lineRule="auto"/>
              <w:jc w:val="left"/>
            </w:pPr>
            <w:r>
              <w:rPr>
                <w:rFonts w:ascii="Calibri" w:hAnsi="Calibri"/>
                <w:b w:val="0"/>
                <w:color w:val="1F2937"/>
                <w:sz w:val="18"/>
              </w:rPr>
              <w:t>Datos base y diseño</w:t>
            </w:r>
          </w:p>
        </w:tc>
        <w:tc>
          <w:tcPr>
            <w:tcW w:type="dxa" w:w="3090"/>
            <w:tcMar>
              <w:top w:w="80" w:type="dxa"/>
              <w:start w:w="120" w:type="dxa"/>
              <w:bottom w:w="80" w:type="dxa"/>
              <w:end w:w="120" w:type="dxa"/>
            </w:tcMar>
            <w:vAlign w:val="center"/>
          </w:tcPr>
          <w:p>
            <w:pPr>
              <w:spacing w:after="0" w:line="240" w:lineRule="auto"/>
              <w:jc w:val="left"/>
            </w:pPr>
            <w:r>
              <w:rPr>
                <w:rFonts w:ascii="Calibri" w:hAnsi="Calibri"/>
                <w:b w:val="0"/>
                <w:color w:val="1F2937"/>
                <w:sz w:val="18"/>
              </w:rPr>
              <w:t>Decisión RUAT, IPBI y reportes</w:t>
            </w:r>
          </w:p>
        </w:tc>
      </w:tr>
      <w:tr>
        <w:trPr>
          <w:cantSplit w:val="true"/>
        </w:trPr>
        <w:tc>
          <w:tcPr>
            <w:tcW w:type="dxa" w:w="1900"/>
            <w:shd w:fill="FAFBFC"/>
            <w:tcMar>
              <w:top w:w="80" w:type="dxa"/>
              <w:start w:w="120" w:type="dxa"/>
              <w:bottom w:w="80" w:type="dxa"/>
              <w:end w:w="120" w:type="dxa"/>
            </w:tcMar>
            <w:vAlign w:val="center"/>
          </w:tcPr>
          <w:p>
            <w:pPr>
              <w:spacing w:after="0" w:line="240" w:lineRule="auto"/>
              <w:jc w:val="left"/>
            </w:pPr>
            <w:r>
              <w:rPr>
                <w:rFonts w:ascii="Calibri" w:hAnsi="Calibri"/>
                <w:b w:val="0"/>
                <w:color w:val="1F2937"/>
                <w:sz w:val="18"/>
              </w:rPr>
              <w:t>Portal ciudadano</w:t>
            </w:r>
          </w:p>
        </w:tc>
        <w:tc>
          <w:tcPr>
            <w:tcW w:type="dxa" w:w="1550"/>
            <w:shd w:fill="FAFBFC"/>
            <w:tcMar>
              <w:top w:w="80" w:type="dxa"/>
              <w:start w:w="120" w:type="dxa"/>
              <w:bottom w:w="80" w:type="dxa"/>
              <w:end w:w="120" w:type="dxa"/>
            </w:tcMar>
            <w:vAlign w:val="center"/>
          </w:tcPr>
          <w:p>
            <w:pPr>
              <w:spacing w:after="0" w:line="240" w:lineRule="auto"/>
              <w:jc w:val="center"/>
            </w:pPr>
            <w:r>
              <w:rPr>
                <w:rFonts w:ascii="Calibri" w:hAnsi="Calibri"/>
                <w:b/>
                <w:color w:val="1F2937"/>
                <w:sz w:val="18"/>
              </w:rPr>
              <w:t>Pendiente</w:t>
            </w:r>
          </w:p>
        </w:tc>
        <w:tc>
          <w:tcPr>
            <w:tcW w:type="dxa" w:w="2820"/>
            <w:shd w:fill="FAFBFC"/>
            <w:tcMar>
              <w:top w:w="80" w:type="dxa"/>
              <w:start w:w="120" w:type="dxa"/>
              <w:bottom w:w="80" w:type="dxa"/>
              <w:end w:w="120" w:type="dxa"/>
            </w:tcMar>
            <w:vAlign w:val="center"/>
          </w:tcPr>
          <w:p>
            <w:pPr>
              <w:spacing w:after="0" w:line="240" w:lineRule="auto"/>
              <w:jc w:val="left"/>
            </w:pPr>
            <w:r>
              <w:rPr>
                <w:rFonts w:ascii="Calibri" w:hAnsi="Calibri"/>
                <w:b w:val="0"/>
                <w:color w:val="1F2937"/>
                <w:sz w:val="18"/>
              </w:rPr>
              <w:t>Base Blazor y verificación futura</w:t>
            </w:r>
          </w:p>
        </w:tc>
        <w:tc>
          <w:tcPr>
            <w:tcW w:type="dxa" w:w="3090"/>
            <w:shd w:fill="FAFBFC"/>
            <w:tcMar>
              <w:top w:w="80" w:type="dxa"/>
              <w:start w:w="120" w:type="dxa"/>
              <w:bottom w:w="80" w:type="dxa"/>
              <w:end w:w="120" w:type="dxa"/>
            </w:tcMar>
            <w:vAlign w:val="center"/>
          </w:tcPr>
          <w:p>
            <w:pPr>
              <w:spacing w:after="0" w:line="240" w:lineRule="auto"/>
              <w:jc w:val="left"/>
            </w:pPr>
            <w:r>
              <w:rPr>
                <w:rFonts w:ascii="Calibri" w:hAnsi="Calibri"/>
                <w:b w:val="0"/>
                <w:color w:val="1F2937"/>
                <w:sz w:val="18"/>
              </w:rPr>
              <w:t>Privacidad, rate limit y UX pública</w:t>
            </w:r>
          </w:p>
        </w:tc>
      </w:tr>
      <w:tr>
        <w:trPr>
          <w:cantSplit w:val="true"/>
        </w:trPr>
        <w:tc>
          <w:tcPr>
            <w:tcW w:type="dxa" w:w="1900"/>
            <w:tcMar>
              <w:top w:w="80" w:type="dxa"/>
              <w:start w:w="120" w:type="dxa"/>
              <w:bottom w:w="80" w:type="dxa"/>
              <w:end w:w="120" w:type="dxa"/>
            </w:tcMar>
            <w:vAlign w:val="center"/>
          </w:tcPr>
          <w:p>
            <w:pPr>
              <w:spacing w:after="0" w:line="240" w:lineRule="auto"/>
              <w:jc w:val="left"/>
            </w:pPr>
            <w:r>
              <w:rPr>
                <w:rFonts w:ascii="Calibri" w:hAnsi="Calibri"/>
                <w:b w:val="0"/>
                <w:color w:val="1F2937"/>
                <w:sz w:val="18"/>
              </w:rPr>
              <w:t>Producción</w:t>
            </w:r>
          </w:p>
        </w:tc>
        <w:tc>
          <w:tcPr>
            <w:tcW w:type="dxa" w:w="1550"/>
            <w:tcMar>
              <w:top w:w="80" w:type="dxa"/>
              <w:start w:w="120" w:type="dxa"/>
              <w:bottom w:w="80" w:type="dxa"/>
              <w:end w:w="120" w:type="dxa"/>
            </w:tcMar>
            <w:vAlign w:val="center"/>
          </w:tcPr>
          <w:p>
            <w:pPr>
              <w:spacing w:after="0" w:line="240" w:lineRule="auto"/>
              <w:jc w:val="center"/>
            </w:pPr>
            <w:r>
              <w:rPr>
                <w:rFonts w:ascii="Calibri" w:hAnsi="Calibri"/>
                <w:b/>
                <w:color w:val="1F2937"/>
                <w:sz w:val="18"/>
              </w:rPr>
              <w:t>Pendiente</w:t>
            </w:r>
          </w:p>
        </w:tc>
        <w:tc>
          <w:tcPr>
            <w:tcW w:type="dxa" w:w="2820"/>
            <w:tcMar>
              <w:top w:w="80" w:type="dxa"/>
              <w:start w:w="120" w:type="dxa"/>
              <w:bottom w:w="80" w:type="dxa"/>
              <w:end w:w="120" w:type="dxa"/>
            </w:tcMar>
            <w:vAlign w:val="center"/>
          </w:tcPr>
          <w:p>
            <w:pPr>
              <w:spacing w:after="0" w:line="240" w:lineRule="auto"/>
              <w:jc w:val="left"/>
            </w:pPr>
            <w:r>
              <w:rPr>
                <w:rFonts w:ascii="Calibri" w:hAnsi="Calibri"/>
                <w:b w:val="0"/>
                <w:color w:val="1F2937"/>
                <w:sz w:val="18"/>
              </w:rPr>
              <w:t>ADR 0047 acepta nube-primero; AGENTS.md contradice</w:t>
            </w:r>
          </w:p>
        </w:tc>
        <w:tc>
          <w:tcPr>
            <w:tcW w:type="dxa" w:w="3090"/>
            <w:tcMar>
              <w:top w:w="80" w:type="dxa"/>
              <w:start w:w="120" w:type="dxa"/>
              <w:bottom w:w="80" w:type="dxa"/>
              <w:end w:w="120" w:type="dxa"/>
            </w:tcMar>
            <w:vAlign w:val="center"/>
          </w:tcPr>
          <w:p>
            <w:pPr>
              <w:spacing w:after="0" w:line="240" w:lineRule="auto"/>
              <w:jc w:val="left"/>
            </w:pPr>
            <w:r>
              <w:rPr>
                <w:rFonts w:ascii="Calibri" w:hAnsi="Calibri"/>
                <w:b w:val="0"/>
                <w:color w:val="1F2937"/>
                <w:sz w:val="18"/>
              </w:rPr>
              <w:t>Alinear contrato, VPS, TLS, backup/restore, monitoreo y SLA</w:t>
            </w:r>
          </w:p>
        </w:tc>
      </w:tr>
    </w:tbl>
    <w:p>
      <w:pPr>
        <w:spacing w:before="80" w:after="80"/>
      </w:pPr>
      <w:r>
        <w:rPr>
          <w:rFonts w:ascii="Calibri" w:hAnsi="Calibri"/>
          <w:i/>
          <w:color w:val="5F6B7A"/>
          <w:sz w:val="17"/>
        </w:rPr>
        <w:t>Fuente: código, ADR y PLAN_MAESTRO contrastados con evidencia actual.</w:t>
      </w:r>
    </w:p>
    <w:p>
      <w:r>
        <w:br w:type="page"/>
      </w:r>
    </w:p>
    <w:p>
      <w:pPr>
        <w:pStyle w:val="Heading1"/>
      </w:pPr>
      <w:r>
        <w:t>8. Observaciones para consolidar el mejor referente catastral posible</w:t>
      </w:r>
    </w:p>
    <w:p>
      <w:pPr/>
      <w:r>
        <w:rPr>
          <w:rFonts w:ascii="Calibri" w:hAnsi="Calibri"/>
          <w:i w:val="0"/>
          <w:color w:val="1F2937"/>
          <w:sz w:val="22"/>
        </w:rPr>
        <w:t>Las siguientes observaciones no son críticas decorativas. Son condiciones para pasar de un sistema técnicamente prometedor a un producto institucional confiable, operable y replicable.</w:t>
      </w:r>
    </w:p>
    <w:p>
      <w:pPr>
        <w:spacing w:before="80" w:after="80"/>
      </w:pPr>
      <w:r>
        <w:rPr>
          <w:rFonts w:ascii="Calibri" w:hAnsi="Calibri"/>
          <w:b/>
          <w:color w:val="0B2545"/>
          <w:sz w:val="19"/>
        </w:rPr>
        <w:t>Tabla 9. Registro consolidado de observaciones</w:t>
      </w:r>
    </w:p>
    <w:tbl>
      <w:tblPr>
        <w:tblStyle w:val="TableGrid"/>
        <w:tblW w:type="dxa" w:w="9360"/>
        <w:jc w:val="left"/>
        <w:tblLayout w:type="fixed"/>
        <w:tblLook w:firstColumn="1" w:firstRow="1" w:lastColumn="0" w:lastRow="0" w:noHBand="0" w:noVBand="1" w:val="04A0"/>
        <w:tblInd w:w="120" w:type="dxa"/>
      </w:tblPr>
      <w:tblGrid>
        <w:gridCol w:w="2450"/>
        <w:gridCol w:w="5410"/>
        <w:gridCol w:w="1500"/>
      </w:tblGrid>
      <w:tr>
        <w:trPr>
          <w:tblHeader w:val="true"/>
          <w:cantSplit w:val="true"/>
        </w:trPr>
        <w:tc>
          <w:tcPr>
            <w:tcW w:type="dxa" w:w="2450"/>
            <w:shd w:fill="F2F4F7"/>
            <w:tcMar>
              <w:top w:w="80" w:type="dxa"/>
              <w:start w:w="120" w:type="dxa"/>
              <w:bottom w:w="80" w:type="dxa"/>
              <w:end w:w="120" w:type="dxa"/>
            </w:tcMar>
            <w:vAlign w:val="center"/>
          </w:tcPr>
          <w:p>
            <w:pPr>
              <w:jc w:val="left"/>
            </w:pPr>
            <w:r>
              <w:rPr>
                <w:rFonts w:ascii="Calibri" w:hAnsi="Calibri"/>
                <w:b/>
                <w:color w:val="0B2545"/>
                <w:sz w:val="18"/>
              </w:rPr>
              <w:t>ID / observación</w:t>
            </w:r>
          </w:p>
        </w:tc>
        <w:tc>
          <w:tcPr>
            <w:tcW w:type="dxa" w:w="5410"/>
            <w:shd w:fill="F2F4F7"/>
            <w:tcMar>
              <w:top w:w="80" w:type="dxa"/>
              <w:start w:w="120" w:type="dxa"/>
              <w:bottom w:w="80" w:type="dxa"/>
              <w:end w:w="120" w:type="dxa"/>
            </w:tcMar>
            <w:vAlign w:val="center"/>
          </w:tcPr>
          <w:p>
            <w:pPr>
              <w:jc w:val="left"/>
            </w:pPr>
            <w:r>
              <w:rPr>
                <w:rFonts w:ascii="Calibri" w:hAnsi="Calibri"/>
                <w:b/>
                <w:color w:val="0B2545"/>
                <w:sz w:val="18"/>
              </w:rPr>
              <w:t>Acción correctiva</w:t>
            </w:r>
          </w:p>
        </w:tc>
        <w:tc>
          <w:tcPr>
            <w:tcW w:type="dxa" w:w="1500"/>
            <w:shd w:fill="F2F4F7"/>
            <w:tcMar>
              <w:top w:w="80" w:type="dxa"/>
              <w:start w:w="120" w:type="dxa"/>
              <w:bottom w:w="80" w:type="dxa"/>
              <w:end w:w="120" w:type="dxa"/>
            </w:tcMar>
            <w:vAlign w:val="center"/>
          </w:tcPr>
          <w:p>
            <w:pPr>
              <w:jc w:val="center"/>
            </w:pPr>
            <w:r>
              <w:rPr>
                <w:rFonts w:ascii="Calibri" w:hAnsi="Calibri"/>
                <w:b/>
                <w:color w:val="0B2545"/>
                <w:sz w:val="18"/>
              </w:rPr>
              <w:t>Prioridad</w:t>
            </w:r>
          </w:p>
        </w:tc>
      </w:tr>
      <w:tr>
        <w:trPr>
          <w:cantSplit w:val="true"/>
        </w:trPr>
        <w:tc>
          <w:tcPr>
            <w:tcW w:type="dxa" w:w="2450"/>
            <w:tcMar>
              <w:top w:w="80" w:type="dxa"/>
              <w:start w:w="120" w:type="dxa"/>
              <w:bottom w:w="80" w:type="dxa"/>
              <w:end w:w="120" w:type="dxa"/>
            </w:tcMar>
            <w:vAlign w:val="center"/>
          </w:tcPr>
          <w:p>
            <w:pPr>
              <w:jc w:val="left"/>
            </w:pPr>
            <w:r>
              <w:rPr>
                <w:rFonts w:ascii="Calibri" w:hAnsi="Calibri"/>
                <w:b w:val="0"/>
                <w:color w:val="1F2937"/>
                <w:sz w:val="18"/>
              </w:rPr>
              <w:t>O-01 · Fuente de verdad desalineada</w:t>
            </w:r>
          </w:p>
        </w:tc>
        <w:tc>
          <w:tcPr>
            <w:tcW w:type="dxa" w:w="5410"/>
            <w:tcMar>
              <w:top w:w="80" w:type="dxa"/>
              <w:start w:w="120" w:type="dxa"/>
              <w:bottom w:w="80" w:type="dxa"/>
              <w:end w:w="120" w:type="dxa"/>
            </w:tcMar>
            <w:vAlign w:val="center"/>
          </w:tcPr>
          <w:p>
            <w:pPr>
              <w:jc w:val="left"/>
            </w:pPr>
            <w:r>
              <w:rPr>
                <w:rFonts w:ascii="Calibri" w:hAnsi="Calibri"/>
                <w:b w:val="0"/>
                <w:color w:val="1F2937"/>
                <w:sz w:val="18"/>
              </w:rPr>
              <w:t>AGENTS.md aún declara React mientras el producto usa Blazor WASM. Corregir antes de nuevas tareas frontend.</w:t>
            </w:r>
          </w:p>
        </w:tc>
        <w:tc>
          <w:tcPr>
            <w:tcW w:type="dxa" w:w="1500"/>
            <w:tcMar>
              <w:top w:w="80" w:type="dxa"/>
              <w:start w:w="120" w:type="dxa"/>
              <w:bottom w:w="80" w:type="dxa"/>
              <w:end w:w="120" w:type="dxa"/>
            </w:tcMar>
            <w:vAlign w:val="center"/>
          </w:tcPr>
          <w:p>
            <w:pPr>
              <w:jc w:val="center"/>
            </w:pPr>
            <w:r>
              <w:rPr>
                <w:rFonts w:ascii="Calibri" w:hAnsi="Calibri"/>
                <w:b/>
                <w:color w:val="1F2937"/>
                <w:sz w:val="18"/>
              </w:rPr>
              <w:t>Alta</w:t>
            </w:r>
          </w:p>
        </w:tc>
      </w:tr>
      <w:tr>
        <w:trPr>
          <w:cantSplit w:val="true"/>
        </w:trPr>
        <w:tc>
          <w:tcPr>
            <w:tcW w:type="dxa" w:w="2450"/>
            <w:shd w:fill="FAFBFC"/>
            <w:tcMar>
              <w:top w:w="80" w:type="dxa"/>
              <w:start w:w="120" w:type="dxa"/>
              <w:bottom w:w="80" w:type="dxa"/>
              <w:end w:w="120" w:type="dxa"/>
            </w:tcMar>
            <w:vAlign w:val="center"/>
          </w:tcPr>
          <w:p>
            <w:pPr>
              <w:jc w:val="left"/>
            </w:pPr>
            <w:r>
              <w:rPr>
                <w:rFonts w:ascii="Calibri" w:hAnsi="Calibri"/>
                <w:b w:val="0"/>
                <w:color w:val="1F2937"/>
                <w:sz w:val="18"/>
              </w:rPr>
              <w:t>O-02 · PLAN_MAESTRO desactualizado</w:t>
            </w:r>
          </w:p>
        </w:tc>
        <w:tc>
          <w:tcPr>
            <w:tcW w:type="dxa" w:w="5410"/>
            <w:shd w:fill="FAFBFC"/>
            <w:tcMar>
              <w:top w:w="80" w:type="dxa"/>
              <w:start w:w="120" w:type="dxa"/>
              <w:bottom w:w="80" w:type="dxa"/>
              <w:end w:w="120" w:type="dxa"/>
            </w:tcMar>
            <w:vAlign w:val="center"/>
          </w:tcPr>
          <w:p>
            <w:pPr>
              <w:jc w:val="left"/>
            </w:pPr>
            <w:r>
              <w:rPr>
                <w:rFonts w:ascii="Calibri" w:hAnsi="Calibri"/>
                <w:b w:val="0"/>
                <w:color w:val="1F2937"/>
                <w:sz w:val="18"/>
              </w:rPr>
              <w:t>Su siguiente acción todavía apunta a Fase 0 y DP-05, aunque Fases 0–2 y 3.A ya cerraron y el DGN fue obtenido.</w:t>
            </w:r>
          </w:p>
        </w:tc>
        <w:tc>
          <w:tcPr>
            <w:tcW w:type="dxa" w:w="1500"/>
            <w:shd w:fill="FAFBFC"/>
            <w:tcMar>
              <w:top w:w="80" w:type="dxa"/>
              <w:start w:w="120" w:type="dxa"/>
              <w:bottom w:w="80" w:type="dxa"/>
              <w:end w:w="120" w:type="dxa"/>
            </w:tcMar>
            <w:vAlign w:val="center"/>
          </w:tcPr>
          <w:p>
            <w:pPr>
              <w:jc w:val="center"/>
            </w:pPr>
            <w:r>
              <w:rPr>
                <w:rFonts w:ascii="Calibri" w:hAnsi="Calibri"/>
                <w:b/>
                <w:color w:val="1F2937"/>
                <w:sz w:val="18"/>
              </w:rPr>
              <w:t>Alta</w:t>
            </w:r>
          </w:p>
        </w:tc>
      </w:tr>
      <w:tr>
        <w:trPr>
          <w:cantSplit w:val="true"/>
        </w:trPr>
        <w:tc>
          <w:tcPr>
            <w:tcW w:type="dxa" w:w="2450"/>
            <w:tcMar>
              <w:top w:w="80" w:type="dxa"/>
              <w:start w:w="120" w:type="dxa"/>
              <w:bottom w:w="80" w:type="dxa"/>
              <w:end w:w="120" w:type="dxa"/>
            </w:tcMar>
            <w:vAlign w:val="center"/>
          </w:tcPr>
          <w:p>
            <w:pPr>
              <w:jc w:val="left"/>
            </w:pPr>
            <w:r>
              <w:rPr>
                <w:rFonts w:ascii="Calibri" w:hAnsi="Calibri"/>
                <w:b w:val="0"/>
                <w:color w:val="1F2937"/>
                <w:sz w:val="18"/>
              </w:rPr>
              <w:t>O-03 · Hallazgo 3.B.7 inexacto</w:t>
            </w:r>
          </w:p>
        </w:tc>
        <w:tc>
          <w:tcPr>
            <w:tcW w:type="dxa" w:w="5410"/>
            <w:tcMar>
              <w:top w:w="80" w:type="dxa"/>
              <w:start w:w="120" w:type="dxa"/>
              <w:bottom w:w="80" w:type="dxa"/>
              <w:end w:w="120" w:type="dxa"/>
            </w:tcMar>
            <w:vAlign w:val="center"/>
          </w:tcPr>
          <w:p>
            <w:pPr>
              <w:jc w:val="left"/>
            </w:pPr>
            <w:r>
              <w:rPr>
                <w:rFonts w:ascii="Calibri" w:hAnsi="Calibri"/>
                <w:b w:val="0"/>
                <w:color w:val="1F2937"/>
                <w:sz w:val="18"/>
              </w:rPr>
              <w:t>El archivo staged contradice el código en obligatoriedad, consumo de perfiles y activación.</w:t>
            </w:r>
          </w:p>
        </w:tc>
        <w:tc>
          <w:tcPr>
            <w:tcW w:type="dxa" w:w="1500"/>
            <w:tcMar>
              <w:top w:w="80" w:type="dxa"/>
              <w:start w:w="120" w:type="dxa"/>
              <w:bottom w:w="80" w:type="dxa"/>
              <w:end w:w="120" w:type="dxa"/>
            </w:tcMar>
            <w:vAlign w:val="center"/>
          </w:tcPr>
          <w:p>
            <w:pPr>
              <w:jc w:val="center"/>
            </w:pPr>
            <w:r>
              <w:rPr>
                <w:rFonts w:ascii="Calibri" w:hAnsi="Calibri"/>
                <w:b/>
                <w:color w:val="9B1C1C"/>
                <w:sz w:val="18"/>
              </w:rPr>
              <w:t>Crítica</w:t>
            </w:r>
          </w:p>
        </w:tc>
      </w:tr>
      <w:tr>
        <w:trPr>
          <w:cantSplit w:val="true"/>
        </w:trPr>
        <w:tc>
          <w:tcPr>
            <w:tcW w:type="dxa" w:w="2450"/>
            <w:shd w:fill="FAFBFC"/>
            <w:tcMar>
              <w:top w:w="80" w:type="dxa"/>
              <w:start w:w="120" w:type="dxa"/>
              <w:bottom w:w="80" w:type="dxa"/>
              <w:end w:w="120" w:type="dxa"/>
            </w:tcMar>
            <w:vAlign w:val="center"/>
          </w:tcPr>
          <w:p>
            <w:pPr>
              <w:jc w:val="left"/>
            </w:pPr>
            <w:r>
              <w:rPr>
                <w:rFonts w:ascii="Calibri" w:hAnsi="Calibri"/>
                <w:b w:val="0"/>
                <w:color w:val="1F2937"/>
                <w:sz w:val="18"/>
              </w:rPr>
              <w:t>O-04 · Semántica de importación parcial</w:t>
            </w:r>
          </w:p>
        </w:tc>
        <w:tc>
          <w:tcPr>
            <w:tcW w:type="dxa" w:w="5410"/>
            <w:shd w:fill="FAFBFC"/>
            <w:tcMar>
              <w:top w:w="80" w:type="dxa"/>
              <w:start w:w="120" w:type="dxa"/>
              <w:bottom w:w="80" w:type="dxa"/>
              <w:end w:w="120" w:type="dxa"/>
            </w:tcMar>
            <w:vAlign w:val="center"/>
          </w:tcPr>
          <w:p>
            <w:pPr>
              <w:jc w:val="left"/>
            </w:pPr>
            <w:r>
              <w:rPr>
                <w:rFonts w:ascii="Calibri" w:hAnsi="Calibri"/>
                <w:b w:val="0"/>
                <w:color w:val="1F2937"/>
                <w:sz w:val="18"/>
              </w:rPr>
              <w:t>Definir composición N+1 o mantener snapshots completos; no introducir un bypass por perfil.</w:t>
            </w:r>
          </w:p>
        </w:tc>
        <w:tc>
          <w:tcPr>
            <w:tcW w:type="dxa" w:w="1500"/>
            <w:shd w:fill="FAFBFC"/>
            <w:tcMar>
              <w:top w:w="80" w:type="dxa"/>
              <w:start w:w="120" w:type="dxa"/>
              <w:bottom w:w="80" w:type="dxa"/>
              <w:end w:w="120" w:type="dxa"/>
            </w:tcMar>
            <w:vAlign w:val="center"/>
          </w:tcPr>
          <w:p>
            <w:pPr>
              <w:jc w:val="center"/>
            </w:pPr>
            <w:r>
              <w:rPr>
                <w:rFonts w:ascii="Calibri" w:hAnsi="Calibri"/>
                <w:b/>
                <w:color w:val="9B1C1C"/>
                <w:sz w:val="18"/>
              </w:rPr>
              <w:t>Crítica</w:t>
            </w:r>
          </w:p>
        </w:tc>
      </w:tr>
      <w:tr>
        <w:trPr>
          <w:cantSplit w:val="true"/>
        </w:trPr>
        <w:tc>
          <w:tcPr>
            <w:tcW w:type="dxa" w:w="2450"/>
            <w:tcMar>
              <w:top w:w="80" w:type="dxa"/>
              <w:start w:w="120" w:type="dxa"/>
              <w:bottom w:w="80" w:type="dxa"/>
              <w:end w:w="120" w:type="dxa"/>
            </w:tcMar>
            <w:vAlign w:val="center"/>
          </w:tcPr>
          <w:p>
            <w:pPr>
              <w:jc w:val="left"/>
            </w:pPr>
            <w:r>
              <w:rPr>
                <w:rFonts w:ascii="Calibri" w:hAnsi="Calibri"/>
                <w:b w:val="0"/>
                <w:color w:val="1F2937"/>
                <w:sz w:val="18"/>
              </w:rPr>
              <w:t>O-05 · Identidad provisional Caranavi</w:t>
            </w:r>
          </w:p>
        </w:tc>
        <w:tc>
          <w:tcPr>
            <w:tcW w:type="dxa" w:w="5410"/>
            <w:tcMar>
              <w:top w:w="80" w:type="dxa"/>
              <w:start w:w="120" w:type="dxa"/>
              <w:bottom w:w="80" w:type="dxa"/>
              <w:end w:w="120" w:type="dxa"/>
            </w:tcMar>
            <w:vAlign w:val="center"/>
          </w:tcPr>
          <w:p>
            <w:pPr>
              <w:jc w:val="left"/>
            </w:pPr>
            <w:r>
              <w:rPr>
                <w:rFonts w:ascii="Calibri" w:hAnsi="Calibri"/>
                <w:b w:val="0"/>
                <w:color w:val="1F2937"/>
                <w:sz w:val="18"/>
              </w:rPr>
              <w:t>cod_pred sin cod_uv/cod_man no identifica; mantener staging y trazabilidad hasta decisión con el GAM.</w:t>
            </w:r>
          </w:p>
        </w:tc>
        <w:tc>
          <w:tcPr>
            <w:tcW w:type="dxa" w:w="1500"/>
            <w:tcMar>
              <w:top w:w="80" w:type="dxa"/>
              <w:start w:w="120" w:type="dxa"/>
              <w:bottom w:w="80" w:type="dxa"/>
              <w:end w:w="120" w:type="dxa"/>
            </w:tcMar>
            <w:vAlign w:val="center"/>
          </w:tcPr>
          <w:p>
            <w:pPr>
              <w:jc w:val="center"/>
            </w:pPr>
            <w:r>
              <w:rPr>
                <w:rFonts w:ascii="Calibri" w:hAnsi="Calibri"/>
                <w:b/>
                <w:color w:val="9B1C1C"/>
                <w:sz w:val="18"/>
              </w:rPr>
              <w:t>Crítica</w:t>
            </w:r>
          </w:p>
        </w:tc>
      </w:tr>
      <w:tr>
        <w:trPr>
          <w:cantSplit w:val="true"/>
        </w:trPr>
        <w:tc>
          <w:tcPr>
            <w:tcW w:type="dxa" w:w="2450"/>
            <w:shd w:fill="FAFBFC"/>
            <w:tcMar>
              <w:top w:w="80" w:type="dxa"/>
              <w:start w:w="120" w:type="dxa"/>
              <w:bottom w:w="80" w:type="dxa"/>
              <w:end w:w="120" w:type="dxa"/>
            </w:tcMar>
            <w:vAlign w:val="center"/>
          </w:tcPr>
          <w:p>
            <w:pPr>
              <w:jc w:val="left"/>
            </w:pPr>
            <w:r>
              <w:rPr>
                <w:rFonts w:ascii="Calibri" w:hAnsi="Calibri"/>
                <w:b w:val="0"/>
                <w:color w:val="1F2937"/>
                <w:sz w:val="18"/>
              </w:rPr>
              <w:t>O-06 · ADR 0045 no consolidado</w:t>
            </w:r>
          </w:p>
        </w:tc>
        <w:tc>
          <w:tcPr>
            <w:tcW w:type="dxa" w:w="5410"/>
            <w:shd w:fill="FAFBFC"/>
            <w:tcMar>
              <w:top w:w="80" w:type="dxa"/>
              <w:start w:w="120" w:type="dxa"/>
              <w:bottom w:w="80" w:type="dxa"/>
              <w:end w:w="120" w:type="dxa"/>
            </w:tcMar>
            <w:vAlign w:val="center"/>
          </w:tcPr>
          <w:p>
            <w:pPr>
              <w:jc w:val="left"/>
            </w:pPr>
            <w:r>
              <w:rPr>
                <w:rFonts w:ascii="Calibri" w:hAnsi="Calibri"/>
                <w:b w:val="0"/>
                <w:color w:val="1F2937"/>
                <w:sz w:val="18"/>
              </w:rPr>
              <w:t>Sigue Propuesta, reconstruido y con decisiones numeradas por verificar; dividir y ratificar antes del motor.</w:t>
            </w:r>
          </w:p>
        </w:tc>
        <w:tc>
          <w:tcPr>
            <w:tcW w:type="dxa" w:w="1500"/>
            <w:shd w:fill="FAFBFC"/>
            <w:tcMar>
              <w:top w:w="80" w:type="dxa"/>
              <w:start w:w="120" w:type="dxa"/>
              <w:bottom w:w="80" w:type="dxa"/>
              <w:end w:w="120" w:type="dxa"/>
            </w:tcMar>
            <w:vAlign w:val="center"/>
          </w:tcPr>
          <w:p>
            <w:pPr>
              <w:jc w:val="center"/>
            </w:pPr>
            <w:r>
              <w:rPr>
                <w:rFonts w:ascii="Calibri" w:hAnsi="Calibri"/>
                <w:b/>
                <w:color w:val="1F2937"/>
                <w:sz w:val="18"/>
              </w:rPr>
              <w:t>Alta</w:t>
            </w:r>
          </w:p>
        </w:tc>
      </w:tr>
      <w:tr>
        <w:trPr>
          <w:cantSplit w:val="true"/>
        </w:trPr>
        <w:tc>
          <w:tcPr>
            <w:tcW w:type="dxa" w:w="2450"/>
            <w:tcMar>
              <w:top w:w="80" w:type="dxa"/>
              <w:start w:w="120" w:type="dxa"/>
              <w:bottom w:w="80" w:type="dxa"/>
              <w:end w:w="120" w:type="dxa"/>
            </w:tcMar>
            <w:vAlign w:val="center"/>
          </w:tcPr>
          <w:p>
            <w:pPr>
              <w:jc w:val="left"/>
            </w:pPr>
            <w:r>
              <w:rPr>
                <w:rFonts w:ascii="Calibri" w:hAnsi="Calibri"/>
                <w:b w:val="0"/>
                <w:color w:val="1F2937"/>
                <w:sz w:val="18"/>
              </w:rPr>
              <w:t>O-07 · Integración no exigida en CI</w:t>
            </w:r>
          </w:p>
        </w:tc>
        <w:tc>
          <w:tcPr>
            <w:tcW w:type="dxa" w:w="5410"/>
            <w:tcMar>
              <w:top w:w="80" w:type="dxa"/>
              <w:start w:w="120" w:type="dxa"/>
              <w:bottom w:w="80" w:type="dxa"/>
              <w:end w:w="120" w:type="dxa"/>
            </w:tcMar>
            <w:vAlign w:val="center"/>
          </w:tcPr>
          <w:p>
            <w:pPr>
              <w:jc w:val="left"/>
            </w:pPr>
            <w:r>
              <w:rPr>
                <w:rFonts w:ascii="Calibri" w:hAnsi="Calibri"/>
                <w:b w:val="0"/>
                <w:color w:val="1F2937"/>
                <w:sz w:val="18"/>
              </w:rPr>
              <w:t>Los 63 tests PostGIS pasan localmente, pero el plan registra que CI no los ejecuta.</w:t>
            </w:r>
          </w:p>
        </w:tc>
        <w:tc>
          <w:tcPr>
            <w:tcW w:type="dxa" w:w="1500"/>
            <w:tcMar>
              <w:top w:w="80" w:type="dxa"/>
              <w:start w:w="120" w:type="dxa"/>
              <w:bottom w:w="80" w:type="dxa"/>
              <w:end w:w="120" w:type="dxa"/>
            </w:tcMar>
            <w:vAlign w:val="center"/>
          </w:tcPr>
          <w:p>
            <w:pPr>
              <w:jc w:val="center"/>
            </w:pPr>
            <w:r>
              <w:rPr>
                <w:rFonts w:ascii="Calibri" w:hAnsi="Calibri"/>
                <w:b/>
                <w:color w:val="1F2937"/>
                <w:sz w:val="18"/>
              </w:rPr>
              <w:t>Alta</w:t>
            </w:r>
          </w:p>
        </w:tc>
      </w:tr>
      <w:tr>
        <w:trPr>
          <w:cantSplit w:val="true"/>
        </w:trPr>
        <w:tc>
          <w:tcPr>
            <w:tcW w:type="dxa" w:w="2450"/>
            <w:shd w:fill="FAFBFC"/>
            <w:tcMar>
              <w:top w:w="80" w:type="dxa"/>
              <w:start w:w="120" w:type="dxa"/>
              <w:bottom w:w="80" w:type="dxa"/>
              <w:end w:w="120" w:type="dxa"/>
            </w:tcMar>
            <w:vAlign w:val="center"/>
          </w:tcPr>
          <w:p>
            <w:pPr>
              <w:jc w:val="left"/>
            </w:pPr>
            <w:r>
              <w:rPr>
                <w:rFonts w:ascii="Calibri" w:hAnsi="Calibri"/>
                <w:b w:val="0"/>
                <w:color w:val="1F2937"/>
                <w:sz w:val="18"/>
              </w:rPr>
              <w:t>O-08 · Build interferido por API local</w:t>
            </w:r>
          </w:p>
        </w:tc>
        <w:tc>
          <w:tcPr>
            <w:tcW w:type="dxa" w:w="5410"/>
            <w:shd w:fill="FAFBFC"/>
            <w:tcMar>
              <w:top w:w="80" w:type="dxa"/>
              <w:start w:w="120" w:type="dxa"/>
              <w:bottom w:w="80" w:type="dxa"/>
              <w:end w:w="120" w:type="dxa"/>
            </w:tcMar>
            <w:vAlign w:val="center"/>
          </w:tcPr>
          <w:p>
            <w:pPr>
              <w:jc w:val="left"/>
            </w:pPr>
            <w:r>
              <w:rPr>
                <w:rFonts w:ascii="Calibri" w:hAnsi="Calibri"/>
                <w:b w:val="0"/>
                <w:color w:val="1F2937"/>
                <w:sz w:val="18"/>
              </w:rPr>
              <w:t>Formalizar un gate que detecte/prohíba binarios bloqueados o use directorios de salida aislados.</w:t>
            </w:r>
          </w:p>
        </w:tc>
        <w:tc>
          <w:tcPr>
            <w:tcW w:type="dxa" w:w="1500"/>
            <w:shd w:fill="FAFBFC"/>
            <w:tcMar>
              <w:top w:w="80" w:type="dxa"/>
              <w:start w:w="120" w:type="dxa"/>
              <w:bottom w:w="80" w:type="dxa"/>
              <w:end w:w="120" w:type="dxa"/>
            </w:tcMar>
            <w:vAlign w:val="center"/>
          </w:tcPr>
          <w:p>
            <w:pPr>
              <w:jc w:val="center"/>
            </w:pPr>
            <w:r>
              <w:rPr>
                <w:rFonts w:ascii="Calibri" w:hAnsi="Calibri"/>
                <w:b/>
                <w:color w:val="1F2937"/>
                <w:sz w:val="18"/>
              </w:rPr>
              <w:t>Media</w:t>
            </w:r>
          </w:p>
        </w:tc>
      </w:tr>
      <w:tr>
        <w:trPr>
          <w:cantSplit w:val="true"/>
        </w:trPr>
        <w:tc>
          <w:tcPr>
            <w:tcW w:type="dxa" w:w="2450"/>
            <w:tcMar>
              <w:top w:w="80" w:type="dxa"/>
              <w:start w:w="120" w:type="dxa"/>
              <w:bottom w:w="80" w:type="dxa"/>
              <w:end w:w="120" w:type="dxa"/>
            </w:tcMar>
            <w:vAlign w:val="center"/>
          </w:tcPr>
          <w:p>
            <w:pPr>
              <w:jc w:val="left"/>
            </w:pPr>
            <w:r>
              <w:rPr>
                <w:rFonts w:ascii="Calibri" w:hAnsi="Calibri"/>
                <w:b w:val="0"/>
                <w:color w:val="1F2937"/>
                <w:sz w:val="18"/>
              </w:rPr>
              <w:t>O-09 · SG.Web.E2E fuera de suite</w:t>
            </w:r>
          </w:p>
        </w:tc>
        <w:tc>
          <w:tcPr>
            <w:tcW w:type="dxa" w:w="5410"/>
            <w:tcMar>
              <w:top w:w="80" w:type="dxa"/>
              <w:start w:w="120" w:type="dxa"/>
              <w:bottom w:w="80" w:type="dxa"/>
              <w:end w:w="120" w:type="dxa"/>
            </w:tcMar>
            <w:vAlign w:val="center"/>
          </w:tcPr>
          <w:p>
            <w:pPr>
              <w:jc w:val="left"/>
            </w:pPr>
            <w:r>
              <w:rPr>
                <w:rFonts w:ascii="Calibri" w:hAnsi="Calibri"/>
                <w:b w:val="0"/>
                <w:color w:val="1F2937"/>
                <w:sz w:val="18"/>
              </w:rPr>
              <w:t>Mantenerlo independiente es válido, pero cada release de visor debe aportar evidencia E2E y revisión visual.</w:t>
            </w:r>
          </w:p>
        </w:tc>
        <w:tc>
          <w:tcPr>
            <w:tcW w:type="dxa" w:w="1500"/>
            <w:tcMar>
              <w:top w:w="80" w:type="dxa"/>
              <w:start w:w="120" w:type="dxa"/>
              <w:bottom w:w="80" w:type="dxa"/>
              <w:end w:w="120" w:type="dxa"/>
            </w:tcMar>
            <w:vAlign w:val="center"/>
          </w:tcPr>
          <w:p>
            <w:pPr>
              <w:jc w:val="center"/>
            </w:pPr>
            <w:r>
              <w:rPr>
                <w:rFonts w:ascii="Calibri" w:hAnsi="Calibri"/>
                <w:b/>
                <w:color w:val="1F2937"/>
                <w:sz w:val="18"/>
              </w:rPr>
              <w:t>Alta</w:t>
            </w:r>
          </w:p>
        </w:tc>
      </w:tr>
      <w:tr>
        <w:trPr>
          <w:cantSplit w:val="true"/>
        </w:trPr>
        <w:tc>
          <w:tcPr>
            <w:tcW w:type="dxa" w:w="2450"/>
            <w:shd w:fill="FAFBFC"/>
            <w:tcMar>
              <w:top w:w="80" w:type="dxa"/>
              <w:start w:w="120" w:type="dxa"/>
              <w:bottom w:w="80" w:type="dxa"/>
              <w:end w:w="120" w:type="dxa"/>
            </w:tcMar>
            <w:vAlign w:val="center"/>
          </w:tcPr>
          <w:p>
            <w:pPr>
              <w:jc w:val="left"/>
            </w:pPr>
            <w:r>
              <w:rPr>
                <w:rFonts w:ascii="Calibri" w:hAnsi="Calibri"/>
                <w:b w:val="0"/>
                <w:color w:val="1F2937"/>
                <w:sz w:val="18"/>
              </w:rPr>
              <w:t>O-10 · Seeder solo aditivo</w:t>
            </w:r>
          </w:p>
        </w:tc>
        <w:tc>
          <w:tcPr>
            <w:tcW w:type="dxa" w:w="5410"/>
            <w:shd w:fill="FAFBFC"/>
            <w:tcMar>
              <w:top w:w="80" w:type="dxa"/>
              <w:start w:w="120" w:type="dxa"/>
              <w:bottom w:w="80" w:type="dxa"/>
              <w:end w:w="120" w:type="dxa"/>
            </w:tcMar>
            <w:vAlign w:val="center"/>
          </w:tcPr>
          <w:p>
            <w:pPr>
              <w:jc w:val="left"/>
            </w:pPr>
            <w:r>
              <w:rPr>
                <w:rFonts w:ascii="Calibri" w:hAnsi="Calibri"/>
                <w:b w:val="0"/>
                <w:color w:val="1F2937"/>
                <w:sz w:val="18"/>
              </w:rPr>
              <w:t>No reconcilia configuraciones divergentes; crear verificación fail-closed o migración de configuración.</w:t>
            </w:r>
          </w:p>
        </w:tc>
        <w:tc>
          <w:tcPr>
            <w:tcW w:type="dxa" w:w="1500"/>
            <w:shd w:fill="FAFBFC"/>
            <w:tcMar>
              <w:top w:w="80" w:type="dxa"/>
              <w:start w:w="120" w:type="dxa"/>
              <w:bottom w:w="80" w:type="dxa"/>
              <w:end w:w="120" w:type="dxa"/>
            </w:tcMar>
            <w:vAlign w:val="center"/>
          </w:tcPr>
          <w:p>
            <w:pPr>
              <w:jc w:val="center"/>
            </w:pPr>
            <w:r>
              <w:rPr>
                <w:rFonts w:ascii="Calibri" w:hAnsi="Calibri"/>
                <w:b/>
                <w:color w:val="1F2937"/>
                <w:sz w:val="18"/>
              </w:rPr>
              <w:t>Media</w:t>
            </w:r>
          </w:p>
        </w:tc>
      </w:tr>
      <w:tr>
        <w:trPr>
          <w:cantSplit w:val="true"/>
        </w:trPr>
        <w:tc>
          <w:tcPr>
            <w:tcW w:type="dxa" w:w="2450"/>
            <w:tcMar>
              <w:top w:w="80" w:type="dxa"/>
              <w:start w:w="120" w:type="dxa"/>
              <w:bottom w:w="80" w:type="dxa"/>
              <w:end w:w="120" w:type="dxa"/>
            </w:tcMar>
            <w:vAlign w:val="center"/>
          </w:tcPr>
          <w:p>
            <w:pPr>
              <w:jc w:val="left"/>
            </w:pPr>
            <w:r>
              <w:rPr>
                <w:rFonts w:ascii="Calibri" w:hAnsi="Calibri"/>
                <w:b w:val="0"/>
                <w:color w:val="1F2937"/>
                <w:sz w:val="18"/>
              </w:rPr>
              <w:t>O-11 · Encoding DBF</w:t>
            </w:r>
          </w:p>
        </w:tc>
        <w:tc>
          <w:tcPr>
            <w:tcW w:type="dxa" w:w="5410"/>
            <w:tcMar>
              <w:top w:w="80" w:type="dxa"/>
              <w:start w:w="120" w:type="dxa"/>
              <w:bottom w:w="80" w:type="dxa"/>
              <w:end w:w="120" w:type="dxa"/>
            </w:tcMar>
            <w:vAlign w:val="center"/>
          </w:tcPr>
          <w:p>
            <w:pPr>
              <w:jc w:val="left"/>
            </w:pPr>
            <w:r>
              <w:rPr>
                <w:rFonts w:ascii="Calibri" w:hAnsi="Calibri"/>
                <w:b w:val="0"/>
                <w:color w:val="1F2937"/>
                <w:sz w:val="18"/>
              </w:rPr>
              <w:t>Cerrar DT-LECTOR-2 antes de incorporar fuentes de nuevas codepages.</w:t>
            </w:r>
          </w:p>
        </w:tc>
        <w:tc>
          <w:tcPr>
            <w:tcW w:type="dxa" w:w="1500"/>
            <w:tcMar>
              <w:top w:w="80" w:type="dxa"/>
              <w:start w:w="120" w:type="dxa"/>
              <w:bottom w:w="80" w:type="dxa"/>
              <w:end w:w="120" w:type="dxa"/>
            </w:tcMar>
            <w:vAlign w:val="center"/>
          </w:tcPr>
          <w:p>
            <w:pPr>
              <w:jc w:val="center"/>
            </w:pPr>
            <w:r>
              <w:rPr>
                <w:rFonts w:ascii="Calibri" w:hAnsi="Calibri"/>
                <w:b/>
                <w:color w:val="1F2937"/>
                <w:sz w:val="18"/>
              </w:rPr>
              <w:t>Media</w:t>
            </w:r>
          </w:p>
        </w:tc>
      </w:tr>
      <w:tr>
        <w:trPr>
          <w:cantSplit w:val="true"/>
        </w:trPr>
        <w:tc>
          <w:tcPr>
            <w:tcW w:type="dxa" w:w="2450"/>
            <w:shd w:fill="FAFBFC"/>
            <w:tcMar>
              <w:top w:w="80" w:type="dxa"/>
              <w:start w:w="120" w:type="dxa"/>
              <w:bottom w:w="80" w:type="dxa"/>
              <w:end w:w="120" w:type="dxa"/>
            </w:tcMar>
            <w:vAlign w:val="center"/>
          </w:tcPr>
          <w:p>
            <w:pPr>
              <w:jc w:val="left"/>
            </w:pPr>
            <w:r>
              <w:rPr>
                <w:rFonts w:ascii="Calibri" w:hAnsi="Calibri"/>
                <w:b w:val="0"/>
                <w:color w:val="1F2937"/>
                <w:sz w:val="18"/>
              </w:rPr>
              <w:t>O-12 · Ciclo de artefactos MinIO</w:t>
            </w:r>
          </w:p>
        </w:tc>
        <w:tc>
          <w:tcPr>
            <w:tcW w:type="dxa" w:w="5410"/>
            <w:shd w:fill="FAFBFC"/>
            <w:tcMar>
              <w:top w:w="80" w:type="dxa"/>
              <w:start w:w="120" w:type="dxa"/>
              <w:bottom w:w="80" w:type="dxa"/>
              <w:end w:w="120" w:type="dxa"/>
            </w:tcMar>
            <w:vAlign w:val="center"/>
          </w:tcPr>
          <w:p>
            <w:pPr>
              <w:jc w:val="left"/>
            </w:pPr>
            <w:r>
              <w:rPr>
                <w:rFonts w:ascii="Calibri" w:hAnsi="Calibri"/>
                <w:b w:val="0"/>
                <w:color w:val="1F2937"/>
                <w:sz w:val="18"/>
              </w:rPr>
              <w:t>Implementar retención/limpieza de paquetes fallidos y previews huérfanos con auditoría.</w:t>
            </w:r>
          </w:p>
        </w:tc>
        <w:tc>
          <w:tcPr>
            <w:tcW w:type="dxa" w:w="1500"/>
            <w:shd w:fill="FAFBFC"/>
            <w:tcMar>
              <w:top w:w="80" w:type="dxa"/>
              <w:start w:w="120" w:type="dxa"/>
              <w:bottom w:w="80" w:type="dxa"/>
              <w:end w:w="120" w:type="dxa"/>
            </w:tcMar>
            <w:vAlign w:val="center"/>
          </w:tcPr>
          <w:p>
            <w:pPr>
              <w:jc w:val="center"/>
            </w:pPr>
            <w:r>
              <w:rPr>
                <w:rFonts w:ascii="Calibri" w:hAnsi="Calibri"/>
                <w:b/>
                <w:color w:val="1F2937"/>
                <w:sz w:val="18"/>
              </w:rPr>
              <w:t>Media</w:t>
            </w:r>
          </w:p>
        </w:tc>
      </w:tr>
      <w:tr>
        <w:trPr>
          <w:cantSplit w:val="true"/>
        </w:trPr>
        <w:tc>
          <w:tcPr>
            <w:tcW w:type="dxa" w:w="2450"/>
            <w:tcMar>
              <w:top w:w="80" w:type="dxa"/>
              <w:start w:w="120" w:type="dxa"/>
              <w:bottom w:w="80" w:type="dxa"/>
              <w:end w:w="120" w:type="dxa"/>
            </w:tcMar>
            <w:vAlign w:val="center"/>
          </w:tcPr>
          <w:p>
            <w:pPr>
              <w:jc w:val="left"/>
            </w:pPr>
            <w:r>
              <w:rPr>
                <w:rFonts w:ascii="Calibri" w:hAnsi="Calibri"/>
                <w:b w:val="0"/>
                <w:color w:val="1F2937"/>
                <w:sz w:val="18"/>
              </w:rPr>
              <w:t>O-13 · Linaje por capa</w:t>
            </w:r>
          </w:p>
        </w:tc>
        <w:tc>
          <w:tcPr>
            <w:tcW w:type="dxa" w:w="5410"/>
            <w:tcMar>
              <w:top w:w="80" w:type="dxa"/>
              <w:start w:w="120" w:type="dxa"/>
              <w:bottom w:w="80" w:type="dxa"/>
              <w:end w:w="120" w:type="dxa"/>
            </w:tcMar>
            <w:vAlign w:val="center"/>
          </w:tcPr>
          <w:p>
            <w:pPr>
              <w:jc w:val="left"/>
            </w:pPr>
            <w:r>
              <w:rPr>
                <w:rFonts w:ascii="Calibri" w:hAnsi="Calibri"/>
                <w:b w:val="0"/>
                <w:color w:val="1F2937"/>
                <w:sz w:val="18"/>
              </w:rPr>
              <w:t>Una DatasetVersion compuesta debe registrar de qué versión/paquete provino cada capa.</w:t>
            </w:r>
          </w:p>
        </w:tc>
        <w:tc>
          <w:tcPr>
            <w:tcW w:type="dxa" w:w="1500"/>
            <w:tcMar>
              <w:top w:w="80" w:type="dxa"/>
              <w:start w:w="120" w:type="dxa"/>
              <w:bottom w:w="80" w:type="dxa"/>
              <w:end w:w="120" w:type="dxa"/>
            </w:tcMar>
            <w:vAlign w:val="center"/>
          </w:tcPr>
          <w:p>
            <w:pPr>
              <w:jc w:val="center"/>
            </w:pPr>
            <w:r>
              <w:rPr>
                <w:rFonts w:ascii="Calibri" w:hAnsi="Calibri"/>
                <w:b/>
                <w:color w:val="1F2937"/>
                <w:sz w:val="18"/>
              </w:rPr>
              <w:t>Alta</w:t>
            </w:r>
          </w:p>
        </w:tc>
      </w:tr>
      <w:tr>
        <w:trPr>
          <w:cantSplit w:val="true"/>
        </w:trPr>
        <w:tc>
          <w:tcPr>
            <w:tcW w:type="dxa" w:w="2450"/>
            <w:shd w:fill="FAFBFC"/>
            <w:tcMar>
              <w:top w:w="80" w:type="dxa"/>
              <w:start w:w="120" w:type="dxa"/>
              <w:bottom w:w="80" w:type="dxa"/>
              <w:end w:w="120" w:type="dxa"/>
            </w:tcMar>
            <w:vAlign w:val="center"/>
          </w:tcPr>
          <w:p>
            <w:pPr>
              <w:jc w:val="left"/>
            </w:pPr>
            <w:r>
              <w:rPr>
                <w:rFonts w:ascii="Calibri" w:hAnsi="Calibri"/>
                <w:b w:val="0"/>
                <w:color w:val="1F2937"/>
                <w:sz w:val="18"/>
              </w:rPr>
              <w:t>O-14 · Calidad medible</w:t>
            </w:r>
          </w:p>
        </w:tc>
        <w:tc>
          <w:tcPr>
            <w:tcW w:type="dxa" w:w="5410"/>
            <w:shd w:fill="FAFBFC"/>
            <w:tcMar>
              <w:top w:w="80" w:type="dxa"/>
              <w:start w:w="120" w:type="dxa"/>
              <w:bottom w:w="80" w:type="dxa"/>
              <w:end w:w="120" w:type="dxa"/>
            </w:tcMar>
            <w:vAlign w:val="center"/>
          </w:tcPr>
          <w:p>
            <w:pPr>
              <w:jc w:val="left"/>
            </w:pPr>
            <w:r>
              <w:rPr>
                <w:rFonts w:ascii="Calibri" w:hAnsi="Calibri"/>
                <w:b w:val="0"/>
                <w:color w:val="1F2937"/>
                <w:sz w:val="18"/>
              </w:rPr>
              <w:t>Definir indicadores por municipio: completitud, validez, unicidad, cobertura, actualidad y precisión.</w:t>
            </w:r>
          </w:p>
        </w:tc>
        <w:tc>
          <w:tcPr>
            <w:tcW w:type="dxa" w:w="1500"/>
            <w:shd w:fill="FAFBFC"/>
            <w:tcMar>
              <w:top w:w="80" w:type="dxa"/>
              <w:start w:w="120" w:type="dxa"/>
              <w:bottom w:w="80" w:type="dxa"/>
              <w:end w:w="120" w:type="dxa"/>
            </w:tcMar>
            <w:vAlign w:val="center"/>
          </w:tcPr>
          <w:p>
            <w:pPr>
              <w:jc w:val="center"/>
            </w:pPr>
            <w:r>
              <w:rPr>
                <w:rFonts w:ascii="Calibri" w:hAnsi="Calibri"/>
                <w:b/>
                <w:color w:val="1F2937"/>
                <w:sz w:val="18"/>
              </w:rPr>
              <w:t>Alta</w:t>
            </w:r>
          </w:p>
        </w:tc>
      </w:tr>
      <w:tr>
        <w:trPr>
          <w:cantSplit w:val="true"/>
        </w:trPr>
        <w:tc>
          <w:tcPr>
            <w:tcW w:type="dxa" w:w="2450"/>
            <w:tcMar>
              <w:top w:w="80" w:type="dxa"/>
              <w:start w:w="120" w:type="dxa"/>
              <w:bottom w:w="80" w:type="dxa"/>
              <w:end w:w="120" w:type="dxa"/>
            </w:tcMar>
            <w:vAlign w:val="center"/>
          </w:tcPr>
          <w:p>
            <w:pPr>
              <w:jc w:val="left"/>
            </w:pPr>
            <w:r>
              <w:rPr>
                <w:rFonts w:ascii="Calibri" w:hAnsi="Calibri"/>
                <w:b w:val="0"/>
                <w:color w:val="1F2937"/>
                <w:sz w:val="18"/>
              </w:rPr>
              <w:t>O-15 · Privacidad</w:t>
            </w:r>
          </w:p>
        </w:tc>
        <w:tc>
          <w:tcPr>
            <w:tcW w:type="dxa" w:w="5410"/>
            <w:tcMar>
              <w:top w:w="80" w:type="dxa"/>
              <w:start w:w="120" w:type="dxa"/>
              <w:bottom w:w="80" w:type="dxa"/>
              <w:end w:w="120" w:type="dxa"/>
            </w:tcMar>
            <w:vAlign w:val="center"/>
          </w:tcPr>
          <w:p>
            <w:pPr>
              <w:jc w:val="left"/>
            </w:pPr>
            <w:r>
              <w:rPr>
                <w:rFonts w:ascii="Calibri" w:hAnsi="Calibri"/>
                <w:b w:val="0"/>
                <w:color w:val="1F2937"/>
                <w:sz w:val="18"/>
              </w:rPr>
              <w:t>Aprobar DP-04 y una clasificación de datos antes de portal, QR o reportes públicos.</w:t>
            </w:r>
          </w:p>
        </w:tc>
        <w:tc>
          <w:tcPr>
            <w:tcW w:type="dxa" w:w="1500"/>
            <w:tcMar>
              <w:top w:w="80" w:type="dxa"/>
              <w:start w:w="120" w:type="dxa"/>
              <w:bottom w:w="80" w:type="dxa"/>
              <w:end w:w="120" w:type="dxa"/>
            </w:tcMar>
            <w:vAlign w:val="center"/>
          </w:tcPr>
          <w:p>
            <w:pPr>
              <w:jc w:val="center"/>
            </w:pPr>
            <w:r>
              <w:rPr>
                <w:rFonts w:ascii="Calibri" w:hAnsi="Calibri"/>
                <w:b/>
                <w:color w:val="9B1C1C"/>
                <w:sz w:val="18"/>
              </w:rPr>
              <w:t>Crítica</w:t>
            </w:r>
          </w:p>
        </w:tc>
      </w:tr>
      <w:tr>
        <w:trPr>
          <w:cantSplit w:val="true"/>
        </w:trPr>
        <w:tc>
          <w:tcPr>
            <w:tcW w:type="dxa" w:w="2450"/>
            <w:shd w:fill="FAFBFC"/>
            <w:tcMar>
              <w:top w:w="80" w:type="dxa"/>
              <w:start w:w="120" w:type="dxa"/>
              <w:bottom w:w="80" w:type="dxa"/>
              <w:end w:w="120" w:type="dxa"/>
            </w:tcMar>
            <w:vAlign w:val="center"/>
          </w:tcPr>
          <w:p>
            <w:pPr>
              <w:jc w:val="left"/>
            </w:pPr>
            <w:r>
              <w:rPr>
                <w:rFonts w:ascii="Calibri" w:hAnsi="Calibri"/>
                <w:b w:val="0"/>
                <w:color w:val="1F2937"/>
                <w:sz w:val="18"/>
              </w:rPr>
              <w:t>O-16 · Catálogos oficiales</w:t>
            </w:r>
          </w:p>
        </w:tc>
        <w:tc>
          <w:tcPr>
            <w:tcW w:type="dxa" w:w="5410"/>
            <w:shd w:fill="FAFBFC"/>
            <w:tcMar>
              <w:top w:w="80" w:type="dxa"/>
              <w:start w:w="120" w:type="dxa"/>
              <w:bottom w:w="80" w:type="dxa"/>
              <w:end w:w="120" w:type="dxa"/>
            </w:tcMar>
            <w:vAlign w:val="center"/>
          </w:tcPr>
          <w:p>
            <w:pPr>
              <w:jc w:val="left"/>
            </w:pPr>
            <w:r>
              <w:rPr>
                <w:rFonts w:ascii="Calibri" w:hAnsi="Calibri"/>
                <w:b w:val="0"/>
                <w:color w:val="1F2937"/>
                <w:sz w:val="18"/>
              </w:rPr>
              <w:t>Separar claramente provisional, municipal aprobado y nacional; versionar vigencia y fuente.</w:t>
            </w:r>
          </w:p>
        </w:tc>
        <w:tc>
          <w:tcPr>
            <w:tcW w:type="dxa" w:w="1500"/>
            <w:shd w:fill="FAFBFC"/>
            <w:tcMar>
              <w:top w:w="80" w:type="dxa"/>
              <w:start w:w="120" w:type="dxa"/>
              <w:bottom w:w="80" w:type="dxa"/>
              <w:end w:w="120" w:type="dxa"/>
            </w:tcMar>
            <w:vAlign w:val="center"/>
          </w:tcPr>
          <w:p>
            <w:pPr>
              <w:jc w:val="center"/>
            </w:pPr>
            <w:r>
              <w:rPr>
                <w:rFonts w:ascii="Calibri" w:hAnsi="Calibri"/>
                <w:b/>
                <w:color w:val="1F2937"/>
                <w:sz w:val="18"/>
              </w:rPr>
              <w:t>Alta</w:t>
            </w:r>
          </w:p>
        </w:tc>
      </w:tr>
      <w:tr>
        <w:trPr>
          <w:cantSplit w:val="true"/>
        </w:trPr>
        <w:tc>
          <w:tcPr>
            <w:tcW w:type="dxa" w:w="2450"/>
            <w:tcMar>
              <w:top w:w="80" w:type="dxa"/>
              <w:start w:w="120" w:type="dxa"/>
              <w:bottom w:w="80" w:type="dxa"/>
              <w:end w:w="120" w:type="dxa"/>
            </w:tcMar>
            <w:vAlign w:val="center"/>
          </w:tcPr>
          <w:p>
            <w:pPr>
              <w:jc w:val="left"/>
            </w:pPr>
            <w:r>
              <w:rPr>
                <w:rFonts w:ascii="Calibri" w:hAnsi="Calibri"/>
                <w:b w:val="0"/>
                <w:color w:val="1F2937"/>
                <w:sz w:val="18"/>
              </w:rPr>
              <w:t>O-17 · Respaldo no probado</w:t>
            </w:r>
          </w:p>
        </w:tc>
        <w:tc>
          <w:tcPr>
            <w:tcW w:type="dxa" w:w="5410"/>
            <w:tcMar>
              <w:top w:w="80" w:type="dxa"/>
              <w:start w:w="120" w:type="dxa"/>
              <w:bottom w:w="80" w:type="dxa"/>
              <w:end w:w="120" w:type="dxa"/>
            </w:tcMar>
            <w:vAlign w:val="center"/>
          </w:tcPr>
          <w:p>
            <w:pPr>
              <w:jc w:val="left"/>
            </w:pPr>
            <w:r>
              <w:rPr>
                <w:rFonts w:ascii="Calibri" w:hAnsi="Calibri"/>
                <w:b w:val="0"/>
                <w:color w:val="1F2937"/>
                <w:sz w:val="18"/>
              </w:rPr>
              <w:t>No declarar producción hasta demostrar restore completo de Postgres + MinIO.</w:t>
            </w:r>
          </w:p>
        </w:tc>
        <w:tc>
          <w:tcPr>
            <w:tcW w:type="dxa" w:w="1500"/>
            <w:tcMar>
              <w:top w:w="80" w:type="dxa"/>
              <w:start w:w="120" w:type="dxa"/>
              <w:bottom w:w="80" w:type="dxa"/>
              <w:end w:w="120" w:type="dxa"/>
            </w:tcMar>
            <w:vAlign w:val="center"/>
          </w:tcPr>
          <w:p>
            <w:pPr>
              <w:jc w:val="center"/>
            </w:pPr>
            <w:r>
              <w:rPr>
                <w:rFonts w:ascii="Calibri" w:hAnsi="Calibri"/>
                <w:b/>
                <w:color w:val="9B1C1C"/>
                <w:sz w:val="18"/>
              </w:rPr>
              <w:t>Crítica</w:t>
            </w:r>
          </w:p>
        </w:tc>
      </w:tr>
      <w:tr>
        <w:trPr>
          <w:cantSplit w:val="true"/>
        </w:trPr>
        <w:tc>
          <w:tcPr>
            <w:tcW w:type="dxa" w:w="2450"/>
            <w:shd w:fill="FAFBFC"/>
            <w:tcMar>
              <w:top w:w="80" w:type="dxa"/>
              <w:start w:w="120" w:type="dxa"/>
              <w:bottom w:w="80" w:type="dxa"/>
              <w:end w:w="120" w:type="dxa"/>
            </w:tcMar>
            <w:vAlign w:val="center"/>
          </w:tcPr>
          <w:p>
            <w:pPr>
              <w:jc w:val="left"/>
            </w:pPr>
            <w:r>
              <w:rPr>
                <w:rFonts w:ascii="Calibri" w:hAnsi="Calibri"/>
                <w:b w:val="0"/>
                <w:color w:val="1F2937"/>
                <w:sz w:val="18"/>
              </w:rPr>
              <w:t>O-18 · Observabilidad</w:t>
            </w:r>
          </w:p>
        </w:tc>
        <w:tc>
          <w:tcPr>
            <w:tcW w:type="dxa" w:w="5410"/>
            <w:shd w:fill="FAFBFC"/>
            <w:tcMar>
              <w:top w:w="80" w:type="dxa"/>
              <w:start w:w="120" w:type="dxa"/>
              <w:bottom w:w="80" w:type="dxa"/>
              <w:end w:w="120" w:type="dxa"/>
            </w:tcMar>
            <w:vAlign w:val="center"/>
          </w:tcPr>
          <w:p>
            <w:pPr>
              <w:jc w:val="left"/>
            </w:pPr>
            <w:r>
              <w:rPr>
                <w:rFonts w:ascii="Calibri" w:hAnsi="Calibri"/>
                <w:b w:val="0"/>
                <w:color w:val="1F2937"/>
                <w:sz w:val="18"/>
              </w:rPr>
              <w:t>Añadir métricas, alertas, correlación y tableros operativos por instancia.</w:t>
            </w:r>
          </w:p>
        </w:tc>
        <w:tc>
          <w:tcPr>
            <w:tcW w:type="dxa" w:w="1500"/>
            <w:shd w:fill="FAFBFC"/>
            <w:tcMar>
              <w:top w:w="80" w:type="dxa"/>
              <w:start w:w="120" w:type="dxa"/>
              <w:bottom w:w="80" w:type="dxa"/>
              <w:end w:w="120" w:type="dxa"/>
            </w:tcMar>
            <w:vAlign w:val="center"/>
          </w:tcPr>
          <w:p>
            <w:pPr>
              <w:jc w:val="center"/>
            </w:pPr>
            <w:r>
              <w:rPr>
                <w:rFonts w:ascii="Calibri" w:hAnsi="Calibri"/>
                <w:b/>
                <w:color w:val="1F2937"/>
                <w:sz w:val="18"/>
              </w:rPr>
              <w:t>Alta</w:t>
            </w:r>
          </w:p>
        </w:tc>
      </w:tr>
      <w:tr>
        <w:trPr>
          <w:cantSplit w:val="true"/>
        </w:trPr>
        <w:tc>
          <w:tcPr>
            <w:tcW w:type="dxa" w:w="2450"/>
            <w:tcMar>
              <w:top w:w="80" w:type="dxa"/>
              <w:start w:w="120" w:type="dxa"/>
              <w:bottom w:w="80" w:type="dxa"/>
              <w:end w:w="120" w:type="dxa"/>
            </w:tcMar>
            <w:vAlign w:val="center"/>
          </w:tcPr>
          <w:p>
            <w:pPr>
              <w:jc w:val="left"/>
            </w:pPr>
            <w:r>
              <w:rPr>
                <w:rFonts w:ascii="Calibri" w:hAnsi="Calibri"/>
                <w:b w:val="0"/>
                <w:color w:val="1F2937"/>
                <w:sz w:val="18"/>
              </w:rPr>
              <w:t>O-19 · Seguridad de suministro</w:t>
            </w:r>
          </w:p>
        </w:tc>
        <w:tc>
          <w:tcPr>
            <w:tcW w:type="dxa" w:w="5410"/>
            <w:tcMar>
              <w:top w:w="80" w:type="dxa"/>
              <w:start w:w="120" w:type="dxa"/>
              <w:bottom w:w="80" w:type="dxa"/>
              <w:end w:w="120" w:type="dxa"/>
            </w:tcMar>
            <w:vAlign w:val="center"/>
          </w:tcPr>
          <w:p>
            <w:pPr>
              <w:jc w:val="left"/>
            </w:pPr>
            <w:r>
              <w:rPr>
                <w:rFonts w:ascii="Calibri" w:hAnsi="Calibri"/>
                <w:b w:val="0"/>
                <w:color w:val="1F2937"/>
                <w:sz w:val="18"/>
              </w:rPr>
              <w:t>Automatizar dependencias vulnerables, SBOM, imágenes firmadas y parcheo.</w:t>
            </w:r>
          </w:p>
        </w:tc>
        <w:tc>
          <w:tcPr>
            <w:tcW w:type="dxa" w:w="1500"/>
            <w:tcMar>
              <w:top w:w="80" w:type="dxa"/>
              <w:start w:w="120" w:type="dxa"/>
              <w:bottom w:w="80" w:type="dxa"/>
              <w:end w:w="120" w:type="dxa"/>
            </w:tcMar>
            <w:vAlign w:val="center"/>
          </w:tcPr>
          <w:p>
            <w:pPr>
              <w:jc w:val="center"/>
            </w:pPr>
            <w:r>
              <w:rPr>
                <w:rFonts w:ascii="Calibri" w:hAnsi="Calibri"/>
                <w:b/>
                <w:color w:val="1F2937"/>
                <w:sz w:val="18"/>
              </w:rPr>
              <w:t>Alta</w:t>
            </w:r>
          </w:p>
        </w:tc>
      </w:tr>
      <w:tr>
        <w:trPr>
          <w:cantSplit w:val="true"/>
        </w:trPr>
        <w:tc>
          <w:tcPr>
            <w:tcW w:type="dxa" w:w="2450"/>
            <w:shd w:fill="FAFBFC"/>
            <w:tcMar>
              <w:top w:w="80" w:type="dxa"/>
              <w:start w:w="120" w:type="dxa"/>
              <w:bottom w:w="80" w:type="dxa"/>
              <w:end w:w="120" w:type="dxa"/>
            </w:tcMar>
            <w:vAlign w:val="center"/>
          </w:tcPr>
          <w:p>
            <w:pPr>
              <w:jc w:val="left"/>
            </w:pPr>
            <w:r>
              <w:rPr>
                <w:rFonts w:ascii="Calibri" w:hAnsi="Calibri"/>
                <w:b w:val="0"/>
                <w:color w:val="1F2937"/>
                <w:sz w:val="18"/>
              </w:rPr>
              <w:t>O-20 · Continuidad del mantenedor</w:t>
            </w:r>
          </w:p>
        </w:tc>
        <w:tc>
          <w:tcPr>
            <w:tcW w:type="dxa" w:w="5410"/>
            <w:shd w:fill="FAFBFC"/>
            <w:tcMar>
              <w:top w:w="80" w:type="dxa"/>
              <w:start w:w="120" w:type="dxa"/>
              <w:bottom w:w="80" w:type="dxa"/>
              <w:end w:w="120" w:type="dxa"/>
            </w:tcMar>
            <w:vAlign w:val="center"/>
          </w:tcPr>
          <w:p>
            <w:pPr>
              <w:jc w:val="left"/>
            </w:pPr>
            <w:r>
              <w:rPr>
                <w:rFonts w:ascii="Calibri" w:hAnsi="Calibri"/>
                <w:b w:val="0"/>
                <w:color w:val="1F2937"/>
                <w:sz w:val="18"/>
              </w:rPr>
              <w:t>Manual de arquitectura, runbooks, onboarding y soporte deben reducir dependencia de una persona.</w:t>
            </w:r>
          </w:p>
        </w:tc>
        <w:tc>
          <w:tcPr>
            <w:tcW w:type="dxa" w:w="1500"/>
            <w:shd w:fill="FAFBFC"/>
            <w:tcMar>
              <w:top w:w="80" w:type="dxa"/>
              <w:start w:w="120" w:type="dxa"/>
              <w:bottom w:w="80" w:type="dxa"/>
              <w:end w:w="120" w:type="dxa"/>
            </w:tcMar>
            <w:vAlign w:val="center"/>
          </w:tcPr>
          <w:p>
            <w:pPr>
              <w:jc w:val="center"/>
            </w:pPr>
            <w:r>
              <w:rPr>
                <w:rFonts w:ascii="Calibri" w:hAnsi="Calibri"/>
                <w:b/>
                <w:color w:val="1F2937"/>
                <w:sz w:val="18"/>
              </w:rPr>
              <w:t>Alta</w:t>
            </w:r>
          </w:p>
        </w:tc>
      </w:tr>
      <w:tr>
        <w:trPr>
          <w:cantSplit w:val="true"/>
        </w:trPr>
        <w:tc>
          <w:tcPr>
            <w:tcW w:type="dxa" w:w="2450"/>
            <w:tcMar>
              <w:top w:w="80" w:type="dxa"/>
              <w:start w:w="120" w:type="dxa"/>
              <w:bottom w:w="80" w:type="dxa"/>
              <w:end w:w="120" w:type="dxa"/>
            </w:tcMar>
            <w:vAlign w:val="center"/>
          </w:tcPr>
          <w:p>
            <w:pPr>
              <w:jc w:val="left"/>
            </w:pPr>
            <w:r>
              <w:rPr>
                <w:rFonts w:ascii="Calibri" w:hAnsi="Calibri"/>
                <w:b w:val="0"/>
                <w:color w:val="1F2937"/>
                <w:sz w:val="18"/>
              </w:rPr>
              <w:t>O-21 · Accesibilidad y conectividad</w:t>
            </w:r>
          </w:p>
        </w:tc>
        <w:tc>
          <w:tcPr>
            <w:tcW w:type="dxa" w:w="5410"/>
            <w:tcMar>
              <w:top w:w="80" w:type="dxa"/>
              <w:start w:w="120" w:type="dxa"/>
              <w:bottom w:w="80" w:type="dxa"/>
              <w:end w:w="120" w:type="dxa"/>
            </w:tcMar>
            <w:vAlign w:val="center"/>
          </w:tcPr>
          <w:p>
            <w:pPr>
              <w:jc w:val="left"/>
            </w:pPr>
            <w:r>
              <w:rPr>
                <w:rFonts w:ascii="Calibri" w:hAnsi="Calibri"/>
                <w:b w:val="0"/>
                <w:color w:val="1F2937"/>
                <w:sz w:val="18"/>
              </w:rPr>
              <w:t>Diseñar para teclado, contraste, baja conectividad y equipos modestos municipales.</w:t>
            </w:r>
          </w:p>
        </w:tc>
        <w:tc>
          <w:tcPr>
            <w:tcW w:type="dxa" w:w="1500"/>
            <w:tcMar>
              <w:top w:w="80" w:type="dxa"/>
              <w:start w:w="120" w:type="dxa"/>
              <w:bottom w:w="80" w:type="dxa"/>
              <w:end w:w="120" w:type="dxa"/>
            </w:tcMar>
            <w:vAlign w:val="center"/>
          </w:tcPr>
          <w:p>
            <w:pPr>
              <w:jc w:val="center"/>
            </w:pPr>
            <w:r>
              <w:rPr>
                <w:rFonts w:ascii="Calibri" w:hAnsi="Calibri"/>
                <w:b/>
                <w:color w:val="1F2937"/>
                <w:sz w:val="18"/>
              </w:rPr>
              <w:t>Media</w:t>
            </w:r>
          </w:p>
        </w:tc>
      </w:tr>
      <w:tr>
        <w:trPr>
          <w:cantSplit w:val="true"/>
        </w:trPr>
        <w:tc>
          <w:tcPr>
            <w:tcW w:type="dxa" w:w="2450"/>
            <w:shd w:fill="FAFBFC"/>
            <w:tcMar>
              <w:top w:w="80" w:type="dxa"/>
              <w:start w:w="120" w:type="dxa"/>
              <w:bottom w:w="80" w:type="dxa"/>
              <w:end w:w="120" w:type="dxa"/>
            </w:tcMar>
            <w:vAlign w:val="center"/>
          </w:tcPr>
          <w:p>
            <w:pPr>
              <w:jc w:val="left"/>
            </w:pPr>
            <w:r>
              <w:rPr>
                <w:rFonts w:ascii="Calibri" w:hAnsi="Calibri"/>
                <w:b w:val="0"/>
                <w:color w:val="1F2937"/>
                <w:sz w:val="18"/>
              </w:rPr>
              <w:t>O-22 · Prueba institucional</w:t>
            </w:r>
          </w:p>
        </w:tc>
        <w:tc>
          <w:tcPr>
            <w:tcW w:type="dxa" w:w="5410"/>
            <w:shd w:fill="FAFBFC"/>
            <w:tcMar>
              <w:top w:w="80" w:type="dxa"/>
              <w:start w:w="120" w:type="dxa"/>
              <w:bottom w:w="80" w:type="dxa"/>
              <w:end w:w="120" w:type="dxa"/>
            </w:tcMar>
            <w:vAlign w:val="center"/>
          </w:tcPr>
          <w:p>
            <w:pPr>
              <w:jc w:val="left"/>
            </w:pPr>
            <w:r>
              <w:rPr>
                <w:rFonts w:ascii="Calibri" w:hAnsi="Calibri"/>
                <w:b w:val="0"/>
                <w:color w:val="1F2937"/>
                <w:sz w:val="18"/>
              </w:rPr>
              <w:t>El éxito final exige usuarios reales, procedimientos aprobados, convenio, capacitación y soporte.</w:t>
            </w:r>
          </w:p>
        </w:tc>
        <w:tc>
          <w:tcPr>
            <w:tcW w:type="dxa" w:w="1500"/>
            <w:shd w:fill="FAFBFC"/>
            <w:tcMar>
              <w:top w:w="80" w:type="dxa"/>
              <w:start w:w="120" w:type="dxa"/>
              <w:bottom w:w="80" w:type="dxa"/>
              <w:end w:w="120" w:type="dxa"/>
            </w:tcMar>
            <w:vAlign w:val="center"/>
          </w:tcPr>
          <w:p>
            <w:pPr>
              <w:jc w:val="center"/>
            </w:pPr>
            <w:r>
              <w:rPr>
                <w:rFonts w:ascii="Calibri" w:hAnsi="Calibri"/>
                <w:b/>
                <w:color w:val="9B1C1C"/>
                <w:sz w:val="18"/>
              </w:rPr>
              <w:t>Crítica</w:t>
            </w:r>
          </w:p>
        </w:tc>
      </w:tr>
      <w:tr>
        <w:trPr>
          <w:cantSplit w:val="true"/>
        </w:trPr>
        <w:tc>
          <w:tcPr>
            <w:tcW w:type="dxa" w:w="2450"/>
            <w:tcMar>
              <w:top w:w="80" w:type="dxa"/>
              <w:start w:w="120" w:type="dxa"/>
              <w:bottom w:w="80" w:type="dxa"/>
              <w:end w:w="120" w:type="dxa"/>
            </w:tcMar>
            <w:vAlign w:val="center"/>
          </w:tcPr>
          <w:p>
            <w:pPr>
              <w:jc w:val="left"/>
            </w:pPr>
            <w:r>
              <w:rPr>
                <w:rFonts w:ascii="Calibri" w:hAnsi="Calibri"/>
                <w:b w:val="0"/>
                <w:color w:val="1F2937"/>
                <w:sz w:val="18"/>
              </w:rPr>
              <w:t>O-23 · Despliegue contradictorio</w:t>
            </w:r>
          </w:p>
        </w:tc>
        <w:tc>
          <w:tcPr>
            <w:tcW w:type="dxa" w:w="5410"/>
            <w:tcMar>
              <w:top w:w="80" w:type="dxa"/>
              <w:start w:w="120" w:type="dxa"/>
              <w:bottom w:w="80" w:type="dxa"/>
              <w:end w:w="120" w:type="dxa"/>
            </w:tcMar>
            <w:vAlign w:val="center"/>
          </w:tcPr>
          <w:p>
            <w:pPr>
              <w:jc w:val="left"/>
            </w:pPr>
            <w:r>
              <w:rPr>
                <w:rFonts w:ascii="Calibri" w:hAnsi="Calibri"/>
                <w:b w:val="0"/>
                <w:color w:val="1F2937"/>
                <w:sz w:val="18"/>
              </w:rPr>
              <w:t>ADR 0047 acepta nube-primero y AGENTS.md aún prioriza local/dual; unificar antes del piloto y contratos.</w:t>
            </w:r>
          </w:p>
        </w:tc>
        <w:tc>
          <w:tcPr>
            <w:tcW w:type="dxa" w:w="1500"/>
            <w:tcMar>
              <w:top w:w="80" w:type="dxa"/>
              <w:start w:w="120" w:type="dxa"/>
              <w:bottom w:w="80" w:type="dxa"/>
              <w:end w:w="120" w:type="dxa"/>
            </w:tcMar>
            <w:vAlign w:val="center"/>
          </w:tcPr>
          <w:p>
            <w:pPr>
              <w:jc w:val="center"/>
            </w:pPr>
            <w:r>
              <w:rPr>
                <w:rFonts w:ascii="Calibri" w:hAnsi="Calibri"/>
                <w:b/>
                <w:color w:val="9B1C1C"/>
                <w:sz w:val="18"/>
              </w:rPr>
              <w:t>Crítica</w:t>
            </w:r>
          </w:p>
        </w:tc>
      </w:tr>
      <w:tr>
        <w:trPr>
          <w:cantSplit w:val="true"/>
        </w:trPr>
        <w:tc>
          <w:tcPr>
            <w:tcW w:type="dxa" w:w="2450"/>
            <w:shd w:fill="FAFBFC"/>
            <w:tcMar>
              <w:top w:w="80" w:type="dxa"/>
              <w:start w:w="120" w:type="dxa"/>
              <w:bottom w:w="80" w:type="dxa"/>
              <w:end w:w="120" w:type="dxa"/>
            </w:tcMar>
            <w:vAlign w:val="center"/>
          </w:tcPr>
          <w:p>
            <w:pPr>
              <w:jc w:val="left"/>
            </w:pPr>
            <w:r>
              <w:rPr>
                <w:rFonts w:ascii="Calibri" w:hAnsi="Calibri"/>
                <w:b w:val="0"/>
                <w:color w:val="1F2937"/>
                <w:sz w:val="18"/>
              </w:rPr>
              <w:t>O-24 · Inventarios manuales</w:t>
            </w:r>
          </w:p>
        </w:tc>
        <w:tc>
          <w:tcPr>
            <w:tcW w:type="dxa" w:w="5410"/>
            <w:shd w:fill="FAFBFC"/>
            <w:tcMar>
              <w:top w:w="80" w:type="dxa"/>
              <w:start w:w="120" w:type="dxa"/>
              <w:bottom w:w="80" w:type="dxa"/>
              <w:end w:w="120" w:type="dxa"/>
            </w:tcMar>
            <w:vAlign w:val="center"/>
          </w:tcPr>
          <w:p>
            <w:pPr>
              <w:jc w:val="left"/>
            </w:pPr>
            <w:r>
              <w:rPr>
                <w:rFonts w:ascii="Calibri" w:hAnsi="Calibri"/>
                <w:b w:val="0"/>
                <w:color w:val="1F2937"/>
                <w:sz w:val="18"/>
              </w:rPr>
              <w:t>Automatizar conteos de tags, ADR, migraciones, tests y reglas documentales para evitar cifras obsoletas en informes.</w:t>
            </w:r>
          </w:p>
        </w:tc>
        <w:tc>
          <w:tcPr>
            <w:tcW w:type="dxa" w:w="1500"/>
            <w:shd w:fill="FAFBFC"/>
            <w:tcMar>
              <w:top w:w="80" w:type="dxa"/>
              <w:start w:w="120" w:type="dxa"/>
              <w:bottom w:w="80" w:type="dxa"/>
              <w:end w:w="120" w:type="dxa"/>
            </w:tcMar>
            <w:vAlign w:val="center"/>
          </w:tcPr>
          <w:p>
            <w:pPr>
              <w:jc w:val="center"/>
            </w:pPr>
            <w:r>
              <w:rPr>
                <w:rFonts w:ascii="Calibri" w:hAnsi="Calibri"/>
                <w:b/>
                <w:color w:val="1F2937"/>
                <w:sz w:val="18"/>
              </w:rPr>
              <w:t>Media</w:t>
            </w:r>
          </w:p>
        </w:tc>
      </w:tr>
    </w:tbl>
    <w:p>
      <w:pPr>
        <w:spacing w:before="80" w:after="80"/>
      </w:pPr>
      <w:r>
        <w:rPr>
          <w:rFonts w:ascii="Calibri" w:hAnsi="Calibri"/>
          <w:i/>
          <w:color w:val="5F6B7A"/>
          <w:sz w:val="17"/>
        </w:rPr>
        <w:t>Fuente: auditoría técnica de documentación, código, pruebas y operación.</w:t>
      </w:r>
    </w:p>
    <w:p>
      <w:pPr>
        <w:pStyle w:val="Heading1"/>
      </w:pPr>
      <w:r>
        <w:t>9. Estándar de excelencia propuesto</w:t>
      </w:r>
    </w:p>
    <w:p>
      <w:pPr/>
      <w:r>
        <w:rPr>
          <w:rFonts w:ascii="Calibri" w:hAnsi="Calibri"/>
          <w:i w:val="0"/>
          <w:color w:val="1F2937"/>
          <w:sz w:val="22"/>
        </w:rPr>
        <w:t>Para aspirar a ser el mejor sistema catastral municipal de Bolivia, la comparación debe basarse en resultados auditables, no en cantidad de pantallas. Se propone ratificar los siguientes principios como política de producto.</w:t>
      </w:r>
    </w:p>
    <w:p>
      <w:pPr>
        <w:spacing w:before="80" w:after="80"/>
      </w:pPr>
      <w:r>
        <w:rPr>
          <w:rFonts w:ascii="Calibri" w:hAnsi="Calibri"/>
          <w:b/>
          <w:color w:val="0B2545"/>
          <w:sz w:val="19"/>
        </w:rPr>
        <w:t>Tabla 10. Doce principios de excelencia institucional</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val="true"/>
        </w:trPr>
        <w:tc>
          <w:tcPr>
            <w:tcW w:type="dxa" w:w="2700"/>
            <w:shd w:fill="F2F4F7"/>
            <w:tcMar>
              <w:top w:w="80" w:type="dxa"/>
              <w:start w:w="120" w:type="dxa"/>
              <w:bottom w:w="80" w:type="dxa"/>
              <w:end w:w="120" w:type="dxa"/>
            </w:tcMar>
            <w:vAlign w:val="center"/>
          </w:tcPr>
          <w:p>
            <w:pPr>
              <w:jc w:val="center"/>
            </w:pPr>
            <w:r>
              <w:rPr>
                <w:rFonts w:ascii="Calibri" w:hAnsi="Calibri"/>
                <w:b/>
                <w:color w:val="0B2545"/>
                <w:sz w:val="18"/>
              </w:rPr>
              <w:t>Principio</w:t>
            </w:r>
          </w:p>
        </w:tc>
        <w:tc>
          <w:tcPr>
            <w:tcW w:type="dxa" w:w="6660"/>
            <w:shd w:fill="F2F4F7"/>
            <w:tcMar>
              <w:top w:w="80" w:type="dxa"/>
              <w:start w:w="120" w:type="dxa"/>
              <w:bottom w:w="80" w:type="dxa"/>
              <w:end w:w="120" w:type="dxa"/>
            </w:tcMar>
            <w:vAlign w:val="center"/>
          </w:tcPr>
          <w:p>
            <w:pPr>
              <w:jc w:val="center"/>
            </w:pPr>
            <w:r>
              <w:rPr>
                <w:rFonts w:ascii="Calibri" w:hAnsi="Calibri"/>
                <w:b/>
                <w:color w:val="0B2545"/>
                <w:sz w:val="18"/>
              </w:rPr>
              <w:t>Criterio</w:t>
            </w:r>
          </w:p>
        </w:tc>
      </w:tr>
      <w:tr>
        <w:trPr>
          <w:cantSplit w:val="true"/>
        </w:trPr>
        <w:tc>
          <w:tcPr>
            <w:tcW w:type="dxa" w:w="2700"/>
            <w:tcMar>
              <w:top w:w="80" w:type="dxa"/>
              <w:start w:w="120" w:type="dxa"/>
              <w:bottom w:w="80" w:type="dxa"/>
              <w:end w:w="120" w:type="dxa"/>
            </w:tcMar>
            <w:vAlign w:val="center"/>
          </w:tcPr>
          <w:p>
            <w:pPr>
              <w:jc w:val="left"/>
            </w:pPr>
            <w:r>
              <w:rPr>
                <w:rFonts w:ascii="Calibri" w:hAnsi="Calibri"/>
                <w:b w:val="0"/>
                <w:color w:val="1F2937"/>
                <w:sz w:val="18"/>
              </w:rPr>
              <w:t>1. Identidad inequívoca</w:t>
            </w:r>
          </w:p>
        </w:tc>
        <w:tc>
          <w:tcPr>
            <w:tcW w:type="dxa" w:w="6660"/>
            <w:tcMar>
              <w:top w:w="80" w:type="dxa"/>
              <w:start w:w="120" w:type="dxa"/>
              <w:bottom w:w="80" w:type="dxa"/>
              <w:end w:w="120" w:type="dxa"/>
            </w:tcMar>
            <w:vAlign w:val="center"/>
          </w:tcPr>
          <w:p>
            <w:pPr>
              <w:jc w:val="left"/>
            </w:pPr>
            <w:r>
              <w:rPr>
                <w:rFonts w:ascii="Calibri" w:hAnsi="Calibri"/>
                <w:b w:val="0"/>
                <w:color w:val="1F2937"/>
                <w:sz w:val="18"/>
              </w:rPr>
              <w:t>Municipio + tripleta o identificador provisional formal; cero identidades inventadas.</w:t>
            </w:r>
          </w:p>
        </w:tc>
      </w:tr>
      <w:tr>
        <w:trPr>
          <w:cantSplit w:val="true"/>
        </w:trP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2. Linaje completo</w:t>
            </w:r>
          </w:p>
        </w:tc>
        <w:tc>
          <w:tcPr>
            <w:tcW w:type="dxa" w:w="6660"/>
            <w:shd w:fill="FAFBFC"/>
            <w:tcMar>
              <w:top w:w="80" w:type="dxa"/>
              <w:start w:w="120" w:type="dxa"/>
              <w:bottom w:w="80" w:type="dxa"/>
              <w:end w:w="120" w:type="dxa"/>
            </w:tcMar>
            <w:vAlign w:val="center"/>
          </w:tcPr>
          <w:p>
            <w:pPr>
              <w:jc w:val="left"/>
            </w:pPr>
            <w:r>
              <w:rPr>
                <w:rFonts w:ascii="Calibri" w:hAnsi="Calibri"/>
                <w:b w:val="0"/>
                <w:color w:val="1F2937"/>
                <w:sz w:val="18"/>
              </w:rPr>
              <w:t>Cada geometría, atributo y transformación conoce fuente, versión, comando y responsable.</w:t>
            </w:r>
          </w:p>
        </w:tc>
      </w:tr>
      <w:tr>
        <w:trPr>
          <w:cantSplit w:val="true"/>
        </w:trPr>
        <w:tc>
          <w:tcPr>
            <w:tcW w:type="dxa" w:w="2700"/>
            <w:tcMar>
              <w:top w:w="80" w:type="dxa"/>
              <w:start w:w="120" w:type="dxa"/>
              <w:bottom w:w="80" w:type="dxa"/>
              <w:end w:w="120" w:type="dxa"/>
            </w:tcMar>
            <w:vAlign w:val="center"/>
          </w:tcPr>
          <w:p>
            <w:pPr>
              <w:jc w:val="left"/>
            </w:pPr>
            <w:r>
              <w:rPr>
                <w:rFonts w:ascii="Calibri" w:hAnsi="Calibri"/>
                <w:b w:val="0"/>
                <w:color w:val="1F2937"/>
                <w:sz w:val="18"/>
              </w:rPr>
              <w:t>3. Calidad visible</w:t>
            </w:r>
          </w:p>
        </w:tc>
        <w:tc>
          <w:tcPr>
            <w:tcW w:type="dxa" w:w="6660"/>
            <w:tcMar>
              <w:top w:w="80" w:type="dxa"/>
              <w:start w:w="120" w:type="dxa"/>
              <w:bottom w:w="80" w:type="dxa"/>
              <w:end w:w="120" w:type="dxa"/>
            </w:tcMar>
            <w:vAlign w:val="center"/>
          </w:tcPr>
          <w:p>
            <w:pPr>
              <w:jc w:val="left"/>
            </w:pPr>
            <w:r>
              <w:rPr>
                <w:rFonts w:ascii="Calibri" w:hAnsi="Calibri"/>
                <w:b w:val="0"/>
                <w:color w:val="1F2937"/>
                <w:sz w:val="18"/>
              </w:rPr>
              <w:t>Los defectos se miden, clasifican y exponen; no se corrigen silenciosamente.</w:t>
            </w:r>
          </w:p>
        </w:tc>
      </w:tr>
      <w:tr>
        <w:trPr>
          <w:cantSplit w:val="true"/>
        </w:trP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4. Norma versionada</w:t>
            </w:r>
          </w:p>
        </w:tc>
        <w:tc>
          <w:tcPr>
            <w:tcW w:type="dxa" w:w="6660"/>
            <w:shd w:fill="FAFBFC"/>
            <w:tcMar>
              <w:top w:w="80" w:type="dxa"/>
              <w:start w:w="120" w:type="dxa"/>
              <w:bottom w:w="80" w:type="dxa"/>
              <w:end w:w="120" w:type="dxa"/>
            </w:tcMar>
            <w:vAlign w:val="center"/>
          </w:tcPr>
          <w:p>
            <w:pPr>
              <w:jc w:val="left"/>
            </w:pPr>
            <w:r>
              <w:rPr>
                <w:rFonts w:ascii="Calibri" w:hAnsi="Calibri"/>
                <w:b w:val="0"/>
                <w:color w:val="1F2937"/>
                <w:sz w:val="18"/>
              </w:rPr>
              <w:t>Fórmulas, catálogos y valores tienen vigencia, fuente y aprobación.</w:t>
            </w:r>
          </w:p>
        </w:tc>
      </w:tr>
      <w:tr>
        <w:trPr>
          <w:cantSplit w:val="true"/>
        </w:trPr>
        <w:tc>
          <w:tcPr>
            <w:tcW w:type="dxa" w:w="2700"/>
            <w:tcMar>
              <w:top w:w="80" w:type="dxa"/>
              <w:start w:w="120" w:type="dxa"/>
              <w:bottom w:w="80" w:type="dxa"/>
              <w:end w:w="120" w:type="dxa"/>
            </w:tcMar>
            <w:vAlign w:val="center"/>
          </w:tcPr>
          <w:p>
            <w:pPr>
              <w:jc w:val="left"/>
            </w:pPr>
            <w:r>
              <w:rPr>
                <w:rFonts w:ascii="Calibri" w:hAnsi="Calibri"/>
                <w:b w:val="0"/>
                <w:color w:val="1F2937"/>
                <w:sz w:val="18"/>
              </w:rPr>
              <w:t>5. Auditoría independiente</w:t>
            </w:r>
          </w:p>
        </w:tc>
        <w:tc>
          <w:tcPr>
            <w:tcW w:type="dxa" w:w="6660"/>
            <w:tcMar>
              <w:top w:w="80" w:type="dxa"/>
              <w:start w:w="120" w:type="dxa"/>
              <w:bottom w:w="80" w:type="dxa"/>
              <w:end w:w="120" w:type="dxa"/>
            </w:tcMar>
            <w:vAlign w:val="center"/>
          </w:tcPr>
          <w:p>
            <w:pPr>
              <w:jc w:val="left"/>
            </w:pPr>
            <w:r>
              <w:rPr>
                <w:rFonts w:ascii="Calibri" w:hAnsi="Calibri"/>
                <w:b w:val="0"/>
                <w:color w:val="1F2937"/>
                <w:sz w:val="18"/>
              </w:rPr>
              <w:t>Toda operación relevante deja evidencia inmutable.</w:t>
            </w:r>
          </w:p>
        </w:tc>
      </w:tr>
      <w:tr>
        <w:trPr>
          <w:cantSplit w:val="true"/>
        </w:trP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6. Seguridad por defecto</w:t>
            </w:r>
          </w:p>
        </w:tc>
        <w:tc>
          <w:tcPr>
            <w:tcW w:type="dxa" w:w="6660"/>
            <w:shd w:fill="FAFBFC"/>
            <w:tcMar>
              <w:top w:w="80" w:type="dxa"/>
              <w:start w:w="120" w:type="dxa"/>
              <w:bottom w:w="80" w:type="dxa"/>
              <w:end w:w="120" w:type="dxa"/>
            </w:tcMar>
            <w:vAlign w:val="center"/>
          </w:tcPr>
          <w:p>
            <w:pPr>
              <w:jc w:val="left"/>
            </w:pPr>
            <w:r>
              <w:rPr>
                <w:rFonts w:ascii="Calibri" w:hAnsi="Calibri"/>
                <w:b w:val="0"/>
                <w:color w:val="1F2937"/>
                <w:sz w:val="18"/>
              </w:rPr>
              <w:t>Mínimo privilegio, secretos fuera de Git, TLS, parches y revisión adversarial.</w:t>
            </w:r>
          </w:p>
        </w:tc>
      </w:tr>
      <w:tr>
        <w:trPr>
          <w:cantSplit w:val="true"/>
        </w:trPr>
        <w:tc>
          <w:tcPr>
            <w:tcW w:type="dxa" w:w="2700"/>
            <w:tcMar>
              <w:top w:w="80" w:type="dxa"/>
              <w:start w:w="120" w:type="dxa"/>
              <w:bottom w:w="80" w:type="dxa"/>
              <w:end w:w="120" w:type="dxa"/>
            </w:tcMar>
            <w:vAlign w:val="center"/>
          </w:tcPr>
          <w:p>
            <w:pPr>
              <w:jc w:val="left"/>
            </w:pPr>
            <w:r>
              <w:rPr>
                <w:rFonts w:ascii="Calibri" w:hAnsi="Calibri"/>
                <w:b w:val="0"/>
                <w:color w:val="1F2937"/>
                <w:sz w:val="18"/>
              </w:rPr>
              <w:t>7. Recuperabilidad</w:t>
            </w:r>
          </w:p>
        </w:tc>
        <w:tc>
          <w:tcPr>
            <w:tcW w:type="dxa" w:w="6660"/>
            <w:tcMar>
              <w:top w:w="80" w:type="dxa"/>
              <w:start w:w="120" w:type="dxa"/>
              <w:bottom w:w="80" w:type="dxa"/>
              <w:end w:w="120" w:type="dxa"/>
            </w:tcMar>
            <w:vAlign w:val="center"/>
          </w:tcPr>
          <w:p>
            <w:pPr>
              <w:jc w:val="left"/>
            </w:pPr>
            <w:r>
              <w:rPr>
                <w:rFonts w:ascii="Calibri" w:hAnsi="Calibri"/>
                <w:b w:val="0"/>
                <w:color w:val="1F2937"/>
                <w:sz w:val="18"/>
              </w:rPr>
              <w:t>Backup + restore probado con RPO/RTO aprobados.</w:t>
            </w:r>
          </w:p>
        </w:tc>
      </w:tr>
      <w:tr>
        <w:trPr>
          <w:cantSplit w:val="true"/>
        </w:trP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8. Operabilidad municipal</w:t>
            </w:r>
          </w:p>
        </w:tc>
        <w:tc>
          <w:tcPr>
            <w:tcW w:type="dxa" w:w="6660"/>
            <w:shd w:fill="FAFBFC"/>
            <w:tcMar>
              <w:top w:w="80" w:type="dxa"/>
              <w:start w:w="120" w:type="dxa"/>
              <w:bottom w:w="80" w:type="dxa"/>
              <w:end w:w="120" w:type="dxa"/>
            </w:tcMar>
            <w:vAlign w:val="center"/>
          </w:tcPr>
          <w:p>
            <w:pPr>
              <w:jc w:val="left"/>
            </w:pPr>
            <w:r>
              <w:rPr>
                <w:rFonts w:ascii="Calibri" w:hAnsi="Calibri"/>
                <w:b w:val="0"/>
                <w:color w:val="1F2937"/>
                <w:sz w:val="18"/>
              </w:rPr>
              <w:t>Flujos simples, baja conectividad, manuales y capacitación.</w:t>
            </w:r>
          </w:p>
        </w:tc>
      </w:tr>
      <w:tr>
        <w:trPr>
          <w:cantSplit w:val="true"/>
        </w:trPr>
        <w:tc>
          <w:tcPr>
            <w:tcW w:type="dxa" w:w="2700"/>
            <w:tcMar>
              <w:top w:w="80" w:type="dxa"/>
              <w:start w:w="120" w:type="dxa"/>
              <w:bottom w:w="80" w:type="dxa"/>
              <w:end w:w="120" w:type="dxa"/>
            </w:tcMar>
            <w:vAlign w:val="center"/>
          </w:tcPr>
          <w:p>
            <w:pPr>
              <w:jc w:val="left"/>
            </w:pPr>
            <w:r>
              <w:rPr>
                <w:rFonts w:ascii="Calibri" w:hAnsi="Calibri"/>
                <w:b w:val="0"/>
                <w:color w:val="1F2937"/>
                <w:sz w:val="18"/>
              </w:rPr>
              <w:t>9. Replicabilidad</w:t>
            </w:r>
          </w:p>
        </w:tc>
        <w:tc>
          <w:tcPr>
            <w:tcW w:type="dxa" w:w="6660"/>
            <w:tcMar>
              <w:top w:w="80" w:type="dxa"/>
              <w:start w:w="120" w:type="dxa"/>
              <w:bottom w:w="80" w:type="dxa"/>
              <w:end w:w="120" w:type="dxa"/>
            </w:tcMar>
            <w:vAlign w:val="center"/>
          </w:tcPr>
          <w:p>
            <w:pPr>
              <w:jc w:val="left"/>
            </w:pPr>
            <w:r>
              <w:rPr>
                <w:rFonts w:ascii="Calibri" w:hAnsi="Calibri"/>
                <w:b w:val="0"/>
                <w:color w:val="1F2937"/>
                <w:sz w:val="18"/>
              </w:rPr>
              <w:t>Nueva instancia municipal en menos de un día, sin forks de código.</w:t>
            </w:r>
          </w:p>
        </w:tc>
      </w:tr>
      <w:tr>
        <w:trPr>
          <w:cantSplit w:val="true"/>
        </w:trP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10. Interoperabilidad</w:t>
            </w:r>
          </w:p>
        </w:tc>
        <w:tc>
          <w:tcPr>
            <w:tcW w:type="dxa" w:w="6660"/>
            <w:shd w:fill="FAFBFC"/>
            <w:tcMar>
              <w:top w:w="80" w:type="dxa"/>
              <w:start w:w="120" w:type="dxa"/>
              <w:bottom w:w="80" w:type="dxa"/>
              <w:end w:w="120" w:type="dxa"/>
            </w:tcMar>
            <w:vAlign w:val="center"/>
          </w:tcPr>
          <w:p>
            <w:pPr>
              <w:jc w:val="left"/>
            </w:pPr>
            <w:r>
              <w:rPr>
                <w:rFonts w:ascii="Calibri" w:hAnsi="Calibri"/>
                <w:b w:val="0"/>
                <w:color w:val="1F2937"/>
                <w:sz w:val="18"/>
              </w:rPr>
              <w:t>Exportaciones documentadas y salida contractual de datos.</w:t>
            </w:r>
          </w:p>
        </w:tc>
      </w:tr>
      <w:tr>
        <w:trPr>
          <w:cantSplit w:val="true"/>
        </w:trPr>
        <w:tc>
          <w:tcPr>
            <w:tcW w:type="dxa" w:w="2700"/>
            <w:tcMar>
              <w:top w:w="80" w:type="dxa"/>
              <w:start w:w="120" w:type="dxa"/>
              <w:bottom w:w="80" w:type="dxa"/>
              <w:end w:w="120" w:type="dxa"/>
            </w:tcMar>
            <w:vAlign w:val="center"/>
          </w:tcPr>
          <w:p>
            <w:pPr>
              <w:jc w:val="left"/>
            </w:pPr>
            <w:r>
              <w:rPr>
                <w:rFonts w:ascii="Calibri" w:hAnsi="Calibri"/>
                <w:b w:val="0"/>
                <w:color w:val="1F2937"/>
                <w:sz w:val="18"/>
              </w:rPr>
              <w:t>11. Privacidad</w:t>
            </w:r>
          </w:p>
        </w:tc>
        <w:tc>
          <w:tcPr>
            <w:tcW w:type="dxa" w:w="6660"/>
            <w:tcMar>
              <w:top w:w="80" w:type="dxa"/>
              <w:start w:w="120" w:type="dxa"/>
              <w:bottom w:w="80" w:type="dxa"/>
              <w:end w:w="120" w:type="dxa"/>
            </w:tcMar>
            <w:vAlign w:val="center"/>
          </w:tcPr>
          <w:p>
            <w:pPr>
              <w:jc w:val="left"/>
            </w:pPr>
            <w:r>
              <w:rPr>
                <w:rFonts w:ascii="Calibri" w:hAnsi="Calibri"/>
                <w:b w:val="0"/>
                <w:color w:val="1F2937"/>
                <w:sz w:val="18"/>
              </w:rPr>
              <w:t>Datos públicos definidos; titulares y documentos protegidos.</w:t>
            </w:r>
          </w:p>
        </w:tc>
      </w:tr>
      <w:tr>
        <w:trPr>
          <w:cantSplit w:val="true"/>
        </w:trP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12. Evolución controlada</w:t>
            </w:r>
          </w:p>
        </w:tc>
        <w:tc>
          <w:tcPr>
            <w:tcW w:type="dxa" w:w="6660"/>
            <w:shd w:fill="FAFBFC"/>
            <w:tcMar>
              <w:top w:w="80" w:type="dxa"/>
              <w:start w:w="120" w:type="dxa"/>
              <w:bottom w:w="80" w:type="dxa"/>
              <w:end w:w="120" w:type="dxa"/>
            </w:tcMar>
            <w:vAlign w:val="center"/>
          </w:tcPr>
          <w:p>
            <w:pPr>
              <w:jc w:val="left"/>
            </w:pPr>
            <w:r>
              <w:rPr>
                <w:rFonts w:ascii="Calibri" w:hAnsi="Calibri"/>
                <w:b w:val="0"/>
                <w:color w:val="1F2937"/>
                <w:sz w:val="18"/>
              </w:rPr>
              <w:t>ADRs, migraciones, tests y releases reproducibles.</w:t>
            </w:r>
          </w:p>
        </w:tc>
      </w:tr>
    </w:tbl>
    <w:p>
      <w:pPr>
        <w:spacing w:before="80" w:after="80"/>
      </w:pPr>
      <w:r>
        <w:rPr>
          <w:rFonts w:ascii="Calibri" w:hAnsi="Calibri"/>
          <w:i/>
          <w:color w:val="5F6B7A"/>
          <w:sz w:val="17"/>
        </w:rPr>
        <w:t>Fuente: síntesis de las decisiones vigentes y brechas observadas.</w:t>
      </w:r>
    </w:p>
    <w:p>
      <w:pPr>
        <w:pStyle w:val="Heading2"/>
      </w:pPr>
      <w:r>
        <w:t>9.1 Metas de servicio sugeridas para ratificación</w:t>
      </w:r>
    </w:p>
    <w:p>
      <w:pPr>
        <w:spacing w:before="80" w:after="80"/>
      </w:pPr>
      <w:r>
        <w:rPr>
          <w:rFonts w:ascii="Calibri" w:hAnsi="Calibri"/>
          <w:b/>
          <w:color w:val="0B2545"/>
          <w:sz w:val="19"/>
        </w:rPr>
        <w:t>Tabla 11. Objetivos operativos propuestos, aún no contractuales</w:t>
      </w:r>
    </w:p>
    <w:tbl>
      <w:tblPr>
        <w:tblStyle w:val="TableGrid"/>
        <w:tblW w:type="dxa" w:w="9360"/>
        <w:jc w:val="left"/>
        <w:tblLayout w:type="fixed"/>
        <w:tblLook w:firstColumn="1" w:firstRow="1" w:lastColumn="0" w:lastRow="0" w:noHBand="0" w:noVBand="1" w:val="04A0"/>
        <w:tblInd w:w="120" w:type="dxa"/>
      </w:tblPr>
      <w:tblGrid>
        <w:gridCol w:w="2400"/>
        <w:gridCol w:w="2500"/>
        <w:gridCol w:w="4460"/>
      </w:tblGrid>
      <w:tr>
        <w:trPr>
          <w:tblHeader w:val="true"/>
          <w:cantSplit w:val="true"/>
        </w:trPr>
        <w:tc>
          <w:tcPr>
            <w:tcW w:type="dxa" w:w="2400"/>
            <w:shd w:fill="F2F4F7"/>
            <w:tcMar>
              <w:top w:w="80" w:type="dxa"/>
              <w:start w:w="120" w:type="dxa"/>
              <w:bottom w:w="80" w:type="dxa"/>
              <w:end w:w="120" w:type="dxa"/>
            </w:tcMar>
            <w:vAlign w:val="center"/>
          </w:tcPr>
          <w:p>
            <w:pPr>
              <w:jc w:val="center"/>
            </w:pPr>
            <w:r>
              <w:rPr>
                <w:rFonts w:ascii="Calibri" w:hAnsi="Calibri"/>
                <w:b/>
                <w:color w:val="0B2545"/>
                <w:sz w:val="18"/>
              </w:rPr>
              <w:t>Dimensión</w:t>
            </w:r>
          </w:p>
        </w:tc>
        <w:tc>
          <w:tcPr>
            <w:tcW w:type="dxa" w:w="2500"/>
            <w:shd w:fill="F2F4F7"/>
            <w:tcMar>
              <w:top w:w="80" w:type="dxa"/>
              <w:start w:w="120" w:type="dxa"/>
              <w:bottom w:w="80" w:type="dxa"/>
              <w:end w:w="120" w:type="dxa"/>
            </w:tcMar>
            <w:vAlign w:val="center"/>
          </w:tcPr>
          <w:p>
            <w:pPr>
              <w:jc w:val="center"/>
            </w:pPr>
            <w:r>
              <w:rPr>
                <w:rFonts w:ascii="Calibri" w:hAnsi="Calibri"/>
                <w:b/>
                <w:color w:val="0B2545"/>
                <w:sz w:val="18"/>
              </w:rPr>
              <w:t>Meta sugerida</w:t>
            </w:r>
          </w:p>
        </w:tc>
        <w:tc>
          <w:tcPr>
            <w:tcW w:type="dxa" w:w="4460"/>
            <w:shd w:fill="F2F4F7"/>
            <w:tcMar>
              <w:top w:w="80" w:type="dxa"/>
              <w:start w:w="120" w:type="dxa"/>
              <w:bottom w:w="80" w:type="dxa"/>
              <w:end w:w="120" w:type="dxa"/>
            </w:tcMar>
            <w:vAlign w:val="center"/>
          </w:tcPr>
          <w:p>
            <w:pPr>
              <w:jc w:val="left"/>
            </w:pPr>
            <w:r>
              <w:rPr>
                <w:rFonts w:ascii="Calibri" w:hAnsi="Calibri"/>
                <w:b/>
                <w:color w:val="0B2545"/>
                <w:sz w:val="18"/>
              </w:rPr>
              <w:t>Evidencia requerida</w:t>
            </w:r>
          </w:p>
        </w:tc>
      </w:tr>
      <w:tr>
        <w:trPr>
          <w:cantSplit w:val="true"/>
        </w:trPr>
        <w:tc>
          <w:tcPr>
            <w:tcW w:type="dxa" w:w="2400"/>
            <w:tcMar>
              <w:top w:w="80" w:type="dxa"/>
              <w:start w:w="120" w:type="dxa"/>
              <w:bottom w:w="80" w:type="dxa"/>
              <w:end w:w="120" w:type="dxa"/>
            </w:tcMar>
            <w:vAlign w:val="center"/>
          </w:tcPr>
          <w:p>
            <w:pPr>
              <w:jc w:val="left"/>
            </w:pPr>
            <w:r>
              <w:rPr>
                <w:rFonts w:ascii="Calibri" w:hAnsi="Calibri"/>
                <w:b w:val="0"/>
                <w:color w:val="1F2937"/>
                <w:sz w:val="18"/>
              </w:rPr>
              <w:t>Disponibilidad piloto</w:t>
            </w:r>
          </w:p>
        </w:tc>
        <w:tc>
          <w:tcPr>
            <w:tcW w:type="dxa" w:w="2500"/>
            <w:tcMar>
              <w:top w:w="80" w:type="dxa"/>
              <w:start w:w="120" w:type="dxa"/>
              <w:bottom w:w="80" w:type="dxa"/>
              <w:end w:w="120" w:type="dxa"/>
            </w:tcMar>
            <w:vAlign w:val="center"/>
          </w:tcPr>
          <w:p>
            <w:pPr>
              <w:jc w:val="left"/>
            </w:pPr>
            <w:r>
              <w:rPr>
                <w:rFonts w:ascii="Calibri" w:hAnsi="Calibri"/>
                <w:b w:val="0"/>
                <w:color w:val="1F2937"/>
                <w:sz w:val="18"/>
              </w:rPr>
              <w:t>≥ 99,5 % mensual</w:t>
            </w:r>
          </w:p>
        </w:tc>
        <w:tc>
          <w:tcPr>
            <w:tcW w:type="dxa" w:w="4460"/>
            <w:tcMar>
              <w:top w:w="80" w:type="dxa"/>
              <w:start w:w="120" w:type="dxa"/>
              <w:bottom w:w="80" w:type="dxa"/>
              <w:end w:w="120" w:type="dxa"/>
            </w:tcMar>
            <w:vAlign w:val="center"/>
          </w:tcPr>
          <w:p>
            <w:pPr>
              <w:jc w:val="left"/>
            </w:pPr>
            <w:r>
              <w:rPr>
                <w:rFonts w:ascii="Calibri" w:hAnsi="Calibri"/>
                <w:b w:val="0"/>
                <w:color w:val="1F2937"/>
                <w:sz w:val="18"/>
              </w:rPr>
              <w:t>Monitoreo externo y registro de incidentes</w:t>
            </w:r>
          </w:p>
        </w:tc>
      </w:tr>
      <w:tr>
        <w:trPr>
          <w:cantSplit w:val="true"/>
        </w:trPr>
        <w:tc>
          <w:tcPr>
            <w:tcW w:type="dxa" w:w="2400"/>
            <w:shd w:fill="FAFBFC"/>
            <w:tcMar>
              <w:top w:w="80" w:type="dxa"/>
              <w:start w:w="120" w:type="dxa"/>
              <w:bottom w:w="80" w:type="dxa"/>
              <w:end w:w="120" w:type="dxa"/>
            </w:tcMar>
            <w:vAlign w:val="center"/>
          </w:tcPr>
          <w:p>
            <w:pPr>
              <w:jc w:val="left"/>
            </w:pPr>
            <w:r>
              <w:rPr>
                <w:rFonts w:ascii="Calibri" w:hAnsi="Calibri"/>
                <w:b w:val="0"/>
                <w:color w:val="1F2937"/>
                <w:sz w:val="18"/>
              </w:rPr>
              <w:t>Recuperación</w:t>
            </w:r>
          </w:p>
        </w:tc>
        <w:tc>
          <w:tcPr>
            <w:tcW w:type="dxa" w:w="2500"/>
            <w:shd w:fill="FAFBFC"/>
            <w:tcMar>
              <w:top w:w="80" w:type="dxa"/>
              <w:start w:w="120" w:type="dxa"/>
              <w:bottom w:w="80" w:type="dxa"/>
              <w:end w:w="120" w:type="dxa"/>
            </w:tcMar>
            <w:vAlign w:val="center"/>
          </w:tcPr>
          <w:p>
            <w:pPr>
              <w:jc w:val="left"/>
            </w:pPr>
            <w:r>
              <w:rPr>
                <w:rFonts w:ascii="Calibri" w:hAnsi="Calibri"/>
                <w:b w:val="0"/>
                <w:color w:val="1F2937"/>
                <w:sz w:val="18"/>
              </w:rPr>
              <w:t>RPO ≤ 24 h; RTO ≤ 4 h</w:t>
            </w:r>
          </w:p>
        </w:tc>
        <w:tc>
          <w:tcPr>
            <w:tcW w:type="dxa" w:w="4460"/>
            <w:shd w:fill="FAFBFC"/>
            <w:tcMar>
              <w:top w:w="80" w:type="dxa"/>
              <w:start w:w="120" w:type="dxa"/>
              <w:bottom w:w="80" w:type="dxa"/>
              <w:end w:w="120" w:type="dxa"/>
            </w:tcMar>
            <w:vAlign w:val="center"/>
          </w:tcPr>
          <w:p>
            <w:pPr>
              <w:jc w:val="left"/>
            </w:pPr>
            <w:r>
              <w:rPr>
                <w:rFonts w:ascii="Calibri" w:hAnsi="Calibri"/>
                <w:b w:val="0"/>
                <w:color w:val="1F2937"/>
                <w:sz w:val="18"/>
              </w:rPr>
              <w:t>Restore trimestral en entorno limpio</w:t>
            </w:r>
          </w:p>
        </w:tc>
      </w:tr>
      <w:tr>
        <w:trPr>
          <w:cantSplit w:val="true"/>
        </w:trPr>
        <w:tc>
          <w:tcPr>
            <w:tcW w:type="dxa" w:w="2400"/>
            <w:tcMar>
              <w:top w:w="80" w:type="dxa"/>
              <w:start w:w="120" w:type="dxa"/>
              <w:bottom w:w="80" w:type="dxa"/>
              <w:end w:w="120" w:type="dxa"/>
            </w:tcMar>
            <w:vAlign w:val="center"/>
          </w:tcPr>
          <w:p>
            <w:pPr>
              <w:jc w:val="left"/>
            </w:pPr>
            <w:r>
              <w:rPr>
                <w:rFonts w:ascii="Calibri" w:hAnsi="Calibri"/>
                <w:b w:val="0"/>
                <w:color w:val="1F2937"/>
                <w:sz w:val="18"/>
              </w:rPr>
              <w:t>Importación</w:t>
            </w:r>
          </w:p>
        </w:tc>
        <w:tc>
          <w:tcPr>
            <w:tcW w:type="dxa" w:w="2500"/>
            <w:tcMar>
              <w:top w:w="80" w:type="dxa"/>
              <w:start w:w="120" w:type="dxa"/>
              <w:bottom w:w="80" w:type="dxa"/>
              <w:end w:w="120" w:type="dxa"/>
            </w:tcMar>
            <w:vAlign w:val="center"/>
          </w:tcPr>
          <w:p>
            <w:pPr>
              <w:jc w:val="left"/>
            </w:pPr>
            <w:r>
              <w:rPr>
                <w:rFonts w:ascii="Calibri" w:hAnsi="Calibri"/>
                <w:b w:val="0"/>
                <w:color w:val="1F2937"/>
                <w:sz w:val="18"/>
              </w:rPr>
              <w:t>100 % con linaje y preview</w:t>
            </w:r>
          </w:p>
        </w:tc>
        <w:tc>
          <w:tcPr>
            <w:tcW w:type="dxa" w:w="4460"/>
            <w:tcMar>
              <w:top w:w="80" w:type="dxa"/>
              <w:start w:w="120" w:type="dxa"/>
              <w:bottom w:w="80" w:type="dxa"/>
              <w:end w:w="120" w:type="dxa"/>
            </w:tcMar>
            <w:vAlign w:val="center"/>
          </w:tcPr>
          <w:p>
            <w:pPr>
              <w:jc w:val="left"/>
            </w:pPr>
            <w:r>
              <w:rPr>
                <w:rFonts w:ascii="Calibri" w:hAnsi="Calibri"/>
                <w:b w:val="0"/>
                <w:color w:val="1F2937"/>
                <w:sz w:val="18"/>
              </w:rPr>
              <w:t>Reporte persistido y hash de paquete</w:t>
            </w:r>
          </w:p>
        </w:tc>
      </w:tr>
      <w:tr>
        <w:trPr>
          <w:cantSplit w:val="true"/>
        </w:trPr>
        <w:tc>
          <w:tcPr>
            <w:tcW w:type="dxa" w:w="2400"/>
            <w:shd w:fill="FAFBFC"/>
            <w:tcMar>
              <w:top w:w="80" w:type="dxa"/>
              <w:start w:w="120" w:type="dxa"/>
              <w:bottom w:w="80" w:type="dxa"/>
              <w:end w:w="120" w:type="dxa"/>
            </w:tcMar>
            <w:vAlign w:val="center"/>
          </w:tcPr>
          <w:p>
            <w:pPr>
              <w:jc w:val="left"/>
            </w:pPr>
            <w:r>
              <w:rPr>
                <w:rFonts w:ascii="Calibri" w:hAnsi="Calibri"/>
                <w:b w:val="0"/>
                <w:color w:val="1F2937"/>
                <w:sz w:val="18"/>
              </w:rPr>
              <w:t>Integridad</w:t>
            </w:r>
          </w:p>
        </w:tc>
        <w:tc>
          <w:tcPr>
            <w:tcW w:type="dxa" w:w="2500"/>
            <w:shd w:fill="FAFBFC"/>
            <w:tcMar>
              <w:top w:w="80" w:type="dxa"/>
              <w:start w:w="120" w:type="dxa"/>
              <w:bottom w:w="80" w:type="dxa"/>
              <w:end w:w="120" w:type="dxa"/>
            </w:tcMar>
            <w:vAlign w:val="center"/>
          </w:tcPr>
          <w:p>
            <w:pPr>
              <w:jc w:val="left"/>
            </w:pPr>
            <w:r>
              <w:rPr>
                <w:rFonts w:ascii="Calibri" w:hAnsi="Calibri"/>
                <w:b w:val="0"/>
                <w:color w:val="1F2937"/>
                <w:sz w:val="18"/>
              </w:rPr>
              <w:t>0 activaciones parciales no declaradas</w:t>
            </w:r>
          </w:p>
        </w:tc>
        <w:tc>
          <w:tcPr>
            <w:tcW w:type="dxa" w:w="4460"/>
            <w:shd w:fill="FAFBFC"/>
            <w:tcMar>
              <w:top w:w="80" w:type="dxa"/>
              <w:start w:w="120" w:type="dxa"/>
              <w:bottom w:w="80" w:type="dxa"/>
              <w:end w:w="120" w:type="dxa"/>
            </w:tcMar>
            <w:vAlign w:val="center"/>
          </w:tcPr>
          <w:p>
            <w:pPr>
              <w:jc w:val="left"/>
            </w:pPr>
            <w:r>
              <w:rPr>
                <w:rFonts w:ascii="Calibri" w:hAnsi="Calibri"/>
                <w:b w:val="0"/>
                <w:color w:val="1F2937"/>
                <w:sz w:val="18"/>
              </w:rPr>
              <w:t>Tests + constraints + auditoría</w:t>
            </w:r>
          </w:p>
        </w:tc>
      </w:tr>
      <w:tr>
        <w:trPr>
          <w:cantSplit w:val="true"/>
        </w:trPr>
        <w:tc>
          <w:tcPr>
            <w:tcW w:type="dxa" w:w="2400"/>
            <w:tcMar>
              <w:top w:w="80" w:type="dxa"/>
              <w:start w:w="120" w:type="dxa"/>
              <w:bottom w:w="80" w:type="dxa"/>
              <w:end w:w="120" w:type="dxa"/>
            </w:tcMar>
            <w:vAlign w:val="center"/>
          </w:tcPr>
          <w:p>
            <w:pPr>
              <w:jc w:val="left"/>
            </w:pPr>
            <w:r>
              <w:rPr>
                <w:rFonts w:ascii="Calibri" w:hAnsi="Calibri"/>
                <w:b w:val="0"/>
                <w:color w:val="1F2937"/>
                <w:sz w:val="18"/>
              </w:rPr>
              <w:t>Seguridad</w:t>
            </w:r>
          </w:p>
        </w:tc>
        <w:tc>
          <w:tcPr>
            <w:tcW w:type="dxa" w:w="2500"/>
            <w:tcMar>
              <w:top w:w="80" w:type="dxa"/>
              <w:start w:w="120" w:type="dxa"/>
              <w:bottom w:w="80" w:type="dxa"/>
              <w:end w:w="120" w:type="dxa"/>
            </w:tcMar>
            <w:vAlign w:val="center"/>
          </w:tcPr>
          <w:p>
            <w:pPr>
              <w:jc w:val="left"/>
            </w:pPr>
            <w:r>
              <w:rPr>
                <w:rFonts w:ascii="Calibri" w:hAnsi="Calibri"/>
                <w:b w:val="0"/>
                <w:color w:val="1F2937"/>
                <w:sz w:val="18"/>
              </w:rPr>
              <w:t>0 vulnerabilidades críticas conocidas</w:t>
            </w:r>
          </w:p>
        </w:tc>
        <w:tc>
          <w:tcPr>
            <w:tcW w:type="dxa" w:w="4460"/>
            <w:tcMar>
              <w:top w:w="80" w:type="dxa"/>
              <w:start w:w="120" w:type="dxa"/>
              <w:bottom w:w="80" w:type="dxa"/>
              <w:end w:w="120" w:type="dxa"/>
            </w:tcMar>
            <w:vAlign w:val="center"/>
          </w:tcPr>
          <w:p>
            <w:pPr>
              <w:jc w:val="left"/>
            </w:pPr>
            <w:r>
              <w:rPr>
                <w:rFonts w:ascii="Calibri" w:hAnsi="Calibri"/>
                <w:b w:val="0"/>
                <w:color w:val="1F2937"/>
                <w:sz w:val="18"/>
              </w:rPr>
              <w:t>Scan de paquetes e imágenes por release</w:t>
            </w:r>
          </w:p>
        </w:tc>
      </w:tr>
      <w:tr>
        <w:trPr>
          <w:cantSplit w:val="true"/>
        </w:trPr>
        <w:tc>
          <w:tcPr>
            <w:tcW w:type="dxa" w:w="2400"/>
            <w:shd w:fill="FAFBFC"/>
            <w:tcMar>
              <w:top w:w="80" w:type="dxa"/>
              <w:start w:w="120" w:type="dxa"/>
              <w:bottom w:w="80" w:type="dxa"/>
              <w:end w:w="120" w:type="dxa"/>
            </w:tcMar>
            <w:vAlign w:val="center"/>
          </w:tcPr>
          <w:p>
            <w:pPr>
              <w:jc w:val="left"/>
            </w:pPr>
            <w:r>
              <w:rPr>
                <w:rFonts w:ascii="Calibri" w:hAnsi="Calibri"/>
                <w:b w:val="0"/>
                <w:color w:val="1F2937"/>
                <w:sz w:val="18"/>
              </w:rPr>
              <w:t>Calidad geométrica</w:t>
            </w:r>
          </w:p>
        </w:tc>
        <w:tc>
          <w:tcPr>
            <w:tcW w:type="dxa" w:w="2500"/>
            <w:shd w:fill="FAFBFC"/>
            <w:tcMar>
              <w:top w:w="80" w:type="dxa"/>
              <w:start w:w="120" w:type="dxa"/>
              <w:bottom w:w="80" w:type="dxa"/>
              <w:end w:w="120" w:type="dxa"/>
            </w:tcMar>
            <w:vAlign w:val="center"/>
          </w:tcPr>
          <w:p>
            <w:pPr>
              <w:jc w:val="left"/>
            </w:pPr>
            <w:r>
              <w:rPr>
                <w:rFonts w:ascii="Calibri" w:hAnsi="Calibri"/>
                <w:b w:val="0"/>
                <w:color w:val="1F2937"/>
                <w:sz w:val="18"/>
              </w:rPr>
              <w:t>100 % clasificada</w:t>
            </w:r>
          </w:p>
        </w:tc>
        <w:tc>
          <w:tcPr>
            <w:tcW w:type="dxa" w:w="4460"/>
            <w:shd w:fill="FAFBFC"/>
            <w:tcMar>
              <w:top w:w="80" w:type="dxa"/>
              <w:start w:w="120" w:type="dxa"/>
              <w:bottom w:w="80" w:type="dxa"/>
              <w:end w:w="120" w:type="dxa"/>
            </w:tcMar>
            <w:vAlign w:val="center"/>
          </w:tcPr>
          <w:p>
            <w:pPr>
              <w:jc w:val="left"/>
            </w:pPr>
            <w:r>
              <w:rPr>
                <w:rFonts w:ascii="Calibri" w:hAnsi="Calibri"/>
                <w:b w:val="0"/>
                <w:color w:val="1F2937"/>
                <w:sz w:val="18"/>
              </w:rPr>
              <w:t>O1/O4 y métricas por capa</w:t>
            </w:r>
          </w:p>
        </w:tc>
      </w:tr>
      <w:tr>
        <w:trPr>
          <w:cantSplit w:val="true"/>
        </w:trPr>
        <w:tc>
          <w:tcPr>
            <w:tcW w:type="dxa" w:w="2400"/>
            <w:tcMar>
              <w:top w:w="80" w:type="dxa"/>
              <w:start w:w="120" w:type="dxa"/>
              <w:bottom w:w="80" w:type="dxa"/>
              <w:end w:w="120" w:type="dxa"/>
            </w:tcMar>
            <w:vAlign w:val="center"/>
          </w:tcPr>
          <w:p>
            <w:pPr>
              <w:jc w:val="left"/>
            </w:pPr>
            <w:r>
              <w:rPr>
                <w:rFonts w:ascii="Calibri" w:hAnsi="Calibri"/>
                <w:b w:val="0"/>
                <w:color w:val="1F2937"/>
                <w:sz w:val="18"/>
              </w:rPr>
              <w:t>Despliegue</w:t>
            </w:r>
          </w:p>
        </w:tc>
        <w:tc>
          <w:tcPr>
            <w:tcW w:type="dxa" w:w="2500"/>
            <w:tcMar>
              <w:top w:w="80" w:type="dxa"/>
              <w:start w:w="120" w:type="dxa"/>
              <w:bottom w:w="80" w:type="dxa"/>
              <w:end w:w="120" w:type="dxa"/>
            </w:tcMar>
            <w:vAlign w:val="center"/>
          </w:tcPr>
          <w:p>
            <w:pPr>
              <w:jc w:val="left"/>
            </w:pPr>
            <w:r>
              <w:rPr>
                <w:rFonts w:ascii="Calibri" w:hAnsi="Calibri"/>
                <w:b w:val="0"/>
                <w:color w:val="1F2937"/>
                <w:sz w:val="18"/>
              </w:rPr>
              <w:t>Nuevo GAM &lt; 1 día</w:t>
            </w:r>
          </w:p>
        </w:tc>
        <w:tc>
          <w:tcPr>
            <w:tcW w:type="dxa" w:w="4460"/>
            <w:tcMar>
              <w:top w:w="80" w:type="dxa"/>
              <w:start w:w="120" w:type="dxa"/>
              <w:bottom w:w="80" w:type="dxa"/>
              <w:end w:w="120" w:type="dxa"/>
            </w:tcMar>
            <w:vAlign w:val="center"/>
          </w:tcPr>
          <w:p>
            <w:pPr>
              <w:jc w:val="left"/>
            </w:pPr>
            <w:r>
              <w:rPr>
                <w:rFonts w:ascii="Calibri" w:hAnsi="Calibri"/>
                <w:b w:val="0"/>
                <w:color w:val="1F2937"/>
                <w:sz w:val="18"/>
              </w:rPr>
              <w:t>Runbook cronometrado</w:t>
            </w:r>
          </w:p>
        </w:tc>
      </w:tr>
      <w:tr>
        <w:trPr>
          <w:cantSplit w:val="true"/>
        </w:trPr>
        <w:tc>
          <w:tcPr>
            <w:tcW w:type="dxa" w:w="2400"/>
            <w:shd w:fill="FAFBFC"/>
            <w:tcMar>
              <w:top w:w="80" w:type="dxa"/>
              <w:start w:w="120" w:type="dxa"/>
              <w:bottom w:w="80" w:type="dxa"/>
              <w:end w:w="120" w:type="dxa"/>
            </w:tcMar>
            <w:vAlign w:val="center"/>
          </w:tcPr>
          <w:p>
            <w:pPr>
              <w:jc w:val="left"/>
            </w:pPr>
            <w:r>
              <w:rPr>
                <w:rFonts w:ascii="Calibri" w:hAnsi="Calibri"/>
                <w:b w:val="0"/>
                <w:color w:val="1F2937"/>
                <w:sz w:val="18"/>
              </w:rPr>
              <w:t>Soporte</w:t>
            </w:r>
          </w:p>
        </w:tc>
        <w:tc>
          <w:tcPr>
            <w:tcW w:type="dxa" w:w="2500"/>
            <w:shd w:fill="FAFBFC"/>
            <w:tcMar>
              <w:top w:w="80" w:type="dxa"/>
              <w:start w:w="120" w:type="dxa"/>
              <w:bottom w:w="80" w:type="dxa"/>
              <w:end w:w="120" w:type="dxa"/>
            </w:tcMar>
            <w:vAlign w:val="center"/>
          </w:tcPr>
          <w:p>
            <w:pPr>
              <w:jc w:val="left"/>
            </w:pPr>
            <w:r>
              <w:rPr>
                <w:rFonts w:ascii="Calibri" w:hAnsi="Calibri"/>
                <w:b w:val="0"/>
                <w:color w:val="1F2937"/>
                <w:sz w:val="18"/>
              </w:rPr>
              <w:t>Incidentes clasificados y trazables</w:t>
            </w:r>
          </w:p>
        </w:tc>
        <w:tc>
          <w:tcPr>
            <w:tcW w:type="dxa" w:w="4460"/>
            <w:shd w:fill="FAFBFC"/>
            <w:tcMar>
              <w:top w:w="80" w:type="dxa"/>
              <w:start w:w="120" w:type="dxa"/>
              <w:bottom w:w="80" w:type="dxa"/>
              <w:end w:w="120" w:type="dxa"/>
            </w:tcMar>
            <w:vAlign w:val="center"/>
          </w:tcPr>
          <w:p>
            <w:pPr>
              <w:jc w:val="left"/>
            </w:pPr>
            <w:r>
              <w:rPr>
                <w:rFonts w:ascii="Calibri" w:hAnsi="Calibri"/>
                <w:b w:val="0"/>
                <w:color w:val="1F2937"/>
                <w:sz w:val="18"/>
              </w:rPr>
              <w:t>Canal, SLA y postmortem</w:t>
            </w:r>
          </w:p>
        </w:tc>
      </w:tr>
    </w:tbl>
    <w:p>
      <w:pPr>
        <w:spacing w:before="80" w:after="80"/>
      </w:pPr>
      <w:r>
        <w:rPr>
          <w:rFonts w:ascii="Calibri" w:hAnsi="Calibri"/>
          <w:i/>
          <w:color w:val="5F6B7A"/>
          <w:sz w:val="17"/>
        </w:rPr>
        <w:t>Fuente: recomendación de consolidación; requiere aprobación institucional y comercial.</w:t>
      </w:r>
    </w:p>
    <w:p>
      <w:pPr>
        <w:pStyle w:val="Heading1"/>
      </w:pPr>
      <w:r>
        <w:t>10. Todo lo que falta hasta terminar el proyecto</w:t>
      </w:r>
    </w:p>
    <w:p>
      <w:pPr>
        <w:jc w:val="center"/>
      </w:pPr>
      <w:r>
        <w:drawing>
          <wp:inline xmlns:a="http://schemas.openxmlformats.org/drawingml/2006/main" xmlns:pic="http://schemas.openxmlformats.org/drawingml/2006/picture">
            <wp:extent cx="5715000" cy="3746500"/>
            <wp:docPr id="5" name="Picture 5" descr="Roadmap desde 3.B.7 hasta piloto, soporte y escala." title="Figura 5. Ruta consolidada hasta operación completa."/>
            <wp:cNvGraphicFramePr>
              <a:graphicFrameLocks noChangeAspect="1"/>
            </wp:cNvGraphicFramePr>
            <a:graphic>
              <a:graphicData uri="http://schemas.openxmlformats.org/drawingml/2006/picture">
                <pic:pic>
                  <pic:nvPicPr>
                    <pic:cNvPr id="0" name="roadmap.png"/>
                    <pic:cNvPicPr/>
                  </pic:nvPicPr>
                  <pic:blipFill>
                    <a:blip r:embed="rId15"/>
                    <a:stretch>
                      <a:fillRect/>
                    </a:stretch>
                  </pic:blipFill>
                  <pic:spPr>
                    <a:xfrm>
                      <a:off x="0" y="0"/>
                      <a:ext cx="5715000" cy="3746500"/>
                    </a:xfrm>
                    <a:prstGeom prst="rect"/>
                  </pic:spPr>
                </pic:pic>
              </a:graphicData>
            </a:graphic>
          </wp:inline>
        </w:drawing>
      </w:r>
    </w:p>
    <w:p>
      <w:pPr>
        <w:spacing w:before="40" w:after="160"/>
        <w:jc w:val="center"/>
      </w:pPr>
      <w:r>
        <w:rPr>
          <w:rFonts w:ascii="Calibri" w:hAnsi="Calibri"/>
          <w:i/>
          <w:color w:val="5F6B7A"/>
          <w:sz w:val="18"/>
        </w:rPr>
        <w:t>Figura 5. Ruta consolidada hasta operación completa.</w:t>
      </w:r>
    </w:p>
    <w:p>
      <w:pPr>
        <w:pStyle w:val="Heading2"/>
      </w:pPr>
      <w:r>
        <w:t>10.1 Tramo inmediato: cerrar 3.B.7</w:t>
      </w:r>
    </w:p>
    <w:p>
      <w:pPr>
        <w:pStyle w:val="ListBullet"/>
      </w:pPr>
      <w:r>
        <w:rPr>
          <w:rFonts w:ascii="Calibri" w:hAnsi="Calibri"/>
          <w:color w:val="1F2937"/>
          <w:sz w:val="22"/>
        </w:rPr>
        <w:t>Corregir el hallazgo documental antes de commit.</w:t>
      </w:r>
    </w:p>
    <w:p>
      <w:pPr>
        <w:pStyle w:val="ListBullet"/>
      </w:pPr>
      <w:r>
        <w:rPr>
          <w:rFonts w:ascii="Calibri" w:hAnsi="Calibri"/>
          <w:color w:val="1F2937"/>
          <w:sz w:val="22"/>
        </w:rPr>
        <w:t>ADR de composición de DatasetVersion y actualización parcial de capas.</w:t>
      </w:r>
    </w:p>
    <w:p>
      <w:pPr>
        <w:pStyle w:val="ListBullet"/>
      </w:pPr>
      <w:r>
        <w:rPr>
          <w:rFonts w:ascii="Calibri" w:hAnsi="Calibri"/>
          <w:color w:val="1F2937"/>
          <w:sz w:val="22"/>
        </w:rPr>
        <w:t>Implementación y tests de copy-forward/linaje.</w:t>
      </w:r>
    </w:p>
    <w:p>
      <w:pPr>
        <w:pStyle w:val="ListBullet"/>
      </w:pPr>
      <w:r>
        <w:rPr>
          <w:rFonts w:ascii="Calibri" w:hAnsi="Calibri"/>
          <w:color w:val="1F2937"/>
          <w:sz w:val="22"/>
        </w:rPr>
        <w:t>Importación real de PRE_NOF_CAR y preview de 6.573 predios.</w:t>
      </w:r>
    </w:p>
    <w:p>
      <w:pPr>
        <w:pStyle w:val="ListBullet"/>
      </w:pPr>
      <w:r>
        <w:rPr>
          <w:rFonts w:ascii="Calibri" w:hAnsi="Calibri"/>
          <w:color w:val="1F2937"/>
          <w:sz w:val="22"/>
        </w:rPr>
        <w:t>Activación sin pérdida de 637 manzanas, 17 áreas y 33 puntos.</w:t>
      </w:r>
    </w:p>
    <w:p>
      <w:pPr>
        <w:pStyle w:val="ListBullet"/>
      </w:pPr>
      <w:r>
        <w:rPr>
          <w:rFonts w:ascii="Calibri" w:hAnsi="Calibri"/>
          <w:color w:val="1F2937"/>
          <w:sz w:val="22"/>
        </w:rPr>
        <w:t>Validación de visor, tiles, rollback y auditoría.</w:t>
      </w:r>
    </w:p>
    <w:p>
      <w:pPr>
        <w:pStyle w:val="Heading2"/>
      </w:pPr>
      <w:r>
        <w:t>10.2 Fase 3: motor de valuación</w:t>
      </w:r>
    </w:p>
    <w:p>
      <w:pPr>
        <w:pStyle w:val="ListBullet"/>
      </w:pPr>
      <w:r>
        <w:rPr>
          <w:rFonts w:ascii="Calibri" w:hAnsi="Calibri"/>
          <w:color w:val="1F2937"/>
          <w:sz w:val="22"/>
        </w:rPr>
        <w:t>Ratificar y dividir ADR 0045: identidad/datos, fórmula/valuación y colector.</w:t>
      </w:r>
    </w:p>
    <w:p>
      <w:pPr>
        <w:pStyle w:val="ListBullet"/>
      </w:pPr>
      <w:r>
        <w:rPr>
          <w:rFonts w:ascii="Calibri" w:hAnsi="Calibri"/>
          <w:color w:val="1F2937"/>
          <w:sz w:val="22"/>
        </w:rPr>
        <w:t>Modelo de zonas y valores por gestión fiscal.</w:t>
      </w:r>
    </w:p>
    <w:p>
      <w:pPr>
        <w:pStyle w:val="ListBullet"/>
      </w:pPr>
      <w:r>
        <w:rPr>
          <w:rFonts w:ascii="Calibri" w:hAnsi="Calibri"/>
          <w:color w:val="1F2937"/>
          <w:sz w:val="22"/>
        </w:rPr>
        <w:t>Fórmula de terreno versionada; factores con fuente normativa.</w:t>
      </w:r>
    </w:p>
    <w:p>
      <w:pPr>
        <w:pStyle w:val="ListBullet"/>
      </w:pPr>
      <w:r>
        <w:rPr>
          <w:rFonts w:ascii="Calibri" w:hAnsi="Calibri"/>
          <w:color w:val="1F2937"/>
          <w:sz w:val="22"/>
        </w:rPr>
        <w:t>Tipologías constructivas paramétricas y claramente NO OFICIALES hasta ordenanza.</w:t>
      </w:r>
    </w:p>
    <w:p>
      <w:pPr>
        <w:pStyle w:val="ListBullet"/>
      </w:pPr>
      <w:r>
        <w:rPr>
          <w:rFonts w:ascii="Calibri" w:hAnsi="Calibri"/>
          <w:color w:val="1F2937"/>
          <w:sz w:val="22"/>
        </w:rPr>
        <w:t>Recalculo masivo asíncrono e informe de diferencias.</w:t>
      </w:r>
    </w:p>
    <w:p>
      <w:pPr>
        <w:pStyle w:val="ListBullet"/>
      </w:pPr>
      <w:r>
        <w:rPr>
          <w:rFonts w:ascii="Calibri" w:hAnsi="Calibri"/>
          <w:color w:val="1F2937"/>
          <w:sz w:val="22"/>
        </w:rPr>
        <w:t>Verificación manual de casos y trazabilidad de cada resultado.</w:t>
      </w:r>
    </w:p>
    <w:p>
      <w:pPr>
        <w:pStyle w:val="ListBullet"/>
      </w:pPr>
      <w:r>
        <w:rPr>
          <w:rFonts w:ascii="Calibri" w:hAnsi="Calibri"/>
          <w:color w:val="1F2937"/>
          <w:sz w:val="22"/>
        </w:rPr>
        <w:t>Resolver DP-02 y mantener DP-08 como dependencia externa explícita.</w:t>
      </w:r>
    </w:p>
    <w:p>
      <w:pPr>
        <w:pStyle w:val="Heading2"/>
      </w:pPr>
      <w:r>
        <w:t>10.3 Fase 4: certificados</w:t>
      </w:r>
    </w:p>
    <w:p>
      <w:pPr>
        <w:pStyle w:val="ListBullet"/>
      </w:pPr>
      <w:r>
        <w:rPr>
          <w:rFonts w:ascii="Calibri" w:hAnsi="Calibri"/>
          <w:color w:val="1F2937"/>
          <w:sz w:val="22"/>
        </w:rPr>
        <w:t>Decisión de librería PDF y licencia comercial.</w:t>
      </w:r>
    </w:p>
    <w:p>
      <w:pPr>
        <w:pStyle w:val="ListBullet"/>
      </w:pPr>
      <w:r>
        <w:rPr>
          <w:rFonts w:ascii="Calibri" w:hAnsi="Calibri"/>
          <w:color w:val="1F2937"/>
          <w:sz w:val="22"/>
        </w:rPr>
        <w:t>Plantilla normativa, croquis, valuación, colindancias y metadatos.</w:t>
      </w:r>
    </w:p>
    <w:p>
      <w:pPr>
        <w:pStyle w:val="ListBullet"/>
      </w:pPr>
      <w:r>
        <w:rPr>
          <w:rFonts w:ascii="Calibri" w:hAnsi="Calibri"/>
          <w:color w:val="1F2937"/>
          <w:sz w:val="22"/>
        </w:rPr>
        <w:t>Folio correlativo por municipio/gestión y registro inmutable.</w:t>
      </w:r>
    </w:p>
    <w:p>
      <w:pPr>
        <w:pStyle w:val="ListBullet"/>
      </w:pPr>
      <w:r>
        <w:rPr>
          <w:rFonts w:ascii="Calibri" w:hAnsi="Calibri"/>
          <w:color w:val="1F2937"/>
          <w:sz w:val="22"/>
        </w:rPr>
        <w:t>QR y verificación pública mínima.</w:t>
      </w:r>
    </w:p>
    <w:p>
      <w:pPr>
        <w:pStyle w:val="ListBullet"/>
      </w:pPr>
      <w:r>
        <w:rPr>
          <w:rFonts w:ascii="Calibri" w:hAnsi="Calibri"/>
          <w:color w:val="1F2937"/>
          <w:sz w:val="22"/>
        </w:rPr>
        <w:t>Política de anulación, reimpresión, firma y conservación.</w:t>
      </w:r>
    </w:p>
    <w:p>
      <w:pPr>
        <w:pStyle w:val="ListBullet"/>
      </w:pPr>
      <w:r>
        <w:rPr>
          <w:rFonts w:ascii="Calibri" w:hAnsi="Calibri"/>
          <w:color w:val="1F2937"/>
          <w:sz w:val="22"/>
        </w:rPr>
        <w:t>Control de roles y prueba de emisión real.</w:t>
      </w:r>
    </w:p>
    <w:p>
      <w:pPr>
        <w:pStyle w:val="Heading2"/>
      </w:pPr>
      <w:r>
        <w:t>10.4 Fase 5: trámites y mutaciones</w:t>
      </w:r>
    </w:p>
    <w:p>
      <w:pPr>
        <w:pStyle w:val="ListBullet"/>
      </w:pPr>
      <w:r>
        <w:rPr>
          <w:rFonts w:ascii="Calibri" w:hAnsi="Calibri"/>
          <w:color w:val="1F2937"/>
          <w:sz w:val="22"/>
        </w:rPr>
        <w:t>Máquina de estados general y bandeja por rol.</w:t>
      </w:r>
    </w:p>
    <w:p>
      <w:pPr>
        <w:pStyle w:val="ListBullet"/>
      </w:pPr>
      <w:r>
        <w:rPr>
          <w:rFonts w:ascii="Calibri" w:hAnsi="Calibri"/>
          <w:color w:val="1F2937"/>
          <w:sz w:val="22"/>
        </w:rPr>
        <w:t>Transferencia, mejoras, correcciones, subdivisión y fusión.</w:t>
      </w:r>
    </w:p>
    <w:p>
      <w:pPr>
        <w:pStyle w:val="ListBullet"/>
      </w:pPr>
      <w:r>
        <w:rPr>
          <w:rFonts w:ascii="Calibri" w:hAnsi="Calibri"/>
          <w:color w:val="1F2937"/>
          <w:sz w:val="22"/>
        </w:rPr>
        <w:t>Documentos en MinIO con hash, clasificación, retención y acceso.</w:t>
      </w:r>
    </w:p>
    <w:p>
      <w:pPr>
        <w:pStyle w:val="ListBullet"/>
      </w:pPr>
      <w:r>
        <w:rPr>
          <w:rFonts w:ascii="Calibri" w:hAnsi="Calibri"/>
          <w:color w:val="1F2937"/>
          <w:sz w:val="22"/>
        </w:rPr>
        <w:t>Política municipal de nuevos códigos y preservación de identidad histórica.</w:t>
      </w:r>
    </w:p>
    <w:p>
      <w:pPr>
        <w:pStyle w:val="ListBullet"/>
      </w:pPr>
      <w:r>
        <w:rPr>
          <w:rFonts w:ascii="Calibri" w:hAnsi="Calibri"/>
          <w:color w:val="1F2937"/>
          <w:sz w:val="22"/>
        </w:rPr>
        <w:t>Ningún trámite modifica el maestro antes de aprobación.</w:t>
      </w:r>
    </w:p>
    <w:p>
      <w:pPr>
        <w:pStyle w:val="Heading2"/>
      </w:pPr>
      <w:r>
        <w:t>10.5 Fase 6: integración tributaria</w:t>
      </w:r>
    </w:p>
    <w:p>
      <w:pPr>
        <w:pStyle w:val="ListBullet"/>
      </w:pPr>
      <w:r>
        <w:rPr>
          <w:rFonts w:ascii="Calibri" w:hAnsi="Calibri"/>
          <w:color w:val="1F2937"/>
          <w:sz w:val="22"/>
        </w:rPr>
        <w:t>Resolver RUAT versus liquidación propia.</w:t>
      </w:r>
    </w:p>
    <w:p>
      <w:pPr>
        <w:pStyle w:val="ListBullet"/>
      </w:pPr>
      <w:r>
        <w:rPr>
          <w:rFonts w:ascii="Calibri" w:hAnsi="Calibri"/>
          <w:color w:val="1F2937"/>
          <w:sz w:val="22"/>
        </w:rPr>
        <w:t>Base imponible IPBI por gestión, parámetros y normativa.</w:t>
      </w:r>
    </w:p>
    <w:p>
      <w:pPr>
        <w:pStyle w:val="ListBullet"/>
      </w:pPr>
      <w:r>
        <w:rPr>
          <w:rFonts w:ascii="Calibri" w:hAnsi="Calibri"/>
          <w:color w:val="1F2937"/>
          <w:sz w:val="22"/>
        </w:rPr>
        <w:t>Exportación/interfaz, descuentos y cierre anual.</w:t>
      </w:r>
    </w:p>
    <w:p>
      <w:pPr>
        <w:pStyle w:val="ListBullet"/>
      </w:pPr>
      <w:r>
        <w:rPr>
          <w:rFonts w:ascii="Calibri" w:hAnsi="Calibri"/>
          <w:color w:val="1F2937"/>
          <w:sz w:val="22"/>
        </w:rPr>
        <w:t>Reportes de cobertura, predios sin valuación y conciliación.</w:t>
      </w:r>
    </w:p>
    <w:p>
      <w:pPr>
        <w:pStyle w:val="Heading2"/>
      </w:pPr>
      <w:r>
        <w:t>10.6 Fase 7: portal ciudadano</w:t>
      </w:r>
    </w:p>
    <w:p>
      <w:pPr>
        <w:pStyle w:val="ListBullet"/>
      </w:pPr>
      <w:r>
        <w:rPr>
          <w:rFonts w:ascii="Calibri" w:hAnsi="Calibri"/>
          <w:color w:val="1F2937"/>
          <w:sz w:val="22"/>
        </w:rPr>
        <w:t>Clasificación pública/privada aprobada por el GAM.</w:t>
      </w:r>
    </w:p>
    <w:p>
      <w:pPr>
        <w:pStyle w:val="ListBullet"/>
      </w:pPr>
      <w:r>
        <w:rPr>
          <w:rFonts w:ascii="Calibri" w:hAnsi="Calibri"/>
          <w:color w:val="1F2937"/>
          <w:sz w:val="22"/>
        </w:rPr>
        <w:t>Consulta mínima sin exponer titulares ni documentos.</w:t>
      </w:r>
    </w:p>
    <w:p>
      <w:pPr>
        <w:pStyle w:val="ListBullet"/>
      </w:pPr>
      <w:r>
        <w:rPr>
          <w:rFonts w:ascii="Calibri" w:hAnsi="Calibri"/>
          <w:color w:val="1F2937"/>
          <w:sz w:val="22"/>
        </w:rPr>
        <w:t>Verificación de certificado y estado de trámite.</w:t>
      </w:r>
    </w:p>
    <w:p>
      <w:pPr>
        <w:pStyle w:val="ListBullet"/>
      </w:pPr>
      <w:r>
        <w:rPr>
          <w:rFonts w:ascii="Calibri" w:hAnsi="Calibri"/>
          <w:color w:val="1F2937"/>
          <w:sz w:val="22"/>
        </w:rPr>
        <w:t>Rate limiting, anti-enumeración, monitoreo y revisión adversarial.</w:t>
      </w:r>
    </w:p>
    <w:p>
      <w:pPr>
        <w:pStyle w:val="ListBullet"/>
      </w:pPr>
      <w:r>
        <w:rPr>
          <w:rFonts w:ascii="Calibri" w:hAnsi="Calibri"/>
          <w:color w:val="1F2937"/>
          <w:sz w:val="22"/>
        </w:rPr>
        <w:t>Accesibilidad, móvil y conectividad limitada.</w:t>
      </w:r>
    </w:p>
    <w:p>
      <w:pPr>
        <w:pStyle w:val="Heading2"/>
      </w:pPr>
      <w:r>
        <w:t>10.7 Fase 9: producción y seguridad</w:t>
      </w:r>
    </w:p>
    <w:p>
      <w:pPr>
        <w:pStyle w:val="ListBullet"/>
      </w:pPr>
      <w:r>
        <w:rPr>
          <w:rFonts w:ascii="Calibri" w:hAnsi="Calibri"/>
          <w:color w:val="1F2937"/>
          <w:sz w:val="22"/>
        </w:rPr>
        <w:t>VPS por municipio según ADR 0047; validar soberanía/localización antes del contrato.</w:t>
      </w:r>
    </w:p>
    <w:p>
      <w:pPr>
        <w:pStyle w:val="ListBullet"/>
      </w:pPr>
      <w:r>
        <w:rPr>
          <w:rFonts w:ascii="Calibri" w:hAnsi="Calibri"/>
          <w:color w:val="1F2937"/>
          <w:sz w:val="22"/>
        </w:rPr>
        <w:t>TLS obligatorio, mínimo privilegio y rotación de secretos.</w:t>
      </w:r>
    </w:p>
    <w:p>
      <w:pPr>
        <w:pStyle w:val="ListBullet"/>
      </w:pPr>
      <w:r>
        <w:rPr>
          <w:rFonts w:ascii="Calibri" w:hAnsi="Calibri"/>
          <w:color w:val="1F2937"/>
          <w:sz w:val="22"/>
        </w:rPr>
        <w:t>Backups PostgreSQL + MinIO y restores probados.</w:t>
      </w:r>
    </w:p>
    <w:p>
      <w:pPr>
        <w:pStyle w:val="ListBullet"/>
      </w:pPr>
      <w:r>
        <w:rPr>
          <w:rFonts w:ascii="Calibri" w:hAnsi="Calibri"/>
          <w:color w:val="1F2937"/>
          <w:sz w:val="22"/>
        </w:rPr>
        <w:t>Métricas, logs, alertas, almacenamiento y capacidad.</w:t>
      </w:r>
    </w:p>
    <w:p>
      <w:pPr>
        <w:pStyle w:val="ListBullet"/>
      </w:pPr>
      <w:r>
        <w:rPr>
          <w:rFonts w:ascii="Calibri" w:hAnsi="Calibri"/>
          <w:color w:val="1F2937"/>
          <w:sz w:val="22"/>
        </w:rPr>
        <w:t>Actualizaciones reproducibles, rollback y ventanas de mantenimiento.</w:t>
      </w:r>
    </w:p>
    <w:p>
      <w:pPr>
        <w:pStyle w:val="ListBullet"/>
      </w:pPr>
      <w:r>
        <w:rPr>
          <w:rFonts w:ascii="Calibri" w:hAnsi="Calibri"/>
          <w:color w:val="1F2937"/>
          <w:sz w:val="22"/>
        </w:rPr>
        <w:t>Manual por rol y capacitación.</w:t>
      </w:r>
    </w:p>
    <w:p>
      <w:pPr>
        <w:pStyle w:val="Heading2"/>
      </w:pPr>
      <w:r>
        <w:t>10.8 Fase 10: operación y crecimiento</w:t>
      </w:r>
    </w:p>
    <w:p>
      <w:pPr>
        <w:pStyle w:val="ListBullet"/>
      </w:pPr>
      <w:r>
        <w:rPr>
          <w:rFonts w:ascii="Calibri" w:hAnsi="Calibri"/>
          <w:color w:val="1F2937"/>
          <w:sz w:val="22"/>
        </w:rPr>
        <w:t>Convenio y piloto real con Uyuni o Caranavi.</w:t>
      </w:r>
    </w:p>
    <w:p>
      <w:pPr>
        <w:pStyle w:val="ListBullet"/>
      </w:pPr>
      <w:r>
        <w:rPr>
          <w:rFonts w:ascii="Calibri" w:hAnsi="Calibri"/>
          <w:color w:val="1F2937"/>
          <w:sz w:val="22"/>
        </w:rPr>
        <w:t>Usuarios, roles y procedimientos institucionales aprobados.</w:t>
      </w:r>
    </w:p>
    <w:p>
      <w:pPr>
        <w:pStyle w:val="ListBullet"/>
      </w:pPr>
      <w:r>
        <w:rPr>
          <w:rFonts w:ascii="Calibri" w:hAnsi="Calibri"/>
          <w:color w:val="1F2937"/>
          <w:sz w:val="22"/>
        </w:rPr>
        <w:t>Soporte, SLA, incidencias y postmortems.</w:t>
      </w:r>
    </w:p>
    <w:p>
      <w:pPr>
        <w:pStyle w:val="ListBullet"/>
      </w:pPr>
      <w:r>
        <w:rPr>
          <w:rFonts w:ascii="Calibri" w:hAnsi="Calibri"/>
          <w:color w:val="1F2937"/>
          <w:sz w:val="22"/>
        </w:rPr>
        <w:t>Onboarding técnico y continuidad del conocimiento.</w:t>
      </w:r>
    </w:p>
    <w:p>
      <w:pPr>
        <w:pStyle w:val="ListBullet"/>
      </w:pPr>
      <w:r>
        <w:rPr>
          <w:rFonts w:ascii="Calibri" w:hAnsi="Calibri"/>
          <w:color w:val="1F2937"/>
          <w:sz w:val="22"/>
        </w:rPr>
        <w:t>Dossier de resultados y despliegue del tercer municipio en menos de un día.</w:t>
      </w:r>
    </w:p>
    <w:p>
      <w:pPr>
        <w:pStyle w:val="Heading1"/>
      </w:pPr>
      <w:r>
        <w:t>11. Secuencia recomendada de ejecución</w:t>
      </w:r>
    </w:p>
    <w:p>
      <w:pPr>
        <w:spacing w:before="80" w:after="80"/>
      </w:pPr>
      <w:r>
        <w:rPr>
          <w:rFonts w:ascii="Calibri" w:hAnsi="Calibri"/>
          <w:b/>
          <w:color w:val="0B2545"/>
          <w:sz w:val="19"/>
        </w:rPr>
        <w:t>Tabla 12. Priorización recomendada</w:t>
      </w:r>
    </w:p>
    <w:tbl>
      <w:tblPr>
        <w:tblStyle w:val="TableGrid"/>
        <w:tblW w:type="dxa" w:w="9360"/>
        <w:jc w:val="left"/>
        <w:tblLayout w:type="fixed"/>
        <w:tblLook w:firstColumn="1" w:firstRow="1" w:lastColumn="0" w:lastRow="0" w:noHBand="0" w:noVBand="1" w:val="04A0"/>
        <w:tblInd w:w="120" w:type="dxa"/>
      </w:tblPr>
      <w:tblGrid>
        <w:gridCol w:w="950"/>
        <w:gridCol w:w="3400"/>
        <w:gridCol w:w="5010"/>
      </w:tblGrid>
      <w:tr>
        <w:trPr>
          <w:tblHeader w:val="true"/>
          <w:cantSplit w:val="true"/>
        </w:trPr>
        <w:tc>
          <w:tcPr>
            <w:tcW w:type="dxa" w:w="950"/>
            <w:shd w:fill="F2F4F7"/>
            <w:tcMar>
              <w:top w:w="80" w:type="dxa"/>
              <w:start w:w="120" w:type="dxa"/>
              <w:bottom w:w="80" w:type="dxa"/>
              <w:end w:w="120" w:type="dxa"/>
            </w:tcMar>
            <w:vAlign w:val="center"/>
          </w:tcPr>
          <w:p>
            <w:pPr>
              <w:jc w:val="center"/>
            </w:pPr>
            <w:r>
              <w:rPr>
                <w:rFonts w:ascii="Calibri" w:hAnsi="Calibri"/>
                <w:b/>
                <w:color w:val="0B2545"/>
                <w:sz w:val="18"/>
              </w:rPr>
              <w:t>Orden</w:t>
            </w:r>
          </w:p>
        </w:tc>
        <w:tc>
          <w:tcPr>
            <w:tcW w:type="dxa" w:w="3400"/>
            <w:shd w:fill="F2F4F7"/>
            <w:tcMar>
              <w:top w:w="80" w:type="dxa"/>
              <w:start w:w="120" w:type="dxa"/>
              <w:bottom w:w="80" w:type="dxa"/>
              <w:end w:w="120" w:type="dxa"/>
            </w:tcMar>
            <w:vAlign w:val="center"/>
          </w:tcPr>
          <w:p>
            <w:pPr>
              <w:jc w:val="left"/>
            </w:pPr>
            <w:r>
              <w:rPr>
                <w:rFonts w:ascii="Calibri" w:hAnsi="Calibri"/>
                <w:b/>
                <w:color w:val="0B2545"/>
                <w:sz w:val="18"/>
              </w:rPr>
              <w:t>Paquete de trabajo</w:t>
            </w:r>
          </w:p>
        </w:tc>
        <w:tc>
          <w:tcPr>
            <w:tcW w:type="dxa" w:w="5010"/>
            <w:shd w:fill="F2F4F7"/>
            <w:tcMar>
              <w:top w:w="80" w:type="dxa"/>
              <w:start w:w="120" w:type="dxa"/>
              <w:bottom w:w="80" w:type="dxa"/>
              <w:end w:w="120" w:type="dxa"/>
            </w:tcMar>
            <w:vAlign w:val="center"/>
          </w:tcPr>
          <w:p>
            <w:pPr>
              <w:jc w:val="left"/>
            </w:pPr>
            <w:r>
              <w:rPr>
                <w:rFonts w:ascii="Calibri" w:hAnsi="Calibri"/>
                <w:b/>
                <w:color w:val="0B2545"/>
                <w:sz w:val="18"/>
              </w:rPr>
              <w:t>Criterio de salida</w:t>
            </w:r>
          </w:p>
        </w:tc>
      </w:tr>
      <w:tr>
        <w:trPr>
          <w:cantSplit w:val="true"/>
        </w:trPr>
        <w:tc>
          <w:tcPr>
            <w:tcW w:type="dxa" w:w="950"/>
            <w:tcMar>
              <w:top w:w="80" w:type="dxa"/>
              <w:start w:w="120" w:type="dxa"/>
              <w:bottom w:w="80" w:type="dxa"/>
              <w:end w:w="120" w:type="dxa"/>
            </w:tcMar>
            <w:vAlign w:val="center"/>
          </w:tcPr>
          <w:p>
            <w:pPr>
              <w:jc w:val="left"/>
            </w:pPr>
            <w:r>
              <w:rPr>
                <w:rFonts w:ascii="Calibri" w:hAnsi="Calibri"/>
                <w:b w:val="0"/>
                <w:color w:val="1F2937"/>
                <w:sz w:val="18"/>
              </w:rPr>
              <w:t>P0</w:t>
            </w:r>
          </w:p>
        </w:tc>
        <w:tc>
          <w:tcPr>
            <w:tcW w:type="dxa" w:w="3400"/>
            <w:tcMar>
              <w:top w:w="80" w:type="dxa"/>
              <w:start w:w="120" w:type="dxa"/>
              <w:bottom w:w="80" w:type="dxa"/>
              <w:end w:w="120" w:type="dxa"/>
            </w:tcMar>
            <w:vAlign w:val="center"/>
          </w:tcPr>
          <w:p>
            <w:pPr>
              <w:jc w:val="left"/>
            </w:pPr>
            <w:r>
              <w:rPr>
                <w:rFonts w:ascii="Calibri" w:hAnsi="Calibri"/>
                <w:b w:val="0"/>
                <w:color w:val="1F2937"/>
                <w:sz w:val="18"/>
              </w:rPr>
              <w:t>Corregir documentación crítica</w:t>
            </w:r>
          </w:p>
        </w:tc>
        <w:tc>
          <w:tcPr>
            <w:tcW w:type="dxa" w:w="5010"/>
            <w:tcMar>
              <w:top w:w="80" w:type="dxa"/>
              <w:start w:w="120" w:type="dxa"/>
              <w:bottom w:w="80" w:type="dxa"/>
              <w:end w:w="120" w:type="dxa"/>
            </w:tcMar>
            <w:vAlign w:val="center"/>
          </w:tcPr>
          <w:p>
            <w:pPr>
              <w:jc w:val="left"/>
            </w:pPr>
            <w:r>
              <w:rPr>
                <w:rFonts w:ascii="Calibri" w:hAnsi="Calibri"/>
                <w:b w:val="0"/>
                <w:color w:val="1F2937"/>
                <w:sz w:val="18"/>
              </w:rPr>
              <w:t>AGENTS, PLAN_MAESTRO y HALLAZGO alineados con código</w:t>
            </w:r>
          </w:p>
        </w:tc>
      </w:tr>
      <w:tr>
        <w:trPr>
          <w:cantSplit w:val="true"/>
        </w:trPr>
        <w:tc>
          <w:tcPr>
            <w:tcW w:type="dxa" w:w="950"/>
            <w:shd w:fill="FAFBFC"/>
            <w:tcMar>
              <w:top w:w="80" w:type="dxa"/>
              <w:start w:w="120" w:type="dxa"/>
              <w:bottom w:w="80" w:type="dxa"/>
              <w:end w:w="120" w:type="dxa"/>
            </w:tcMar>
            <w:vAlign w:val="center"/>
          </w:tcPr>
          <w:p>
            <w:pPr>
              <w:jc w:val="left"/>
            </w:pPr>
            <w:r>
              <w:rPr>
                <w:rFonts w:ascii="Calibri" w:hAnsi="Calibri"/>
                <w:b w:val="0"/>
                <w:color w:val="1F2937"/>
                <w:sz w:val="18"/>
              </w:rPr>
              <w:t>P1</w:t>
            </w:r>
          </w:p>
        </w:tc>
        <w:tc>
          <w:tcPr>
            <w:tcW w:type="dxa" w:w="3400"/>
            <w:shd w:fill="FAFBFC"/>
            <w:tcMar>
              <w:top w:w="80" w:type="dxa"/>
              <w:start w:w="120" w:type="dxa"/>
              <w:bottom w:w="80" w:type="dxa"/>
              <w:end w:w="120" w:type="dxa"/>
            </w:tcMar>
            <w:vAlign w:val="center"/>
          </w:tcPr>
          <w:p>
            <w:pPr>
              <w:jc w:val="left"/>
            </w:pPr>
            <w:r>
              <w:rPr>
                <w:rFonts w:ascii="Calibri" w:hAnsi="Calibri"/>
                <w:b w:val="0"/>
                <w:color w:val="1F2937"/>
                <w:sz w:val="18"/>
              </w:rPr>
              <w:t>ADR + composición 3.B.7</w:t>
            </w:r>
          </w:p>
        </w:tc>
        <w:tc>
          <w:tcPr>
            <w:tcW w:type="dxa" w:w="5010"/>
            <w:shd w:fill="FAFBFC"/>
            <w:tcMar>
              <w:top w:w="80" w:type="dxa"/>
              <w:start w:w="120" w:type="dxa"/>
              <w:bottom w:w="80" w:type="dxa"/>
              <w:end w:w="120" w:type="dxa"/>
            </w:tcMar>
            <w:vAlign w:val="center"/>
          </w:tcPr>
          <w:p>
            <w:pPr>
              <w:jc w:val="left"/>
            </w:pPr>
            <w:r>
              <w:rPr>
                <w:rFonts w:ascii="Calibri" w:hAnsi="Calibri"/>
                <w:b w:val="0"/>
                <w:color w:val="1F2937"/>
                <w:sz w:val="18"/>
              </w:rPr>
              <w:t>Snapshot N+1 completo y tests de conservación</w:t>
            </w:r>
          </w:p>
        </w:tc>
      </w:tr>
      <w:tr>
        <w:trPr>
          <w:cantSplit w:val="true"/>
        </w:trPr>
        <w:tc>
          <w:tcPr>
            <w:tcW w:type="dxa" w:w="950"/>
            <w:tcMar>
              <w:top w:w="80" w:type="dxa"/>
              <w:start w:w="120" w:type="dxa"/>
              <w:bottom w:w="80" w:type="dxa"/>
              <w:end w:w="120" w:type="dxa"/>
            </w:tcMar>
            <w:vAlign w:val="center"/>
          </w:tcPr>
          <w:p>
            <w:pPr>
              <w:jc w:val="left"/>
            </w:pPr>
            <w:r>
              <w:rPr>
                <w:rFonts w:ascii="Calibri" w:hAnsi="Calibri"/>
                <w:b w:val="0"/>
                <w:color w:val="1F2937"/>
                <w:sz w:val="18"/>
              </w:rPr>
              <w:t>P2</w:t>
            </w:r>
          </w:p>
        </w:tc>
        <w:tc>
          <w:tcPr>
            <w:tcW w:type="dxa" w:w="3400"/>
            <w:tcMar>
              <w:top w:w="80" w:type="dxa"/>
              <w:start w:w="120" w:type="dxa"/>
              <w:bottom w:w="80" w:type="dxa"/>
              <w:end w:w="120" w:type="dxa"/>
            </w:tcMar>
            <w:vAlign w:val="center"/>
          </w:tcPr>
          <w:p>
            <w:pPr>
              <w:jc w:val="left"/>
            </w:pPr>
            <w:r>
              <w:rPr>
                <w:rFonts w:ascii="Calibri" w:hAnsi="Calibri"/>
                <w:b w:val="0"/>
                <w:color w:val="1F2937"/>
                <w:sz w:val="18"/>
              </w:rPr>
              <w:t>Importar Caranavi predial</w:t>
            </w:r>
          </w:p>
        </w:tc>
        <w:tc>
          <w:tcPr>
            <w:tcW w:type="dxa" w:w="5010"/>
            <w:tcMar>
              <w:top w:w="80" w:type="dxa"/>
              <w:start w:w="120" w:type="dxa"/>
              <w:bottom w:w="80" w:type="dxa"/>
              <w:end w:w="120" w:type="dxa"/>
            </w:tcMar>
            <w:vAlign w:val="center"/>
          </w:tcPr>
          <w:p>
            <w:pPr>
              <w:jc w:val="left"/>
            </w:pPr>
            <w:r>
              <w:rPr>
                <w:rFonts w:ascii="Calibri" w:hAnsi="Calibri"/>
                <w:b w:val="0"/>
                <w:color w:val="1F2937"/>
                <w:sz w:val="18"/>
              </w:rPr>
              <w:t>6.573 activos junto con tres capas base; rollback probado</w:t>
            </w:r>
          </w:p>
        </w:tc>
      </w:tr>
      <w:tr>
        <w:trPr>
          <w:cantSplit w:val="true"/>
        </w:trPr>
        <w:tc>
          <w:tcPr>
            <w:tcW w:type="dxa" w:w="950"/>
            <w:shd w:fill="FAFBFC"/>
            <w:tcMar>
              <w:top w:w="80" w:type="dxa"/>
              <w:start w:w="120" w:type="dxa"/>
              <w:bottom w:w="80" w:type="dxa"/>
              <w:end w:w="120" w:type="dxa"/>
            </w:tcMar>
            <w:vAlign w:val="center"/>
          </w:tcPr>
          <w:p>
            <w:pPr>
              <w:jc w:val="left"/>
            </w:pPr>
            <w:r>
              <w:rPr>
                <w:rFonts w:ascii="Calibri" w:hAnsi="Calibri"/>
                <w:b w:val="0"/>
                <w:color w:val="1F2937"/>
                <w:sz w:val="18"/>
              </w:rPr>
              <w:t>P3</w:t>
            </w:r>
          </w:p>
        </w:tc>
        <w:tc>
          <w:tcPr>
            <w:tcW w:type="dxa" w:w="3400"/>
            <w:shd w:fill="FAFBFC"/>
            <w:tcMar>
              <w:top w:w="80" w:type="dxa"/>
              <w:start w:w="120" w:type="dxa"/>
              <w:bottom w:w="80" w:type="dxa"/>
              <w:end w:w="120" w:type="dxa"/>
            </w:tcMar>
            <w:vAlign w:val="center"/>
          </w:tcPr>
          <w:p>
            <w:pPr>
              <w:jc w:val="left"/>
            </w:pPr>
            <w:r>
              <w:rPr>
                <w:rFonts w:ascii="Calibri" w:hAnsi="Calibri"/>
                <w:b w:val="0"/>
                <w:color w:val="1F2937"/>
                <w:sz w:val="18"/>
              </w:rPr>
              <w:t>Cierre de identidad provisional</w:t>
            </w:r>
          </w:p>
        </w:tc>
        <w:tc>
          <w:tcPr>
            <w:tcW w:type="dxa" w:w="5010"/>
            <w:shd w:fill="FAFBFC"/>
            <w:tcMar>
              <w:top w:w="80" w:type="dxa"/>
              <w:start w:w="120" w:type="dxa"/>
              <w:bottom w:w="80" w:type="dxa"/>
              <w:end w:w="120" w:type="dxa"/>
            </w:tcMar>
            <w:vAlign w:val="center"/>
          </w:tcPr>
          <w:p>
            <w:pPr>
              <w:jc w:val="left"/>
            </w:pPr>
            <w:r>
              <w:rPr>
                <w:rFonts w:ascii="Calibri" w:hAnsi="Calibri"/>
                <w:b w:val="0"/>
                <w:color w:val="1F2937"/>
                <w:sz w:val="18"/>
              </w:rPr>
              <w:t>Modelo ratificado; sin falsa unicidad</w:t>
            </w:r>
          </w:p>
        </w:tc>
      </w:tr>
      <w:tr>
        <w:trPr>
          <w:cantSplit w:val="true"/>
        </w:trPr>
        <w:tc>
          <w:tcPr>
            <w:tcW w:type="dxa" w:w="950"/>
            <w:tcMar>
              <w:top w:w="80" w:type="dxa"/>
              <w:start w:w="120" w:type="dxa"/>
              <w:bottom w:w="80" w:type="dxa"/>
              <w:end w:w="120" w:type="dxa"/>
            </w:tcMar>
            <w:vAlign w:val="center"/>
          </w:tcPr>
          <w:p>
            <w:pPr>
              <w:jc w:val="left"/>
            </w:pPr>
            <w:r>
              <w:rPr>
                <w:rFonts w:ascii="Calibri" w:hAnsi="Calibri"/>
                <w:b w:val="0"/>
                <w:color w:val="1F2937"/>
                <w:sz w:val="18"/>
              </w:rPr>
              <w:t>P4</w:t>
            </w:r>
          </w:p>
        </w:tc>
        <w:tc>
          <w:tcPr>
            <w:tcW w:type="dxa" w:w="3400"/>
            <w:tcMar>
              <w:top w:w="80" w:type="dxa"/>
              <w:start w:w="120" w:type="dxa"/>
              <w:bottom w:w="80" w:type="dxa"/>
              <w:end w:w="120" w:type="dxa"/>
            </w:tcMar>
            <w:vAlign w:val="center"/>
          </w:tcPr>
          <w:p>
            <w:pPr>
              <w:jc w:val="left"/>
            </w:pPr>
            <w:r>
              <w:rPr>
                <w:rFonts w:ascii="Calibri" w:hAnsi="Calibri"/>
                <w:b w:val="0"/>
                <w:color w:val="1F2937"/>
                <w:sz w:val="18"/>
              </w:rPr>
              <w:t>Valuación Fase A</w:t>
            </w:r>
          </w:p>
        </w:tc>
        <w:tc>
          <w:tcPr>
            <w:tcW w:type="dxa" w:w="5010"/>
            <w:tcMar>
              <w:top w:w="80" w:type="dxa"/>
              <w:start w:w="120" w:type="dxa"/>
              <w:bottom w:w="80" w:type="dxa"/>
              <w:end w:w="120" w:type="dxa"/>
            </w:tcMar>
            <w:vAlign w:val="center"/>
          </w:tcPr>
          <w:p>
            <w:pPr>
              <w:jc w:val="left"/>
            </w:pPr>
            <w:r>
              <w:rPr>
                <w:rFonts w:ascii="Calibri" w:hAnsi="Calibri"/>
                <w:b w:val="0"/>
                <w:color w:val="1F2937"/>
                <w:sz w:val="18"/>
              </w:rPr>
              <w:t>11.985 Uyuni calculados y cinco casos manuales</w:t>
            </w:r>
          </w:p>
        </w:tc>
      </w:tr>
      <w:tr>
        <w:trPr>
          <w:cantSplit w:val="true"/>
        </w:trPr>
        <w:tc>
          <w:tcPr>
            <w:tcW w:type="dxa" w:w="950"/>
            <w:shd w:fill="FAFBFC"/>
            <w:tcMar>
              <w:top w:w="80" w:type="dxa"/>
              <w:start w:w="120" w:type="dxa"/>
              <w:bottom w:w="80" w:type="dxa"/>
              <w:end w:w="120" w:type="dxa"/>
            </w:tcMar>
            <w:vAlign w:val="center"/>
          </w:tcPr>
          <w:p>
            <w:pPr>
              <w:jc w:val="left"/>
            </w:pPr>
            <w:r>
              <w:rPr>
                <w:rFonts w:ascii="Calibri" w:hAnsi="Calibri"/>
                <w:b w:val="0"/>
                <w:color w:val="1F2937"/>
                <w:sz w:val="18"/>
              </w:rPr>
              <w:t>P5</w:t>
            </w:r>
          </w:p>
        </w:tc>
        <w:tc>
          <w:tcPr>
            <w:tcW w:type="dxa" w:w="3400"/>
            <w:shd w:fill="FAFBFC"/>
            <w:tcMar>
              <w:top w:w="80" w:type="dxa"/>
              <w:start w:w="120" w:type="dxa"/>
              <w:bottom w:w="80" w:type="dxa"/>
              <w:end w:w="120" w:type="dxa"/>
            </w:tcMar>
            <w:vAlign w:val="center"/>
          </w:tcPr>
          <w:p>
            <w:pPr>
              <w:jc w:val="left"/>
            </w:pPr>
            <w:r>
              <w:rPr>
                <w:rFonts w:ascii="Calibri" w:hAnsi="Calibri"/>
                <w:b w:val="0"/>
                <w:color w:val="1F2937"/>
                <w:sz w:val="18"/>
              </w:rPr>
              <w:t>Certificado institucional</w:t>
            </w:r>
          </w:p>
        </w:tc>
        <w:tc>
          <w:tcPr>
            <w:tcW w:type="dxa" w:w="5010"/>
            <w:shd w:fill="FAFBFC"/>
            <w:tcMar>
              <w:top w:w="80" w:type="dxa"/>
              <w:start w:w="120" w:type="dxa"/>
              <w:bottom w:w="80" w:type="dxa"/>
              <w:end w:w="120" w:type="dxa"/>
            </w:tcMar>
            <w:vAlign w:val="center"/>
          </w:tcPr>
          <w:p>
            <w:pPr>
              <w:jc w:val="left"/>
            </w:pPr>
            <w:r>
              <w:rPr>
                <w:rFonts w:ascii="Calibri" w:hAnsi="Calibri"/>
                <w:b w:val="0"/>
                <w:color w:val="1F2937"/>
                <w:sz w:val="18"/>
              </w:rPr>
              <w:t>PDF, folio, QR y permisos</w:t>
            </w:r>
          </w:p>
        </w:tc>
      </w:tr>
      <w:tr>
        <w:trPr>
          <w:cantSplit w:val="true"/>
        </w:trPr>
        <w:tc>
          <w:tcPr>
            <w:tcW w:type="dxa" w:w="950"/>
            <w:tcMar>
              <w:top w:w="80" w:type="dxa"/>
              <w:start w:w="120" w:type="dxa"/>
              <w:bottom w:w="80" w:type="dxa"/>
              <w:end w:w="120" w:type="dxa"/>
            </w:tcMar>
            <w:vAlign w:val="center"/>
          </w:tcPr>
          <w:p>
            <w:pPr>
              <w:jc w:val="left"/>
            </w:pPr>
            <w:r>
              <w:rPr>
                <w:rFonts w:ascii="Calibri" w:hAnsi="Calibri"/>
                <w:b w:val="0"/>
                <w:color w:val="1F2937"/>
                <w:sz w:val="18"/>
              </w:rPr>
              <w:t>P6</w:t>
            </w:r>
          </w:p>
        </w:tc>
        <w:tc>
          <w:tcPr>
            <w:tcW w:type="dxa" w:w="3400"/>
            <w:tcMar>
              <w:top w:w="80" w:type="dxa"/>
              <w:start w:w="120" w:type="dxa"/>
              <w:bottom w:w="80" w:type="dxa"/>
              <w:end w:w="120" w:type="dxa"/>
            </w:tcMar>
            <w:vAlign w:val="center"/>
          </w:tcPr>
          <w:p>
            <w:pPr>
              <w:jc w:val="left"/>
            </w:pPr>
            <w:r>
              <w:rPr>
                <w:rFonts w:ascii="Calibri" w:hAnsi="Calibri"/>
                <w:b w:val="0"/>
                <w:color w:val="1F2937"/>
                <w:sz w:val="18"/>
              </w:rPr>
              <w:t>Trámites esenciales</w:t>
            </w:r>
          </w:p>
        </w:tc>
        <w:tc>
          <w:tcPr>
            <w:tcW w:type="dxa" w:w="5010"/>
            <w:tcMar>
              <w:top w:w="80" w:type="dxa"/>
              <w:start w:w="120" w:type="dxa"/>
              <w:bottom w:w="80" w:type="dxa"/>
              <w:end w:w="120" w:type="dxa"/>
            </w:tcMar>
            <w:vAlign w:val="center"/>
          </w:tcPr>
          <w:p>
            <w:pPr>
              <w:jc w:val="left"/>
            </w:pPr>
            <w:r>
              <w:rPr>
                <w:rFonts w:ascii="Calibri" w:hAnsi="Calibri"/>
                <w:b w:val="0"/>
                <w:color w:val="1F2937"/>
                <w:sz w:val="18"/>
              </w:rPr>
              <w:t>Transferencia y mejoras end-to-end</w:t>
            </w:r>
          </w:p>
        </w:tc>
      </w:tr>
      <w:tr>
        <w:trPr>
          <w:cantSplit w:val="true"/>
        </w:trPr>
        <w:tc>
          <w:tcPr>
            <w:tcW w:type="dxa" w:w="950"/>
            <w:shd w:fill="FAFBFC"/>
            <w:tcMar>
              <w:top w:w="80" w:type="dxa"/>
              <w:start w:w="120" w:type="dxa"/>
              <w:bottom w:w="80" w:type="dxa"/>
              <w:end w:w="120" w:type="dxa"/>
            </w:tcMar>
            <w:vAlign w:val="center"/>
          </w:tcPr>
          <w:p>
            <w:pPr>
              <w:jc w:val="left"/>
            </w:pPr>
            <w:r>
              <w:rPr>
                <w:rFonts w:ascii="Calibri" w:hAnsi="Calibri"/>
                <w:b w:val="0"/>
                <w:color w:val="1F2937"/>
                <w:sz w:val="18"/>
              </w:rPr>
              <w:t>P7</w:t>
            </w:r>
          </w:p>
        </w:tc>
        <w:tc>
          <w:tcPr>
            <w:tcW w:type="dxa" w:w="3400"/>
            <w:shd w:fill="FAFBFC"/>
            <w:tcMar>
              <w:top w:w="80" w:type="dxa"/>
              <w:start w:w="120" w:type="dxa"/>
              <w:bottom w:w="80" w:type="dxa"/>
              <w:end w:w="120" w:type="dxa"/>
            </w:tcMar>
            <w:vAlign w:val="center"/>
          </w:tcPr>
          <w:p>
            <w:pPr>
              <w:jc w:val="left"/>
            </w:pPr>
            <w:r>
              <w:rPr>
                <w:rFonts w:ascii="Calibri" w:hAnsi="Calibri"/>
                <w:b w:val="0"/>
                <w:color w:val="1F2937"/>
                <w:sz w:val="18"/>
              </w:rPr>
              <w:t>Producción endurecida</w:t>
            </w:r>
          </w:p>
        </w:tc>
        <w:tc>
          <w:tcPr>
            <w:tcW w:type="dxa" w:w="5010"/>
            <w:shd w:fill="FAFBFC"/>
            <w:tcMar>
              <w:top w:w="80" w:type="dxa"/>
              <w:start w:w="120" w:type="dxa"/>
              <w:bottom w:w="80" w:type="dxa"/>
              <w:end w:w="120" w:type="dxa"/>
            </w:tcMar>
            <w:vAlign w:val="center"/>
          </w:tcPr>
          <w:p>
            <w:pPr>
              <w:jc w:val="left"/>
            </w:pPr>
            <w:r>
              <w:rPr>
                <w:rFonts w:ascii="Calibri" w:hAnsi="Calibri"/>
                <w:b w:val="0"/>
                <w:color w:val="1F2937"/>
                <w:sz w:val="18"/>
              </w:rPr>
              <w:t>Restore, monitoreo, TLS y manuales</w:t>
            </w:r>
          </w:p>
        </w:tc>
      </w:tr>
      <w:tr>
        <w:trPr>
          <w:cantSplit w:val="true"/>
        </w:trPr>
        <w:tc>
          <w:tcPr>
            <w:tcW w:type="dxa" w:w="950"/>
            <w:tcMar>
              <w:top w:w="80" w:type="dxa"/>
              <w:start w:w="120" w:type="dxa"/>
              <w:bottom w:w="80" w:type="dxa"/>
              <w:end w:w="120" w:type="dxa"/>
            </w:tcMar>
            <w:vAlign w:val="center"/>
          </w:tcPr>
          <w:p>
            <w:pPr>
              <w:jc w:val="left"/>
            </w:pPr>
            <w:r>
              <w:rPr>
                <w:rFonts w:ascii="Calibri" w:hAnsi="Calibri"/>
                <w:b w:val="0"/>
                <w:color w:val="1F2937"/>
                <w:sz w:val="18"/>
              </w:rPr>
              <w:t>P8</w:t>
            </w:r>
          </w:p>
        </w:tc>
        <w:tc>
          <w:tcPr>
            <w:tcW w:type="dxa" w:w="3400"/>
            <w:tcMar>
              <w:top w:w="80" w:type="dxa"/>
              <w:start w:w="120" w:type="dxa"/>
              <w:bottom w:w="80" w:type="dxa"/>
              <w:end w:w="120" w:type="dxa"/>
            </w:tcMar>
            <w:vAlign w:val="center"/>
          </w:tcPr>
          <w:p>
            <w:pPr>
              <w:jc w:val="left"/>
            </w:pPr>
            <w:r>
              <w:rPr>
                <w:rFonts w:ascii="Calibri" w:hAnsi="Calibri"/>
                <w:b w:val="0"/>
                <w:color w:val="1F2937"/>
                <w:sz w:val="18"/>
              </w:rPr>
              <w:t>Integración tributaria + portal</w:t>
            </w:r>
          </w:p>
        </w:tc>
        <w:tc>
          <w:tcPr>
            <w:tcW w:type="dxa" w:w="5010"/>
            <w:tcMar>
              <w:top w:w="80" w:type="dxa"/>
              <w:start w:w="120" w:type="dxa"/>
              <w:bottom w:w="80" w:type="dxa"/>
              <w:end w:w="120" w:type="dxa"/>
            </w:tcMar>
            <w:vAlign w:val="center"/>
          </w:tcPr>
          <w:p>
            <w:pPr>
              <w:jc w:val="left"/>
            </w:pPr>
            <w:r>
              <w:rPr>
                <w:rFonts w:ascii="Calibri" w:hAnsi="Calibri"/>
                <w:b w:val="0"/>
                <w:color w:val="1F2937"/>
                <w:sz w:val="18"/>
              </w:rPr>
              <w:t>Decisiones GAM y pruebas de privacidad</w:t>
            </w:r>
          </w:p>
        </w:tc>
      </w:tr>
      <w:tr>
        <w:trPr>
          <w:cantSplit w:val="true"/>
        </w:trPr>
        <w:tc>
          <w:tcPr>
            <w:tcW w:type="dxa" w:w="950"/>
            <w:shd w:fill="FAFBFC"/>
            <w:tcMar>
              <w:top w:w="80" w:type="dxa"/>
              <w:start w:w="120" w:type="dxa"/>
              <w:bottom w:w="80" w:type="dxa"/>
              <w:end w:w="120" w:type="dxa"/>
            </w:tcMar>
            <w:vAlign w:val="center"/>
          </w:tcPr>
          <w:p>
            <w:pPr>
              <w:jc w:val="left"/>
            </w:pPr>
            <w:r>
              <w:rPr>
                <w:rFonts w:ascii="Calibri" w:hAnsi="Calibri"/>
                <w:b w:val="0"/>
                <w:color w:val="1F2937"/>
                <w:sz w:val="18"/>
              </w:rPr>
              <w:t>P9</w:t>
            </w:r>
          </w:p>
        </w:tc>
        <w:tc>
          <w:tcPr>
            <w:tcW w:type="dxa" w:w="3400"/>
            <w:shd w:fill="FAFBFC"/>
            <w:tcMar>
              <w:top w:w="80" w:type="dxa"/>
              <w:start w:w="120" w:type="dxa"/>
              <w:bottom w:w="80" w:type="dxa"/>
              <w:end w:w="120" w:type="dxa"/>
            </w:tcMar>
            <w:vAlign w:val="center"/>
          </w:tcPr>
          <w:p>
            <w:pPr>
              <w:jc w:val="left"/>
            </w:pPr>
            <w:r>
              <w:rPr>
                <w:rFonts w:ascii="Calibri" w:hAnsi="Calibri"/>
                <w:b w:val="0"/>
                <w:color w:val="1F2937"/>
                <w:sz w:val="18"/>
              </w:rPr>
              <w:t>Piloto y replicación</w:t>
            </w:r>
          </w:p>
        </w:tc>
        <w:tc>
          <w:tcPr>
            <w:tcW w:type="dxa" w:w="5010"/>
            <w:shd w:fill="FAFBFC"/>
            <w:tcMar>
              <w:top w:w="80" w:type="dxa"/>
              <w:start w:w="120" w:type="dxa"/>
              <w:bottom w:w="80" w:type="dxa"/>
              <w:end w:w="120" w:type="dxa"/>
            </w:tcMar>
            <w:vAlign w:val="center"/>
          </w:tcPr>
          <w:p>
            <w:pPr>
              <w:jc w:val="left"/>
            </w:pPr>
            <w:r>
              <w:rPr>
                <w:rFonts w:ascii="Calibri" w:hAnsi="Calibri"/>
                <w:b w:val="0"/>
                <w:color w:val="1F2937"/>
                <w:sz w:val="18"/>
              </w:rPr>
              <w:t>Operación real + segundo/tercer municipio</w:t>
            </w:r>
          </w:p>
        </w:tc>
      </w:tr>
    </w:tbl>
    <w:p>
      <w:pPr>
        <w:spacing w:before="80" w:after="80"/>
      </w:pPr>
      <w:r>
        <w:rPr>
          <w:rFonts w:ascii="Calibri" w:hAnsi="Calibri"/>
          <w:i/>
          <w:color w:val="5F6B7A"/>
          <w:sz w:val="17"/>
        </w:rPr>
        <w:t>Fuente: dependencias técnicas e institucionales observadas.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D6"/>
          </w:tcPr>
          <w:p>
            <w:pPr>
              <w:spacing w:after="40"/>
            </w:pPr>
            <w:r>
              <w:rPr>
                <w:rFonts w:ascii="Calibri" w:hAnsi="Calibri"/>
                <w:b/>
                <w:color w:val="A46A00"/>
                <w:sz w:val="18"/>
              </w:rPr>
              <w:t>REGLA DE CIERRE</w:t>
            </w:r>
          </w:p>
          <w:p>
            <w:pPr>
              <w:spacing w:after="0"/>
            </w:pPr>
            <w:r>
              <w:rPr>
                <w:rFonts w:ascii="Calibri" w:hAnsi="Calibri"/>
                <w:color w:val="1F2937"/>
                <w:sz w:val="21"/>
              </w:rPr>
              <w:t>No abrir simultáneamente valuación, certificados, trámites y portal. Cerrar primero 3.B.7 y consolidar documentación; después avanzar por capacidades con evidencia de aceptación y sin debilitar la operación existente.</w:t>
            </w:r>
          </w:p>
        </w:tc>
      </w:tr>
    </w:tbl>
    <w:p>
      <w:pPr>
        <w:spacing w:after="0"/>
      </w:pPr>
    </w:p>
    <w:p>
      <w:pPr>
        <w:pStyle w:val="Heading1"/>
      </w:pPr>
      <w:r>
        <w:t>12. Decisiones institucionales pendientes</w:t>
      </w:r>
    </w:p>
    <w:p>
      <w:pPr>
        <w:spacing w:before="80" w:after="80"/>
      </w:pPr>
      <w:r>
        <w:rPr>
          <w:rFonts w:ascii="Calibri" w:hAnsi="Calibri"/>
          <w:b/>
          <w:color w:val="0B2545"/>
          <w:sz w:val="19"/>
        </w:rPr>
        <w:t>Tabla 13. Decisiones no sustituibles por código</w:t>
      </w:r>
    </w:p>
    <w:tbl>
      <w:tblPr>
        <w:tblStyle w:val="TableGrid"/>
        <w:tblW w:type="dxa" w:w="9360"/>
        <w:jc w:val="left"/>
        <w:tblLayout w:type="fixed"/>
        <w:tblLook w:firstColumn="1" w:firstRow="1" w:lastColumn="0" w:lastRow="0" w:noHBand="0" w:noVBand="1" w:val="04A0"/>
        <w:tblInd w:w="120" w:type="dxa"/>
      </w:tblPr>
      <w:tblGrid>
        <w:gridCol w:w="2400"/>
        <w:gridCol w:w="2100"/>
        <w:gridCol w:w="2000"/>
        <w:gridCol w:w="2860"/>
      </w:tblGrid>
      <w:tr>
        <w:trPr>
          <w:tblHeader w:val="true"/>
          <w:cantSplit w:val="true"/>
        </w:trPr>
        <w:tc>
          <w:tcPr>
            <w:tcW w:type="dxa" w:w="2400"/>
            <w:shd w:fill="F2F4F7"/>
            <w:tcMar>
              <w:top w:w="80" w:type="dxa"/>
              <w:start w:w="120" w:type="dxa"/>
              <w:bottom w:w="80" w:type="dxa"/>
              <w:end w:w="120" w:type="dxa"/>
            </w:tcMar>
            <w:vAlign w:val="center"/>
          </w:tcPr>
          <w:p>
            <w:pPr>
              <w:jc w:val="center"/>
            </w:pPr>
            <w:r>
              <w:rPr>
                <w:rFonts w:ascii="Calibri" w:hAnsi="Calibri"/>
                <w:b/>
                <w:color w:val="0B2545"/>
                <w:sz w:val="18"/>
              </w:rPr>
              <w:t>Decisión</w:t>
            </w:r>
          </w:p>
        </w:tc>
        <w:tc>
          <w:tcPr>
            <w:tcW w:type="dxa" w:w="2100"/>
            <w:shd w:fill="F2F4F7"/>
            <w:tcMar>
              <w:top w:w="80" w:type="dxa"/>
              <w:start w:w="120" w:type="dxa"/>
              <w:bottom w:w="80" w:type="dxa"/>
              <w:end w:w="120" w:type="dxa"/>
            </w:tcMar>
            <w:vAlign w:val="center"/>
          </w:tcPr>
          <w:p>
            <w:pPr>
              <w:jc w:val="center"/>
            </w:pPr>
            <w:r>
              <w:rPr>
                <w:rFonts w:ascii="Calibri" w:hAnsi="Calibri"/>
                <w:b/>
                <w:color w:val="0B2545"/>
                <w:sz w:val="18"/>
              </w:rPr>
              <w:t>Responsable</w:t>
            </w:r>
          </w:p>
        </w:tc>
        <w:tc>
          <w:tcPr>
            <w:tcW w:type="dxa" w:w="2000"/>
            <w:shd w:fill="F2F4F7"/>
            <w:tcMar>
              <w:top w:w="80" w:type="dxa"/>
              <w:start w:w="120" w:type="dxa"/>
              <w:bottom w:w="80" w:type="dxa"/>
              <w:end w:w="120" w:type="dxa"/>
            </w:tcMar>
            <w:vAlign w:val="center"/>
          </w:tcPr>
          <w:p>
            <w:pPr>
              <w:jc w:val="center"/>
            </w:pPr>
            <w:r>
              <w:rPr>
                <w:rFonts w:ascii="Calibri" w:hAnsi="Calibri"/>
                <w:b/>
                <w:color w:val="0B2545"/>
                <w:sz w:val="18"/>
              </w:rPr>
              <w:t>Cuándo</w:t>
            </w:r>
          </w:p>
        </w:tc>
        <w:tc>
          <w:tcPr>
            <w:tcW w:type="dxa" w:w="2860"/>
            <w:shd w:fill="F2F4F7"/>
            <w:tcMar>
              <w:top w:w="80" w:type="dxa"/>
              <w:start w:w="120" w:type="dxa"/>
              <w:bottom w:w="80" w:type="dxa"/>
              <w:end w:w="120" w:type="dxa"/>
            </w:tcMar>
            <w:vAlign w:val="center"/>
          </w:tcPr>
          <w:p>
            <w:pPr>
              <w:jc w:val="center"/>
            </w:pPr>
            <w:r>
              <w:rPr>
                <w:rFonts w:ascii="Calibri" w:hAnsi="Calibri"/>
                <w:b/>
                <w:color w:val="0B2545"/>
                <w:sz w:val="18"/>
              </w:rPr>
              <w:t>Impacto</w:t>
            </w:r>
          </w:p>
        </w:tc>
      </w:tr>
      <w:tr>
        <w:trPr>
          <w:cantSplit w:val="true"/>
        </w:trPr>
        <w:tc>
          <w:tcPr>
            <w:tcW w:type="dxa" w:w="2400"/>
            <w:tcMar>
              <w:top w:w="80" w:type="dxa"/>
              <w:start w:w="120" w:type="dxa"/>
              <w:bottom w:w="80" w:type="dxa"/>
              <w:end w:w="120" w:type="dxa"/>
            </w:tcMar>
            <w:vAlign w:val="center"/>
          </w:tcPr>
          <w:p>
            <w:pPr>
              <w:jc w:val="left"/>
            </w:pPr>
            <w:r>
              <w:rPr>
                <w:rFonts w:ascii="Calibri" w:hAnsi="Calibri"/>
                <w:b w:val="0"/>
                <w:color w:val="1F2937"/>
                <w:sz w:val="18"/>
              </w:rPr>
              <w:t>Valores zonales vigentes</w:t>
            </w:r>
          </w:p>
        </w:tc>
        <w:tc>
          <w:tcPr>
            <w:tcW w:type="dxa" w:w="2100"/>
            <w:tcMar>
              <w:top w:w="80" w:type="dxa"/>
              <w:start w:w="120" w:type="dxa"/>
              <w:bottom w:w="80" w:type="dxa"/>
              <w:end w:w="120" w:type="dxa"/>
            </w:tcMar>
            <w:vAlign w:val="center"/>
          </w:tcPr>
          <w:p>
            <w:pPr>
              <w:jc w:val="left"/>
            </w:pPr>
            <w:r>
              <w:rPr>
                <w:rFonts w:ascii="Calibri" w:hAnsi="Calibri"/>
                <w:b w:val="0"/>
                <w:color w:val="1F2937"/>
                <w:sz w:val="18"/>
              </w:rPr>
              <w:t>GAM</w:t>
            </w:r>
          </w:p>
        </w:tc>
        <w:tc>
          <w:tcPr>
            <w:tcW w:type="dxa" w:w="2000"/>
            <w:tcMar>
              <w:top w:w="80" w:type="dxa"/>
              <w:start w:w="120" w:type="dxa"/>
              <w:bottom w:w="80" w:type="dxa"/>
              <w:end w:w="120" w:type="dxa"/>
            </w:tcMar>
            <w:vAlign w:val="center"/>
          </w:tcPr>
          <w:p>
            <w:pPr>
              <w:jc w:val="left"/>
            </w:pPr>
            <w:r>
              <w:rPr>
                <w:rFonts w:ascii="Calibri" w:hAnsi="Calibri"/>
                <w:b w:val="0"/>
                <w:color w:val="1F2937"/>
                <w:sz w:val="18"/>
              </w:rPr>
              <w:t>Inicio valuación</w:t>
            </w:r>
          </w:p>
        </w:tc>
        <w:tc>
          <w:tcPr>
            <w:tcW w:type="dxa" w:w="2860"/>
            <w:tcMar>
              <w:top w:w="80" w:type="dxa"/>
              <w:start w:w="120" w:type="dxa"/>
              <w:bottom w:w="80" w:type="dxa"/>
              <w:end w:w="120" w:type="dxa"/>
            </w:tcMar>
            <w:vAlign w:val="center"/>
          </w:tcPr>
          <w:p>
            <w:pPr>
              <w:jc w:val="left"/>
            </w:pPr>
            <w:r>
              <w:rPr>
                <w:rFonts w:ascii="Calibri" w:hAnsi="Calibri"/>
                <w:b w:val="0"/>
                <w:color w:val="1F2937"/>
                <w:sz w:val="18"/>
              </w:rPr>
              <w:t>Fase A</w:t>
            </w:r>
          </w:p>
        </w:tc>
      </w:tr>
      <w:tr>
        <w:trPr>
          <w:cantSplit w:val="true"/>
        </w:trPr>
        <w:tc>
          <w:tcPr>
            <w:tcW w:type="dxa" w:w="2400"/>
            <w:shd w:fill="FAFBFC"/>
            <w:tcMar>
              <w:top w:w="80" w:type="dxa"/>
              <w:start w:w="120" w:type="dxa"/>
              <w:bottom w:w="80" w:type="dxa"/>
              <w:end w:w="120" w:type="dxa"/>
            </w:tcMar>
            <w:vAlign w:val="center"/>
          </w:tcPr>
          <w:p>
            <w:pPr>
              <w:jc w:val="left"/>
            </w:pPr>
            <w:r>
              <w:rPr>
                <w:rFonts w:ascii="Calibri" w:hAnsi="Calibri"/>
                <w:b w:val="0"/>
                <w:color w:val="1F2937"/>
                <w:sz w:val="18"/>
              </w:rPr>
              <w:t>Tipologías y ordenanza</w:t>
            </w:r>
          </w:p>
        </w:tc>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GAM / instancia competente</w:t>
            </w:r>
          </w:p>
        </w:tc>
        <w:tc>
          <w:tcPr>
            <w:tcW w:type="dxa" w:w="2000"/>
            <w:shd w:fill="FAFBFC"/>
            <w:tcMar>
              <w:top w:w="80" w:type="dxa"/>
              <w:start w:w="120" w:type="dxa"/>
              <w:bottom w:w="80" w:type="dxa"/>
              <w:end w:w="120" w:type="dxa"/>
            </w:tcMar>
            <w:vAlign w:val="center"/>
          </w:tcPr>
          <w:p>
            <w:pPr>
              <w:jc w:val="left"/>
            </w:pPr>
            <w:r>
              <w:rPr>
                <w:rFonts w:ascii="Calibri" w:hAnsi="Calibri"/>
                <w:b w:val="0"/>
                <w:color w:val="1F2937"/>
                <w:sz w:val="18"/>
              </w:rPr>
              <w:t>Antes de activar construcción</w:t>
            </w:r>
          </w:p>
        </w:tc>
        <w:tc>
          <w:tcPr>
            <w:tcW w:type="dxa" w:w="2860"/>
            <w:shd w:fill="FAFBFC"/>
            <w:tcMar>
              <w:top w:w="80" w:type="dxa"/>
              <w:start w:w="120" w:type="dxa"/>
              <w:bottom w:w="80" w:type="dxa"/>
              <w:end w:w="120" w:type="dxa"/>
            </w:tcMar>
            <w:vAlign w:val="center"/>
          </w:tcPr>
          <w:p>
            <w:pPr>
              <w:jc w:val="left"/>
            </w:pPr>
            <w:r>
              <w:rPr>
                <w:rFonts w:ascii="Calibri" w:hAnsi="Calibri"/>
                <w:b w:val="0"/>
                <w:color w:val="1F2937"/>
                <w:sz w:val="18"/>
              </w:rPr>
              <w:t>Fase B</w:t>
            </w:r>
          </w:p>
        </w:tc>
      </w:tr>
      <w:tr>
        <w:trPr>
          <w:cantSplit w:val="true"/>
        </w:trPr>
        <w:tc>
          <w:tcPr>
            <w:tcW w:type="dxa" w:w="2400"/>
            <w:tcMar>
              <w:top w:w="80" w:type="dxa"/>
              <w:start w:w="120" w:type="dxa"/>
              <w:bottom w:w="80" w:type="dxa"/>
              <w:end w:w="120" w:type="dxa"/>
            </w:tcMar>
            <w:vAlign w:val="center"/>
          </w:tcPr>
          <w:p>
            <w:pPr>
              <w:jc w:val="left"/>
            </w:pPr>
            <w:r>
              <w:rPr>
                <w:rFonts w:ascii="Calibri" w:hAnsi="Calibri"/>
                <w:b w:val="0"/>
                <w:color w:val="1F2937"/>
                <w:sz w:val="18"/>
              </w:rPr>
              <w:t>Identidad catastral Caranavi</w:t>
            </w:r>
          </w:p>
        </w:tc>
        <w:tc>
          <w:tcPr>
            <w:tcW w:type="dxa" w:w="2100"/>
            <w:tcMar>
              <w:top w:w="80" w:type="dxa"/>
              <w:start w:w="120" w:type="dxa"/>
              <w:bottom w:w="80" w:type="dxa"/>
              <w:end w:w="120" w:type="dxa"/>
            </w:tcMar>
            <w:vAlign w:val="center"/>
          </w:tcPr>
          <w:p>
            <w:pPr>
              <w:jc w:val="left"/>
            </w:pPr>
            <w:r>
              <w:rPr>
                <w:rFonts w:ascii="Calibri" w:hAnsi="Calibri"/>
                <w:b w:val="0"/>
                <w:color w:val="1F2937"/>
                <w:sz w:val="18"/>
              </w:rPr>
              <w:t>GAM Caranavi</w:t>
            </w:r>
          </w:p>
        </w:tc>
        <w:tc>
          <w:tcPr>
            <w:tcW w:type="dxa" w:w="2000"/>
            <w:tcMar>
              <w:top w:w="80" w:type="dxa"/>
              <w:start w:w="120" w:type="dxa"/>
              <w:bottom w:w="80" w:type="dxa"/>
              <w:end w:w="120" w:type="dxa"/>
            </w:tcMar>
            <w:vAlign w:val="center"/>
          </w:tcPr>
          <w:p>
            <w:pPr>
              <w:jc w:val="left"/>
            </w:pPr>
            <w:r>
              <w:rPr>
                <w:rFonts w:ascii="Calibri" w:hAnsi="Calibri"/>
                <w:b w:val="0"/>
                <w:color w:val="1F2937"/>
                <w:sz w:val="18"/>
              </w:rPr>
              <w:t>Antes del maestro</w:t>
            </w:r>
          </w:p>
        </w:tc>
        <w:tc>
          <w:tcPr>
            <w:tcW w:type="dxa" w:w="2860"/>
            <w:tcMar>
              <w:top w:w="80" w:type="dxa"/>
              <w:start w:w="120" w:type="dxa"/>
              <w:bottom w:w="80" w:type="dxa"/>
              <w:end w:w="120" w:type="dxa"/>
            </w:tcMar>
            <w:vAlign w:val="center"/>
          </w:tcPr>
          <w:p>
            <w:pPr>
              <w:jc w:val="left"/>
            </w:pPr>
            <w:r>
              <w:rPr>
                <w:rFonts w:ascii="Calibri" w:hAnsi="Calibri"/>
                <w:b w:val="0"/>
                <w:color w:val="1F2937"/>
                <w:sz w:val="18"/>
              </w:rPr>
              <w:t>Búsqueda, ficha y mutaciones</w:t>
            </w:r>
          </w:p>
        </w:tc>
      </w:tr>
      <w:tr>
        <w:trPr>
          <w:cantSplit w:val="true"/>
        </w:trPr>
        <w:tc>
          <w:tcPr>
            <w:tcW w:type="dxa" w:w="2400"/>
            <w:shd w:fill="FAFBFC"/>
            <w:tcMar>
              <w:top w:w="80" w:type="dxa"/>
              <w:start w:w="120" w:type="dxa"/>
              <w:bottom w:w="80" w:type="dxa"/>
              <w:end w:w="120" w:type="dxa"/>
            </w:tcMar>
            <w:vAlign w:val="center"/>
          </w:tcPr>
          <w:p>
            <w:pPr>
              <w:jc w:val="left"/>
            </w:pPr>
            <w:r>
              <w:rPr>
                <w:rFonts w:ascii="Calibri" w:hAnsi="Calibri"/>
                <w:b w:val="0"/>
                <w:color w:val="1F2937"/>
                <w:sz w:val="18"/>
              </w:rPr>
              <w:t>RUAT o liquidación propia</w:t>
            </w:r>
          </w:p>
        </w:tc>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GAM Uyuni</w:t>
            </w:r>
          </w:p>
        </w:tc>
        <w:tc>
          <w:tcPr>
            <w:tcW w:type="dxa" w:w="2000"/>
            <w:shd w:fill="FAFBFC"/>
            <w:tcMar>
              <w:top w:w="80" w:type="dxa"/>
              <w:start w:w="120" w:type="dxa"/>
              <w:bottom w:w="80" w:type="dxa"/>
              <w:end w:w="120" w:type="dxa"/>
            </w:tcMar>
            <w:vAlign w:val="center"/>
          </w:tcPr>
          <w:p>
            <w:pPr>
              <w:jc w:val="left"/>
            </w:pPr>
            <w:r>
              <w:rPr>
                <w:rFonts w:ascii="Calibri" w:hAnsi="Calibri"/>
                <w:b w:val="0"/>
                <w:color w:val="1F2937"/>
                <w:sz w:val="18"/>
              </w:rPr>
              <w:t>Inicio Fase 6</w:t>
            </w:r>
          </w:p>
        </w:tc>
        <w:tc>
          <w:tcPr>
            <w:tcW w:type="dxa" w:w="2860"/>
            <w:shd w:fill="FAFBFC"/>
            <w:tcMar>
              <w:top w:w="80" w:type="dxa"/>
              <w:start w:w="120" w:type="dxa"/>
              <w:bottom w:w="80" w:type="dxa"/>
              <w:end w:w="120" w:type="dxa"/>
            </w:tcMar>
            <w:vAlign w:val="center"/>
          </w:tcPr>
          <w:p>
            <w:pPr>
              <w:jc w:val="left"/>
            </w:pPr>
            <w:r>
              <w:rPr>
                <w:rFonts w:ascii="Calibri" w:hAnsi="Calibri"/>
                <w:b w:val="0"/>
                <w:color w:val="1F2937"/>
                <w:sz w:val="18"/>
              </w:rPr>
              <w:t>Tributación</w:t>
            </w:r>
          </w:p>
        </w:tc>
      </w:tr>
      <w:tr>
        <w:trPr>
          <w:cantSplit w:val="true"/>
        </w:trPr>
        <w:tc>
          <w:tcPr>
            <w:tcW w:type="dxa" w:w="2400"/>
            <w:tcMar>
              <w:top w:w="80" w:type="dxa"/>
              <w:start w:w="120" w:type="dxa"/>
              <w:bottom w:w="80" w:type="dxa"/>
              <w:end w:w="120" w:type="dxa"/>
            </w:tcMar>
            <w:vAlign w:val="center"/>
          </w:tcPr>
          <w:p>
            <w:pPr>
              <w:jc w:val="left"/>
            </w:pPr>
            <w:r>
              <w:rPr>
                <w:rFonts w:ascii="Calibri" w:hAnsi="Calibri"/>
                <w:b w:val="0"/>
                <w:color w:val="1F2937"/>
                <w:sz w:val="18"/>
              </w:rPr>
              <w:t>Datos públicos</w:t>
            </w:r>
          </w:p>
        </w:tc>
        <w:tc>
          <w:tcPr>
            <w:tcW w:type="dxa" w:w="2100"/>
            <w:tcMar>
              <w:top w:w="80" w:type="dxa"/>
              <w:start w:w="120" w:type="dxa"/>
              <w:bottom w:w="80" w:type="dxa"/>
              <w:end w:w="120" w:type="dxa"/>
            </w:tcMar>
            <w:vAlign w:val="center"/>
          </w:tcPr>
          <w:p>
            <w:pPr>
              <w:jc w:val="left"/>
            </w:pPr>
            <w:r>
              <w:rPr>
                <w:rFonts w:ascii="Calibri" w:hAnsi="Calibri"/>
                <w:b w:val="0"/>
                <w:color w:val="1F2937"/>
                <w:sz w:val="18"/>
              </w:rPr>
              <w:t>GAM + revisión jurídica</w:t>
            </w:r>
          </w:p>
        </w:tc>
        <w:tc>
          <w:tcPr>
            <w:tcW w:type="dxa" w:w="2000"/>
            <w:tcMar>
              <w:top w:w="80" w:type="dxa"/>
              <w:start w:w="120" w:type="dxa"/>
              <w:bottom w:w="80" w:type="dxa"/>
              <w:end w:w="120" w:type="dxa"/>
            </w:tcMar>
            <w:vAlign w:val="center"/>
          </w:tcPr>
          <w:p>
            <w:pPr>
              <w:jc w:val="left"/>
            </w:pPr>
            <w:r>
              <w:rPr>
                <w:rFonts w:ascii="Calibri" w:hAnsi="Calibri"/>
                <w:b w:val="0"/>
                <w:color w:val="1F2937"/>
                <w:sz w:val="18"/>
              </w:rPr>
              <w:t>Antes del portal/QR ampliado</w:t>
            </w:r>
          </w:p>
        </w:tc>
        <w:tc>
          <w:tcPr>
            <w:tcW w:type="dxa" w:w="2860"/>
            <w:tcMar>
              <w:top w:w="80" w:type="dxa"/>
              <w:start w:w="120" w:type="dxa"/>
              <w:bottom w:w="80" w:type="dxa"/>
              <w:end w:w="120" w:type="dxa"/>
            </w:tcMar>
            <w:vAlign w:val="center"/>
          </w:tcPr>
          <w:p>
            <w:pPr>
              <w:jc w:val="left"/>
            </w:pPr>
            <w:r>
              <w:rPr>
                <w:rFonts w:ascii="Calibri" w:hAnsi="Calibri"/>
                <w:b w:val="0"/>
                <w:color w:val="1F2937"/>
                <w:sz w:val="18"/>
              </w:rPr>
              <w:t>Privacidad</w:t>
            </w:r>
          </w:p>
        </w:tc>
      </w:tr>
      <w:tr>
        <w:trPr>
          <w:cantSplit w:val="true"/>
        </w:trPr>
        <w:tc>
          <w:tcPr>
            <w:tcW w:type="dxa" w:w="2400"/>
            <w:shd w:fill="FAFBFC"/>
            <w:tcMar>
              <w:top w:w="80" w:type="dxa"/>
              <w:start w:w="120" w:type="dxa"/>
              <w:bottom w:w="80" w:type="dxa"/>
              <w:end w:w="120" w:type="dxa"/>
            </w:tcMar>
            <w:vAlign w:val="center"/>
          </w:tcPr>
          <w:p>
            <w:pPr>
              <w:jc w:val="left"/>
            </w:pPr>
            <w:r>
              <w:rPr>
                <w:rFonts w:ascii="Calibri" w:hAnsi="Calibri"/>
                <w:b w:val="0"/>
                <w:color w:val="1F2937"/>
                <w:sz w:val="18"/>
              </w:rPr>
              <w:t>Códigos en subdivisión/fusión</w:t>
            </w:r>
          </w:p>
        </w:tc>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GAM</w:t>
            </w:r>
          </w:p>
        </w:tc>
        <w:tc>
          <w:tcPr>
            <w:tcW w:type="dxa" w:w="2000"/>
            <w:shd w:fill="FAFBFC"/>
            <w:tcMar>
              <w:top w:w="80" w:type="dxa"/>
              <w:start w:w="120" w:type="dxa"/>
              <w:bottom w:w="80" w:type="dxa"/>
              <w:end w:w="120" w:type="dxa"/>
            </w:tcMar>
            <w:vAlign w:val="center"/>
          </w:tcPr>
          <w:p>
            <w:pPr>
              <w:jc w:val="left"/>
            </w:pPr>
            <w:r>
              <w:rPr>
                <w:rFonts w:ascii="Calibri" w:hAnsi="Calibri"/>
                <w:b w:val="0"/>
                <w:color w:val="1F2937"/>
                <w:sz w:val="18"/>
              </w:rPr>
              <w:t>Antes de T-5.4</w:t>
            </w:r>
          </w:p>
        </w:tc>
        <w:tc>
          <w:tcPr>
            <w:tcW w:type="dxa" w:w="2860"/>
            <w:shd w:fill="FAFBFC"/>
            <w:tcMar>
              <w:top w:w="80" w:type="dxa"/>
              <w:start w:w="120" w:type="dxa"/>
              <w:bottom w:w="80" w:type="dxa"/>
              <w:end w:w="120" w:type="dxa"/>
            </w:tcMar>
            <w:vAlign w:val="center"/>
          </w:tcPr>
          <w:p>
            <w:pPr>
              <w:jc w:val="left"/>
            </w:pPr>
            <w:r>
              <w:rPr>
                <w:rFonts w:ascii="Calibri" w:hAnsi="Calibri"/>
                <w:b w:val="0"/>
                <w:color w:val="1F2937"/>
                <w:sz w:val="18"/>
              </w:rPr>
              <w:t>Mutaciones</w:t>
            </w:r>
          </w:p>
        </w:tc>
      </w:tr>
      <w:tr>
        <w:trPr>
          <w:cantSplit w:val="true"/>
        </w:trPr>
        <w:tc>
          <w:tcPr>
            <w:tcW w:type="dxa" w:w="2400"/>
            <w:tcMar>
              <w:top w:w="80" w:type="dxa"/>
              <w:start w:w="120" w:type="dxa"/>
              <w:bottom w:w="80" w:type="dxa"/>
              <w:end w:w="120" w:type="dxa"/>
            </w:tcMar>
            <w:vAlign w:val="center"/>
          </w:tcPr>
          <w:p>
            <w:pPr>
              <w:jc w:val="left"/>
            </w:pPr>
            <w:r>
              <w:rPr>
                <w:rFonts w:ascii="Calibri" w:hAnsi="Calibri"/>
                <w:b w:val="0"/>
                <w:color w:val="1F2937"/>
                <w:sz w:val="18"/>
              </w:rPr>
              <w:t>Proveedor y localización VPS</w:t>
            </w:r>
          </w:p>
        </w:tc>
        <w:tc>
          <w:tcPr>
            <w:tcW w:type="dxa" w:w="2100"/>
            <w:tcMar>
              <w:top w:w="80" w:type="dxa"/>
              <w:start w:w="120" w:type="dxa"/>
              <w:bottom w:w="80" w:type="dxa"/>
              <w:end w:w="120" w:type="dxa"/>
            </w:tcMar>
            <w:vAlign w:val="center"/>
          </w:tcPr>
          <w:p>
            <w:pPr>
              <w:jc w:val="left"/>
            </w:pPr>
            <w:r>
              <w:rPr>
                <w:rFonts w:ascii="Calibri" w:hAnsi="Calibri"/>
                <w:b w:val="0"/>
                <w:color w:val="1F2937"/>
                <w:sz w:val="18"/>
              </w:rPr>
              <w:t>Saul + GAM</w:t>
            </w:r>
          </w:p>
        </w:tc>
        <w:tc>
          <w:tcPr>
            <w:tcW w:type="dxa" w:w="2000"/>
            <w:tcMar>
              <w:top w:w="80" w:type="dxa"/>
              <w:start w:w="120" w:type="dxa"/>
              <w:bottom w:w="80" w:type="dxa"/>
              <w:end w:w="120" w:type="dxa"/>
            </w:tcMar>
            <w:vAlign w:val="center"/>
          </w:tcPr>
          <w:p>
            <w:pPr>
              <w:jc w:val="left"/>
            </w:pPr>
            <w:r>
              <w:rPr>
                <w:rFonts w:ascii="Calibri" w:hAnsi="Calibri"/>
                <w:b w:val="0"/>
                <w:color w:val="1F2937"/>
                <w:sz w:val="18"/>
              </w:rPr>
              <w:t>Antes del piloto</w:t>
            </w:r>
          </w:p>
        </w:tc>
        <w:tc>
          <w:tcPr>
            <w:tcW w:type="dxa" w:w="2860"/>
            <w:tcMar>
              <w:top w:w="80" w:type="dxa"/>
              <w:start w:w="120" w:type="dxa"/>
              <w:bottom w:w="80" w:type="dxa"/>
              <w:end w:w="120" w:type="dxa"/>
            </w:tcMar>
            <w:vAlign w:val="center"/>
          </w:tcPr>
          <w:p>
            <w:pPr>
              <w:jc w:val="left"/>
            </w:pPr>
            <w:r>
              <w:rPr>
                <w:rFonts w:ascii="Calibri" w:hAnsi="Calibri"/>
                <w:b w:val="0"/>
                <w:color w:val="1F2937"/>
                <w:sz w:val="18"/>
              </w:rPr>
              <w:t>Producción</w:t>
            </w:r>
          </w:p>
        </w:tc>
      </w:tr>
      <w:tr>
        <w:trPr>
          <w:cantSplit w:val="true"/>
        </w:trPr>
        <w:tc>
          <w:tcPr>
            <w:tcW w:type="dxa" w:w="2400"/>
            <w:shd w:fill="FAFBFC"/>
            <w:tcMar>
              <w:top w:w="80" w:type="dxa"/>
              <w:start w:w="120" w:type="dxa"/>
              <w:bottom w:w="80" w:type="dxa"/>
              <w:end w:w="120" w:type="dxa"/>
            </w:tcMar>
            <w:vAlign w:val="center"/>
          </w:tcPr>
          <w:p>
            <w:pPr>
              <w:jc w:val="left"/>
            </w:pPr>
            <w:r>
              <w:rPr>
                <w:rFonts w:ascii="Calibri" w:hAnsi="Calibri"/>
                <w:b w:val="0"/>
                <w:color w:val="1F2937"/>
                <w:sz w:val="18"/>
              </w:rPr>
              <w:t>RPO/RTO y SLA</w:t>
            </w:r>
          </w:p>
        </w:tc>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Saul + GAM</w:t>
            </w:r>
          </w:p>
        </w:tc>
        <w:tc>
          <w:tcPr>
            <w:tcW w:type="dxa" w:w="2000"/>
            <w:shd w:fill="FAFBFC"/>
            <w:tcMar>
              <w:top w:w="80" w:type="dxa"/>
              <w:start w:w="120" w:type="dxa"/>
              <w:bottom w:w="80" w:type="dxa"/>
              <w:end w:w="120" w:type="dxa"/>
            </w:tcMar>
            <w:vAlign w:val="center"/>
          </w:tcPr>
          <w:p>
            <w:pPr>
              <w:jc w:val="left"/>
            </w:pPr>
            <w:r>
              <w:rPr>
                <w:rFonts w:ascii="Calibri" w:hAnsi="Calibri"/>
                <w:b w:val="0"/>
                <w:color w:val="1F2937"/>
                <w:sz w:val="18"/>
              </w:rPr>
              <w:t>Contrato</w:t>
            </w:r>
          </w:p>
        </w:tc>
        <w:tc>
          <w:tcPr>
            <w:tcW w:type="dxa" w:w="2860"/>
            <w:shd w:fill="FAFBFC"/>
            <w:tcMar>
              <w:top w:w="80" w:type="dxa"/>
              <w:start w:w="120" w:type="dxa"/>
              <w:bottom w:w="80" w:type="dxa"/>
              <w:end w:w="120" w:type="dxa"/>
            </w:tcMar>
            <w:vAlign w:val="center"/>
          </w:tcPr>
          <w:p>
            <w:pPr>
              <w:jc w:val="left"/>
            </w:pPr>
            <w:r>
              <w:rPr>
                <w:rFonts w:ascii="Calibri" w:hAnsi="Calibri"/>
                <w:b w:val="0"/>
                <w:color w:val="1F2937"/>
                <w:sz w:val="18"/>
              </w:rPr>
              <w:t>Continuidad</w:t>
            </w:r>
          </w:p>
        </w:tc>
      </w:tr>
    </w:tbl>
    <w:p>
      <w:pPr>
        <w:spacing w:before="80" w:after="80"/>
      </w:pPr>
      <w:r>
        <w:rPr>
          <w:rFonts w:ascii="Calibri" w:hAnsi="Calibri"/>
          <w:i/>
          <w:color w:val="5F6B7A"/>
          <w:sz w:val="17"/>
        </w:rPr>
        <w:t>Fuente: PLAN_MAESTRO, ADR 0045/0047 y observaciones de consolidación.</w:t>
      </w:r>
    </w:p>
    <w:p>
      <w:pPr>
        <w:pStyle w:val="Heading1"/>
      </w:pPr>
      <w:r>
        <w:t>13. Riesgos y mitigaciones</w:t>
      </w:r>
    </w:p>
    <w:p>
      <w:pPr>
        <w:spacing w:before="80" w:after="80"/>
      </w:pPr>
      <w:r>
        <w:rPr>
          <w:rFonts w:ascii="Calibri" w:hAnsi="Calibri"/>
          <w:b/>
          <w:color w:val="0B2545"/>
          <w:sz w:val="19"/>
        </w:rPr>
        <w:t>Tabla 14. Riesgos principales</w:t>
      </w:r>
    </w:p>
    <w:tbl>
      <w:tblPr>
        <w:tblStyle w:val="TableGrid"/>
        <w:tblW w:type="dxa" w:w="9360"/>
        <w:jc w:val="left"/>
        <w:tblLayout w:type="fixed"/>
        <w:tblLook w:firstColumn="1" w:firstRow="1" w:lastColumn="0" w:lastRow="0" w:noHBand="0" w:noVBand="1" w:val="04A0"/>
        <w:tblInd w:w="120" w:type="dxa"/>
      </w:tblPr>
      <w:tblGrid>
        <w:gridCol w:w="3200"/>
        <w:gridCol w:w="1000"/>
        <w:gridCol w:w="1250"/>
        <w:gridCol w:w="3910"/>
      </w:tblGrid>
      <w:tr>
        <w:trPr>
          <w:tblHeader w:val="true"/>
          <w:cantSplit w:val="true"/>
        </w:trPr>
        <w:tc>
          <w:tcPr>
            <w:tcW w:type="dxa" w:w="3200"/>
            <w:shd w:fill="F2F4F7"/>
            <w:tcMar>
              <w:top w:w="80" w:type="dxa"/>
              <w:start w:w="120" w:type="dxa"/>
              <w:bottom w:w="80" w:type="dxa"/>
              <w:end w:w="120" w:type="dxa"/>
            </w:tcMar>
            <w:vAlign w:val="center"/>
          </w:tcPr>
          <w:p>
            <w:pPr>
              <w:jc w:val="center"/>
            </w:pPr>
            <w:r>
              <w:rPr>
                <w:rFonts w:ascii="Calibri" w:hAnsi="Calibri"/>
                <w:b/>
                <w:color w:val="0B2545"/>
                <w:sz w:val="18"/>
              </w:rPr>
              <w:t>Riesgo</w:t>
            </w:r>
          </w:p>
        </w:tc>
        <w:tc>
          <w:tcPr>
            <w:tcW w:type="dxa" w:w="1000"/>
            <w:shd w:fill="F2F4F7"/>
            <w:tcMar>
              <w:top w:w="80" w:type="dxa"/>
              <w:start w:w="120" w:type="dxa"/>
              <w:bottom w:w="80" w:type="dxa"/>
              <w:end w:w="120" w:type="dxa"/>
            </w:tcMar>
            <w:vAlign w:val="center"/>
          </w:tcPr>
          <w:p>
            <w:pPr>
              <w:jc w:val="center"/>
            </w:pPr>
            <w:r>
              <w:rPr>
                <w:rFonts w:ascii="Calibri" w:hAnsi="Calibri"/>
                <w:b/>
                <w:color w:val="0B2545"/>
                <w:sz w:val="18"/>
              </w:rPr>
              <w:t>Prob.</w:t>
            </w:r>
          </w:p>
        </w:tc>
        <w:tc>
          <w:tcPr>
            <w:tcW w:type="dxa" w:w="1250"/>
            <w:shd w:fill="F2F4F7"/>
            <w:tcMar>
              <w:top w:w="80" w:type="dxa"/>
              <w:start w:w="120" w:type="dxa"/>
              <w:bottom w:w="80" w:type="dxa"/>
              <w:end w:w="120" w:type="dxa"/>
            </w:tcMar>
            <w:vAlign w:val="center"/>
          </w:tcPr>
          <w:p>
            <w:pPr>
              <w:jc w:val="center"/>
            </w:pPr>
            <w:r>
              <w:rPr>
                <w:rFonts w:ascii="Calibri" w:hAnsi="Calibri"/>
                <w:b/>
                <w:color w:val="0B2545"/>
                <w:sz w:val="18"/>
              </w:rPr>
              <w:t>Impacto</w:t>
            </w:r>
          </w:p>
        </w:tc>
        <w:tc>
          <w:tcPr>
            <w:tcW w:type="dxa" w:w="3910"/>
            <w:shd w:fill="F2F4F7"/>
            <w:tcMar>
              <w:top w:w="80" w:type="dxa"/>
              <w:start w:w="120" w:type="dxa"/>
              <w:bottom w:w="80" w:type="dxa"/>
              <w:end w:w="120" w:type="dxa"/>
            </w:tcMar>
            <w:vAlign w:val="center"/>
          </w:tcPr>
          <w:p>
            <w:pPr>
              <w:jc w:val="left"/>
            </w:pPr>
            <w:r>
              <w:rPr>
                <w:rFonts w:ascii="Calibri" w:hAnsi="Calibri"/>
                <w:b/>
                <w:color w:val="0B2545"/>
                <w:sz w:val="18"/>
              </w:rPr>
              <w:t>Mitigación inmediata</w:t>
            </w:r>
          </w:p>
        </w:tc>
      </w:tr>
      <w:tr>
        <w:trPr>
          <w:cantSplit w:val="true"/>
        </w:trPr>
        <w:tc>
          <w:tcPr>
            <w:tcW w:type="dxa" w:w="3200"/>
            <w:tcMar>
              <w:top w:w="80" w:type="dxa"/>
              <w:start w:w="120" w:type="dxa"/>
              <w:bottom w:w="80" w:type="dxa"/>
              <w:end w:w="120" w:type="dxa"/>
            </w:tcMar>
            <w:vAlign w:val="center"/>
          </w:tcPr>
          <w:p>
            <w:pPr>
              <w:jc w:val="left"/>
            </w:pPr>
            <w:r>
              <w:rPr>
                <w:rFonts w:ascii="Calibri" w:hAnsi="Calibri"/>
                <w:b w:val="0"/>
                <w:color w:val="1F2937"/>
                <w:sz w:val="18"/>
              </w:rPr>
              <w:t>Activar versión parcial y perder capas visibles</w:t>
            </w:r>
          </w:p>
        </w:tc>
        <w:tc>
          <w:tcPr>
            <w:tcW w:type="dxa" w:w="1000"/>
            <w:tcMar>
              <w:top w:w="80" w:type="dxa"/>
              <w:start w:w="120" w:type="dxa"/>
              <w:bottom w:w="80" w:type="dxa"/>
              <w:end w:w="120" w:type="dxa"/>
            </w:tcMar>
            <w:vAlign w:val="center"/>
          </w:tcPr>
          <w:p>
            <w:pPr>
              <w:jc w:val="left"/>
            </w:pPr>
            <w:r>
              <w:rPr>
                <w:rFonts w:ascii="Calibri" w:hAnsi="Calibri"/>
                <w:b w:val="0"/>
                <w:color w:val="1F2937"/>
                <w:sz w:val="18"/>
              </w:rPr>
              <w:t>Alta</w:t>
            </w:r>
          </w:p>
        </w:tc>
        <w:tc>
          <w:tcPr>
            <w:tcW w:type="dxa" w:w="1250"/>
            <w:tcMar>
              <w:top w:w="80" w:type="dxa"/>
              <w:start w:w="120" w:type="dxa"/>
              <w:bottom w:w="80" w:type="dxa"/>
              <w:end w:w="120" w:type="dxa"/>
            </w:tcMar>
            <w:vAlign w:val="center"/>
          </w:tcPr>
          <w:p>
            <w:pPr>
              <w:jc w:val="left"/>
            </w:pPr>
            <w:r>
              <w:rPr>
                <w:rFonts w:ascii="Calibri" w:hAnsi="Calibri"/>
                <w:b w:val="0"/>
                <w:color w:val="1F2937"/>
                <w:sz w:val="18"/>
              </w:rPr>
              <w:t>Crítico</w:t>
            </w:r>
          </w:p>
        </w:tc>
        <w:tc>
          <w:tcPr>
            <w:tcW w:type="dxa" w:w="3910"/>
            <w:tcMar>
              <w:top w:w="80" w:type="dxa"/>
              <w:start w:w="120" w:type="dxa"/>
              <w:bottom w:w="80" w:type="dxa"/>
              <w:end w:w="120" w:type="dxa"/>
            </w:tcMar>
            <w:vAlign w:val="center"/>
          </w:tcPr>
          <w:p>
            <w:pPr>
              <w:jc w:val="left"/>
            </w:pPr>
            <w:r>
              <w:rPr>
                <w:rFonts w:ascii="Calibri" w:hAnsi="Calibri"/>
                <w:b w:val="0"/>
                <w:color w:val="1F2937"/>
                <w:sz w:val="18"/>
              </w:rPr>
              <w:t>Composición N+1 + test de conservación</w:t>
            </w:r>
          </w:p>
        </w:tc>
      </w:tr>
      <w:tr>
        <w:trPr>
          <w:cantSplit w:val="true"/>
        </w:trPr>
        <w:tc>
          <w:tcPr>
            <w:tcW w:type="dxa" w:w="3200"/>
            <w:shd w:fill="FAFBFC"/>
            <w:tcMar>
              <w:top w:w="80" w:type="dxa"/>
              <w:start w:w="120" w:type="dxa"/>
              <w:bottom w:w="80" w:type="dxa"/>
              <w:end w:w="120" w:type="dxa"/>
            </w:tcMar>
            <w:vAlign w:val="center"/>
          </w:tcPr>
          <w:p>
            <w:pPr>
              <w:jc w:val="left"/>
            </w:pPr>
            <w:r>
              <w:rPr>
                <w:rFonts w:ascii="Calibri" w:hAnsi="Calibri"/>
                <w:b w:val="0"/>
                <w:color w:val="1F2937"/>
                <w:sz w:val="18"/>
              </w:rPr>
              <w:t>Identidad ambigua de Caranavi</w:t>
            </w:r>
          </w:p>
        </w:tc>
        <w:tc>
          <w:tcPr>
            <w:tcW w:type="dxa" w:w="1000"/>
            <w:shd w:fill="FAFBFC"/>
            <w:tcMar>
              <w:top w:w="80" w:type="dxa"/>
              <w:start w:w="120" w:type="dxa"/>
              <w:bottom w:w="80" w:type="dxa"/>
              <w:end w:w="120" w:type="dxa"/>
            </w:tcMar>
            <w:vAlign w:val="center"/>
          </w:tcPr>
          <w:p>
            <w:pPr>
              <w:jc w:val="left"/>
            </w:pPr>
            <w:r>
              <w:rPr>
                <w:rFonts w:ascii="Calibri" w:hAnsi="Calibri"/>
                <w:b w:val="0"/>
                <w:color w:val="1F2937"/>
                <w:sz w:val="18"/>
              </w:rPr>
              <w:t>Alta</w:t>
            </w:r>
          </w:p>
        </w:tc>
        <w:tc>
          <w:tcPr>
            <w:tcW w:type="dxa" w:w="1250"/>
            <w:shd w:fill="FAFBFC"/>
            <w:tcMar>
              <w:top w:w="80" w:type="dxa"/>
              <w:start w:w="120" w:type="dxa"/>
              <w:bottom w:w="80" w:type="dxa"/>
              <w:end w:w="120" w:type="dxa"/>
            </w:tcMar>
            <w:vAlign w:val="center"/>
          </w:tcPr>
          <w:p>
            <w:pPr>
              <w:jc w:val="left"/>
            </w:pPr>
            <w:r>
              <w:rPr>
                <w:rFonts w:ascii="Calibri" w:hAnsi="Calibri"/>
                <w:b w:val="0"/>
                <w:color w:val="1F2937"/>
                <w:sz w:val="18"/>
              </w:rPr>
              <w:t>Crítico</w:t>
            </w:r>
          </w:p>
        </w:tc>
        <w:tc>
          <w:tcPr>
            <w:tcW w:type="dxa" w:w="3910"/>
            <w:shd w:fill="FAFBFC"/>
            <w:tcMar>
              <w:top w:w="80" w:type="dxa"/>
              <w:start w:w="120" w:type="dxa"/>
              <w:bottom w:w="80" w:type="dxa"/>
              <w:end w:w="120" w:type="dxa"/>
            </w:tcMar>
            <w:vAlign w:val="center"/>
          </w:tcPr>
          <w:p>
            <w:pPr>
              <w:jc w:val="left"/>
            </w:pPr>
            <w:r>
              <w:rPr>
                <w:rFonts w:ascii="Calibri" w:hAnsi="Calibri"/>
                <w:b w:val="0"/>
                <w:color w:val="1F2937"/>
                <w:sz w:val="18"/>
              </w:rPr>
              <w:t>Staging; no maestro; acuerdo GAM</w:t>
            </w:r>
          </w:p>
        </w:tc>
      </w:tr>
      <w:tr>
        <w:trPr>
          <w:cantSplit w:val="true"/>
        </w:trPr>
        <w:tc>
          <w:tcPr>
            <w:tcW w:type="dxa" w:w="3200"/>
            <w:tcMar>
              <w:top w:w="80" w:type="dxa"/>
              <w:start w:w="120" w:type="dxa"/>
              <w:bottom w:w="80" w:type="dxa"/>
              <w:end w:w="120" w:type="dxa"/>
            </w:tcMar>
            <w:vAlign w:val="center"/>
          </w:tcPr>
          <w:p>
            <w:pPr>
              <w:jc w:val="left"/>
            </w:pPr>
            <w:r>
              <w:rPr>
                <w:rFonts w:ascii="Calibri" w:hAnsi="Calibri"/>
                <w:b w:val="0"/>
                <w:color w:val="1F2937"/>
                <w:sz w:val="18"/>
              </w:rPr>
              <w:t>Documentación contradice código</w:t>
            </w:r>
          </w:p>
        </w:tc>
        <w:tc>
          <w:tcPr>
            <w:tcW w:type="dxa" w:w="1000"/>
            <w:tcMar>
              <w:top w:w="80" w:type="dxa"/>
              <w:start w:w="120" w:type="dxa"/>
              <w:bottom w:w="80" w:type="dxa"/>
              <w:end w:w="120" w:type="dxa"/>
            </w:tcMar>
            <w:vAlign w:val="center"/>
          </w:tcPr>
          <w:p>
            <w:pPr>
              <w:jc w:val="left"/>
            </w:pPr>
            <w:r>
              <w:rPr>
                <w:rFonts w:ascii="Calibri" w:hAnsi="Calibri"/>
                <w:b w:val="0"/>
                <w:color w:val="1F2937"/>
                <w:sz w:val="18"/>
              </w:rPr>
              <w:t>Alta</w:t>
            </w:r>
          </w:p>
        </w:tc>
        <w:tc>
          <w:tcPr>
            <w:tcW w:type="dxa" w:w="1250"/>
            <w:tcMar>
              <w:top w:w="80" w:type="dxa"/>
              <w:start w:w="120" w:type="dxa"/>
              <w:bottom w:w="80" w:type="dxa"/>
              <w:end w:w="120" w:type="dxa"/>
            </w:tcMar>
            <w:vAlign w:val="center"/>
          </w:tcPr>
          <w:p>
            <w:pPr>
              <w:jc w:val="left"/>
            </w:pPr>
            <w:r>
              <w:rPr>
                <w:rFonts w:ascii="Calibri" w:hAnsi="Calibri"/>
                <w:b w:val="0"/>
                <w:color w:val="1F2937"/>
                <w:sz w:val="18"/>
              </w:rPr>
              <w:t>Alto</w:t>
            </w:r>
          </w:p>
        </w:tc>
        <w:tc>
          <w:tcPr>
            <w:tcW w:type="dxa" w:w="3910"/>
            <w:tcMar>
              <w:top w:w="80" w:type="dxa"/>
              <w:start w:w="120" w:type="dxa"/>
              <w:bottom w:w="80" w:type="dxa"/>
              <w:end w:w="120" w:type="dxa"/>
            </w:tcMar>
            <w:vAlign w:val="center"/>
          </w:tcPr>
          <w:p>
            <w:pPr>
              <w:jc w:val="left"/>
            </w:pPr>
            <w:r>
              <w:rPr>
                <w:rFonts w:ascii="Calibri" w:hAnsi="Calibri"/>
                <w:b w:val="0"/>
                <w:color w:val="1F2937"/>
                <w:sz w:val="18"/>
              </w:rPr>
              <w:t>Cosecha de fuentes de verdad</w:t>
            </w:r>
          </w:p>
        </w:tc>
      </w:tr>
      <w:tr>
        <w:trPr>
          <w:cantSplit w:val="true"/>
        </w:trPr>
        <w:tc>
          <w:tcPr>
            <w:tcW w:type="dxa" w:w="3200"/>
            <w:shd w:fill="FAFBFC"/>
            <w:tcMar>
              <w:top w:w="80" w:type="dxa"/>
              <w:start w:w="120" w:type="dxa"/>
              <w:bottom w:w="80" w:type="dxa"/>
              <w:end w:w="120" w:type="dxa"/>
            </w:tcMar>
            <w:vAlign w:val="center"/>
          </w:tcPr>
          <w:p>
            <w:pPr>
              <w:jc w:val="left"/>
            </w:pPr>
            <w:r>
              <w:rPr>
                <w:rFonts w:ascii="Calibri" w:hAnsi="Calibri"/>
                <w:b w:val="0"/>
                <w:color w:val="1F2937"/>
                <w:sz w:val="18"/>
              </w:rPr>
              <w:t>Dependencia de una persona</w:t>
            </w:r>
          </w:p>
        </w:tc>
        <w:tc>
          <w:tcPr>
            <w:tcW w:type="dxa" w:w="1000"/>
            <w:shd w:fill="FAFBFC"/>
            <w:tcMar>
              <w:top w:w="80" w:type="dxa"/>
              <w:start w:w="120" w:type="dxa"/>
              <w:bottom w:w="80" w:type="dxa"/>
              <w:end w:w="120" w:type="dxa"/>
            </w:tcMar>
            <w:vAlign w:val="center"/>
          </w:tcPr>
          <w:p>
            <w:pPr>
              <w:jc w:val="left"/>
            </w:pPr>
            <w:r>
              <w:rPr>
                <w:rFonts w:ascii="Calibri" w:hAnsi="Calibri"/>
                <w:b w:val="0"/>
                <w:color w:val="1F2937"/>
                <w:sz w:val="18"/>
              </w:rPr>
              <w:t>Alta</w:t>
            </w:r>
          </w:p>
        </w:tc>
        <w:tc>
          <w:tcPr>
            <w:tcW w:type="dxa" w:w="1250"/>
            <w:shd w:fill="FAFBFC"/>
            <w:tcMar>
              <w:top w:w="80" w:type="dxa"/>
              <w:start w:w="120" w:type="dxa"/>
              <w:bottom w:w="80" w:type="dxa"/>
              <w:end w:w="120" w:type="dxa"/>
            </w:tcMar>
            <w:vAlign w:val="center"/>
          </w:tcPr>
          <w:p>
            <w:pPr>
              <w:jc w:val="left"/>
            </w:pPr>
            <w:r>
              <w:rPr>
                <w:rFonts w:ascii="Calibri" w:hAnsi="Calibri"/>
                <w:b w:val="0"/>
                <w:color w:val="1F2937"/>
                <w:sz w:val="18"/>
              </w:rPr>
              <w:t>Alto</w:t>
            </w:r>
          </w:p>
        </w:tc>
        <w:tc>
          <w:tcPr>
            <w:tcW w:type="dxa" w:w="3910"/>
            <w:shd w:fill="FAFBFC"/>
            <w:tcMar>
              <w:top w:w="80" w:type="dxa"/>
              <w:start w:w="120" w:type="dxa"/>
              <w:bottom w:w="80" w:type="dxa"/>
              <w:end w:w="120" w:type="dxa"/>
            </w:tcMar>
            <w:vAlign w:val="center"/>
          </w:tcPr>
          <w:p>
            <w:pPr>
              <w:jc w:val="left"/>
            </w:pPr>
            <w:r>
              <w:rPr>
                <w:rFonts w:ascii="Calibri" w:hAnsi="Calibri"/>
                <w:b w:val="0"/>
                <w:color w:val="1F2937"/>
                <w:sz w:val="18"/>
              </w:rPr>
              <w:t>Runbooks, onboarding, soporte y ADR</w:t>
            </w:r>
          </w:p>
        </w:tc>
      </w:tr>
      <w:tr>
        <w:trPr>
          <w:cantSplit w:val="true"/>
        </w:trPr>
        <w:tc>
          <w:tcPr>
            <w:tcW w:type="dxa" w:w="3200"/>
            <w:tcMar>
              <w:top w:w="80" w:type="dxa"/>
              <w:start w:w="120" w:type="dxa"/>
              <w:bottom w:w="80" w:type="dxa"/>
              <w:end w:w="120" w:type="dxa"/>
            </w:tcMar>
            <w:vAlign w:val="center"/>
          </w:tcPr>
          <w:p>
            <w:pPr>
              <w:jc w:val="left"/>
            </w:pPr>
            <w:r>
              <w:rPr>
                <w:rFonts w:ascii="Calibri" w:hAnsi="Calibri"/>
                <w:b w:val="0"/>
                <w:color w:val="1F2937"/>
                <w:sz w:val="18"/>
              </w:rPr>
              <w:t>Falla de restore</w:t>
            </w:r>
          </w:p>
        </w:tc>
        <w:tc>
          <w:tcPr>
            <w:tcW w:type="dxa" w:w="1000"/>
            <w:tcMar>
              <w:top w:w="80" w:type="dxa"/>
              <w:start w:w="120" w:type="dxa"/>
              <w:bottom w:w="80" w:type="dxa"/>
              <w:end w:w="120" w:type="dxa"/>
            </w:tcMar>
            <w:vAlign w:val="center"/>
          </w:tcPr>
          <w:p>
            <w:pPr>
              <w:jc w:val="left"/>
            </w:pPr>
            <w:r>
              <w:rPr>
                <w:rFonts w:ascii="Calibri" w:hAnsi="Calibri"/>
                <w:b w:val="0"/>
                <w:color w:val="1F2937"/>
                <w:sz w:val="18"/>
              </w:rPr>
              <w:t>Media</w:t>
            </w:r>
          </w:p>
        </w:tc>
        <w:tc>
          <w:tcPr>
            <w:tcW w:type="dxa" w:w="1250"/>
            <w:tcMar>
              <w:top w:w="80" w:type="dxa"/>
              <w:start w:w="120" w:type="dxa"/>
              <w:bottom w:w="80" w:type="dxa"/>
              <w:end w:w="120" w:type="dxa"/>
            </w:tcMar>
            <w:vAlign w:val="center"/>
          </w:tcPr>
          <w:p>
            <w:pPr>
              <w:jc w:val="left"/>
            </w:pPr>
            <w:r>
              <w:rPr>
                <w:rFonts w:ascii="Calibri" w:hAnsi="Calibri"/>
                <w:b w:val="0"/>
                <w:color w:val="1F2937"/>
                <w:sz w:val="18"/>
              </w:rPr>
              <w:t>Crítico</w:t>
            </w:r>
          </w:p>
        </w:tc>
        <w:tc>
          <w:tcPr>
            <w:tcW w:type="dxa" w:w="3910"/>
            <w:tcMar>
              <w:top w:w="80" w:type="dxa"/>
              <w:start w:w="120" w:type="dxa"/>
              <w:bottom w:w="80" w:type="dxa"/>
              <w:end w:w="120" w:type="dxa"/>
            </w:tcMar>
            <w:vAlign w:val="center"/>
          </w:tcPr>
          <w:p>
            <w:pPr>
              <w:jc w:val="left"/>
            </w:pPr>
            <w:r>
              <w:rPr>
                <w:rFonts w:ascii="Calibri" w:hAnsi="Calibri"/>
                <w:b w:val="0"/>
                <w:color w:val="1F2937"/>
                <w:sz w:val="18"/>
              </w:rPr>
              <w:t>Simulacro periódico</w:t>
            </w:r>
          </w:p>
        </w:tc>
      </w:tr>
      <w:tr>
        <w:trPr>
          <w:cantSplit w:val="true"/>
        </w:trPr>
        <w:tc>
          <w:tcPr>
            <w:tcW w:type="dxa" w:w="3200"/>
            <w:shd w:fill="FAFBFC"/>
            <w:tcMar>
              <w:top w:w="80" w:type="dxa"/>
              <w:start w:w="120" w:type="dxa"/>
              <w:bottom w:w="80" w:type="dxa"/>
              <w:end w:w="120" w:type="dxa"/>
            </w:tcMar>
            <w:vAlign w:val="center"/>
          </w:tcPr>
          <w:p>
            <w:pPr>
              <w:jc w:val="left"/>
            </w:pPr>
            <w:r>
              <w:rPr>
                <w:rFonts w:ascii="Calibri" w:hAnsi="Calibri"/>
                <w:b w:val="0"/>
                <w:color w:val="1F2937"/>
                <w:sz w:val="18"/>
              </w:rPr>
              <w:t>Valores no oficiales usados como tributo</w:t>
            </w:r>
          </w:p>
        </w:tc>
        <w:tc>
          <w:tcPr>
            <w:tcW w:type="dxa" w:w="1000"/>
            <w:shd w:fill="FAFBFC"/>
            <w:tcMar>
              <w:top w:w="80" w:type="dxa"/>
              <w:start w:w="120" w:type="dxa"/>
              <w:bottom w:w="80" w:type="dxa"/>
              <w:end w:w="120" w:type="dxa"/>
            </w:tcMar>
            <w:vAlign w:val="center"/>
          </w:tcPr>
          <w:p>
            <w:pPr>
              <w:jc w:val="left"/>
            </w:pPr>
            <w:r>
              <w:rPr>
                <w:rFonts w:ascii="Calibri" w:hAnsi="Calibri"/>
                <w:b w:val="0"/>
                <w:color w:val="1F2937"/>
                <w:sz w:val="18"/>
              </w:rPr>
              <w:t>Media</w:t>
            </w:r>
          </w:p>
        </w:tc>
        <w:tc>
          <w:tcPr>
            <w:tcW w:type="dxa" w:w="1250"/>
            <w:shd w:fill="FAFBFC"/>
            <w:tcMar>
              <w:top w:w="80" w:type="dxa"/>
              <w:start w:w="120" w:type="dxa"/>
              <w:bottom w:w="80" w:type="dxa"/>
              <w:end w:w="120" w:type="dxa"/>
            </w:tcMar>
            <w:vAlign w:val="center"/>
          </w:tcPr>
          <w:p>
            <w:pPr>
              <w:jc w:val="left"/>
            </w:pPr>
            <w:r>
              <w:rPr>
                <w:rFonts w:ascii="Calibri" w:hAnsi="Calibri"/>
                <w:b w:val="0"/>
                <w:color w:val="1F2937"/>
                <w:sz w:val="18"/>
              </w:rPr>
              <w:t>Crítico</w:t>
            </w:r>
          </w:p>
        </w:tc>
        <w:tc>
          <w:tcPr>
            <w:tcW w:type="dxa" w:w="3910"/>
            <w:shd w:fill="FAFBFC"/>
            <w:tcMar>
              <w:top w:w="80" w:type="dxa"/>
              <w:start w:w="120" w:type="dxa"/>
              <w:bottom w:w="80" w:type="dxa"/>
              <w:end w:w="120" w:type="dxa"/>
            </w:tcMar>
            <w:vAlign w:val="center"/>
          </w:tcPr>
          <w:p>
            <w:pPr>
              <w:jc w:val="left"/>
            </w:pPr>
            <w:r>
              <w:rPr>
                <w:rFonts w:ascii="Calibri" w:hAnsi="Calibri"/>
                <w:b w:val="0"/>
                <w:color w:val="1F2937"/>
                <w:sz w:val="18"/>
              </w:rPr>
              <w:t>Flags, vigencia, autorización y UI explícita</w:t>
            </w:r>
          </w:p>
        </w:tc>
      </w:tr>
      <w:tr>
        <w:trPr>
          <w:cantSplit w:val="true"/>
        </w:trPr>
        <w:tc>
          <w:tcPr>
            <w:tcW w:type="dxa" w:w="3200"/>
            <w:tcMar>
              <w:top w:w="80" w:type="dxa"/>
              <w:start w:w="120" w:type="dxa"/>
              <w:bottom w:w="80" w:type="dxa"/>
              <w:end w:w="120" w:type="dxa"/>
            </w:tcMar>
            <w:vAlign w:val="center"/>
          </w:tcPr>
          <w:p>
            <w:pPr>
              <w:jc w:val="left"/>
            </w:pPr>
            <w:r>
              <w:rPr>
                <w:rFonts w:ascii="Calibri" w:hAnsi="Calibri"/>
                <w:b w:val="0"/>
                <w:color w:val="1F2937"/>
                <w:sz w:val="18"/>
              </w:rPr>
              <w:t>Exposición de datos personales</w:t>
            </w:r>
          </w:p>
        </w:tc>
        <w:tc>
          <w:tcPr>
            <w:tcW w:type="dxa" w:w="1000"/>
            <w:tcMar>
              <w:top w:w="80" w:type="dxa"/>
              <w:start w:w="120" w:type="dxa"/>
              <w:bottom w:w="80" w:type="dxa"/>
              <w:end w:w="120" w:type="dxa"/>
            </w:tcMar>
            <w:vAlign w:val="center"/>
          </w:tcPr>
          <w:p>
            <w:pPr>
              <w:jc w:val="left"/>
            </w:pPr>
            <w:r>
              <w:rPr>
                <w:rFonts w:ascii="Calibri" w:hAnsi="Calibri"/>
                <w:b w:val="0"/>
                <w:color w:val="1F2937"/>
                <w:sz w:val="18"/>
              </w:rPr>
              <w:t>Media</w:t>
            </w:r>
          </w:p>
        </w:tc>
        <w:tc>
          <w:tcPr>
            <w:tcW w:type="dxa" w:w="1250"/>
            <w:tcMar>
              <w:top w:w="80" w:type="dxa"/>
              <w:start w:w="120" w:type="dxa"/>
              <w:bottom w:w="80" w:type="dxa"/>
              <w:end w:w="120" w:type="dxa"/>
            </w:tcMar>
            <w:vAlign w:val="center"/>
          </w:tcPr>
          <w:p>
            <w:pPr>
              <w:jc w:val="left"/>
            </w:pPr>
            <w:r>
              <w:rPr>
                <w:rFonts w:ascii="Calibri" w:hAnsi="Calibri"/>
                <w:b w:val="0"/>
                <w:color w:val="1F2937"/>
                <w:sz w:val="18"/>
              </w:rPr>
              <w:t>Crítico</w:t>
            </w:r>
          </w:p>
        </w:tc>
        <w:tc>
          <w:tcPr>
            <w:tcW w:type="dxa" w:w="3910"/>
            <w:tcMar>
              <w:top w:w="80" w:type="dxa"/>
              <w:start w:w="120" w:type="dxa"/>
              <w:bottom w:w="80" w:type="dxa"/>
              <w:end w:w="120" w:type="dxa"/>
            </w:tcMar>
            <w:vAlign w:val="center"/>
          </w:tcPr>
          <w:p>
            <w:pPr>
              <w:jc w:val="left"/>
            </w:pPr>
            <w:r>
              <w:rPr>
                <w:rFonts w:ascii="Calibri" w:hAnsi="Calibri"/>
                <w:b w:val="0"/>
                <w:color w:val="1F2937"/>
                <w:sz w:val="18"/>
              </w:rPr>
              <w:t>Clasificación, mínimo dato y revisión adversarial</w:t>
            </w:r>
          </w:p>
        </w:tc>
      </w:tr>
      <w:tr>
        <w:trPr>
          <w:cantSplit w:val="true"/>
        </w:trPr>
        <w:tc>
          <w:tcPr>
            <w:tcW w:type="dxa" w:w="3200"/>
            <w:shd w:fill="FAFBFC"/>
            <w:tcMar>
              <w:top w:w="80" w:type="dxa"/>
              <w:start w:w="120" w:type="dxa"/>
              <w:bottom w:w="80" w:type="dxa"/>
              <w:end w:w="120" w:type="dxa"/>
            </w:tcMar>
            <w:vAlign w:val="center"/>
          </w:tcPr>
          <w:p>
            <w:pPr>
              <w:jc w:val="left"/>
            </w:pPr>
            <w:r>
              <w:rPr>
                <w:rFonts w:ascii="Calibri" w:hAnsi="Calibri"/>
                <w:b w:val="0"/>
                <w:color w:val="1F2937"/>
                <w:sz w:val="18"/>
              </w:rPr>
              <w:t>Codepage/DBF distinta</w:t>
            </w:r>
          </w:p>
        </w:tc>
        <w:tc>
          <w:tcPr>
            <w:tcW w:type="dxa" w:w="1000"/>
            <w:shd w:fill="FAFBFC"/>
            <w:tcMar>
              <w:top w:w="80" w:type="dxa"/>
              <w:start w:w="120" w:type="dxa"/>
              <w:bottom w:w="80" w:type="dxa"/>
              <w:end w:w="120" w:type="dxa"/>
            </w:tcMar>
            <w:vAlign w:val="center"/>
          </w:tcPr>
          <w:p>
            <w:pPr>
              <w:jc w:val="left"/>
            </w:pPr>
            <w:r>
              <w:rPr>
                <w:rFonts w:ascii="Calibri" w:hAnsi="Calibri"/>
                <w:b w:val="0"/>
                <w:color w:val="1F2937"/>
                <w:sz w:val="18"/>
              </w:rPr>
              <w:t>Media</w:t>
            </w:r>
          </w:p>
        </w:tc>
        <w:tc>
          <w:tcPr>
            <w:tcW w:type="dxa" w:w="1250"/>
            <w:shd w:fill="FAFBFC"/>
            <w:tcMar>
              <w:top w:w="80" w:type="dxa"/>
              <w:start w:w="120" w:type="dxa"/>
              <w:bottom w:w="80" w:type="dxa"/>
              <w:end w:w="120" w:type="dxa"/>
            </w:tcMar>
            <w:vAlign w:val="center"/>
          </w:tcPr>
          <w:p>
            <w:pPr>
              <w:jc w:val="left"/>
            </w:pPr>
            <w:r>
              <w:rPr>
                <w:rFonts w:ascii="Calibri" w:hAnsi="Calibri"/>
                <w:b w:val="0"/>
                <w:color w:val="1F2937"/>
                <w:sz w:val="18"/>
              </w:rPr>
              <w:t>Medio</w:t>
            </w:r>
          </w:p>
        </w:tc>
        <w:tc>
          <w:tcPr>
            <w:tcW w:type="dxa" w:w="3910"/>
            <w:shd w:fill="FAFBFC"/>
            <w:tcMar>
              <w:top w:w="80" w:type="dxa"/>
              <w:start w:w="120" w:type="dxa"/>
              <w:bottom w:w="80" w:type="dxa"/>
              <w:end w:w="120" w:type="dxa"/>
            </w:tcMar>
            <w:vAlign w:val="center"/>
          </w:tcPr>
          <w:p>
            <w:pPr>
              <w:jc w:val="left"/>
            </w:pPr>
            <w:r>
              <w:rPr>
                <w:rFonts w:ascii="Calibri" w:hAnsi="Calibri"/>
                <w:b w:val="0"/>
                <w:color w:val="1F2937"/>
                <w:sz w:val="18"/>
              </w:rPr>
              <w:t>Política encoding y fixtures</w:t>
            </w:r>
          </w:p>
        </w:tc>
      </w:tr>
      <w:tr>
        <w:trPr>
          <w:cantSplit w:val="true"/>
        </w:trPr>
        <w:tc>
          <w:tcPr>
            <w:tcW w:type="dxa" w:w="3200"/>
            <w:tcMar>
              <w:top w:w="80" w:type="dxa"/>
              <w:start w:w="120" w:type="dxa"/>
              <w:bottom w:w="80" w:type="dxa"/>
              <w:end w:w="120" w:type="dxa"/>
            </w:tcMar>
            <w:vAlign w:val="center"/>
          </w:tcPr>
          <w:p>
            <w:pPr>
              <w:jc w:val="left"/>
            </w:pPr>
            <w:r>
              <w:rPr>
                <w:rFonts w:ascii="Calibri" w:hAnsi="Calibri"/>
                <w:b w:val="0"/>
                <w:color w:val="1F2937"/>
                <w:sz w:val="18"/>
              </w:rPr>
              <w:t>CI sin integración</w:t>
            </w:r>
          </w:p>
        </w:tc>
        <w:tc>
          <w:tcPr>
            <w:tcW w:type="dxa" w:w="1000"/>
            <w:tcMar>
              <w:top w:w="80" w:type="dxa"/>
              <w:start w:w="120" w:type="dxa"/>
              <w:bottom w:w="80" w:type="dxa"/>
              <w:end w:w="120" w:type="dxa"/>
            </w:tcMar>
            <w:vAlign w:val="center"/>
          </w:tcPr>
          <w:p>
            <w:pPr>
              <w:jc w:val="left"/>
            </w:pPr>
            <w:r>
              <w:rPr>
                <w:rFonts w:ascii="Calibri" w:hAnsi="Calibri"/>
                <w:b w:val="0"/>
                <w:color w:val="1F2937"/>
                <w:sz w:val="18"/>
              </w:rPr>
              <w:t>Alta</w:t>
            </w:r>
          </w:p>
        </w:tc>
        <w:tc>
          <w:tcPr>
            <w:tcW w:type="dxa" w:w="1250"/>
            <w:tcMar>
              <w:top w:w="80" w:type="dxa"/>
              <w:start w:w="120" w:type="dxa"/>
              <w:bottom w:w="80" w:type="dxa"/>
              <w:end w:w="120" w:type="dxa"/>
            </w:tcMar>
            <w:vAlign w:val="center"/>
          </w:tcPr>
          <w:p>
            <w:pPr>
              <w:jc w:val="left"/>
            </w:pPr>
            <w:r>
              <w:rPr>
                <w:rFonts w:ascii="Calibri" w:hAnsi="Calibri"/>
                <w:b w:val="0"/>
                <w:color w:val="1F2937"/>
                <w:sz w:val="18"/>
              </w:rPr>
              <w:t>Alto</w:t>
            </w:r>
          </w:p>
        </w:tc>
        <w:tc>
          <w:tcPr>
            <w:tcW w:type="dxa" w:w="3910"/>
            <w:tcMar>
              <w:top w:w="80" w:type="dxa"/>
              <w:start w:w="120" w:type="dxa"/>
              <w:bottom w:w="80" w:type="dxa"/>
              <w:end w:w="120" w:type="dxa"/>
            </w:tcMar>
            <w:vAlign w:val="center"/>
          </w:tcPr>
          <w:p>
            <w:pPr>
              <w:jc w:val="left"/>
            </w:pPr>
            <w:r>
              <w:rPr>
                <w:rFonts w:ascii="Calibri" w:hAnsi="Calibri"/>
                <w:b w:val="0"/>
                <w:color w:val="1F2937"/>
                <w:sz w:val="18"/>
              </w:rPr>
              <w:t>Ejecutar Testcontainers en CI</w:t>
            </w:r>
          </w:p>
        </w:tc>
      </w:tr>
      <w:tr>
        <w:trPr>
          <w:cantSplit w:val="true"/>
        </w:trPr>
        <w:tc>
          <w:tcPr>
            <w:tcW w:type="dxa" w:w="3200"/>
            <w:shd w:fill="FAFBFC"/>
            <w:tcMar>
              <w:top w:w="80" w:type="dxa"/>
              <w:start w:w="120" w:type="dxa"/>
              <w:bottom w:w="80" w:type="dxa"/>
              <w:end w:w="120" w:type="dxa"/>
            </w:tcMar>
            <w:vAlign w:val="center"/>
          </w:tcPr>
          <w:p>
            <w:pPr>
              <w:jc w:val="left"/>
            </w:pPr>
            <w:r>
              <w:rPr>
                <w:rFonts w:ascii="Calibri" w:hAnsi="Calibri"/>
                <w:b w:val="0"/>
                <w:color w:val="1F2937"/>
                <w:sz w:val="18"/>
              </w:rPr>
              <w:t>Scope creep</w:t>
            </w:r>
          </w:p>
        </w:tc>
        <w:tc>
          <w:tcPr>
            <w:tcW w:type="dxa" w:w="1000"/>
            <w:shd w:fill="FAFBFC"/>
            <w:tcMar>
              <w:top w:w="80" w:type="dxa"/>
              <w:start w:w="120" w:type="dxa"/>
              <w:bottom w:w="80" w:type="dxa"/>
              <w:end w:w="120" w:type="dxa"/>
            </w:tcMar>
            <w:vAlign w:val="center"/>
          </w:tcPr>
          <w:p>
            <w:pPr>
              <w:jc w:val="left"/>
            </w:pPr>
            <w:r>
              <w:rPr>
                <w:rFonts w:ascii="Calibri" w:hAnsi="Calibri"/>
                <w:b w:val="0"/>
                <w:color w:val="1F2937"/>
                <w:sz w:val="18"/>
              </w:rPr>
              <w:t>Alta</w:t>
            </w:r>
          </w:p>
        </w:tc>
        <w:tc>
          <w:tcPr>
            <w:tcW w:type="dxa" w:w="1250"/>
            <w:shd w:fill="FAFBFC"/>
            <w:tcMar>
              <w:top w:w="80" w:type="dxa"/>
              <w:start w:w="120" w:type="dxa"/>
              <w:bottom w:w="80" w:type="dxa"/>
              <w:end w:w="120" w:type="dxa"/>
            </w:tcMar>
            <w:vAlign w:val="center"/>
          </w:tcPr>
          <w:p>
            <w:pPr>
              <w:jc w:val="left"/>
            </w:pPr>
            <w:r>
              <w:rPr>
                <w:rFonts w:ascii="Calibri" w:hAnsi="Calibri"/>
                <w:b w:val="0"/>
                <w:color w:val="1F2937"/>
                <w:sz w:val="18"/>
              </w:rPr>
              <w:t>Alto</w:t>
            </w:r>
          </w:p>
        </w:tc>
        <w:tc>
          <w:tcPr>
            <w:tcW w:type="dxa" w:w="3910"/>
            <w:shd w:fill="FAFBFC"/>
            <w:tcMar>
              <w:top w:w="80" w:type="dxa"/>
              <w:start w:w="120" w:type="dxa"/>
              <w:bottom w:w="80" w:type="dxa"/>
              <w:end w:w="120" w:type="dxa"/>
            </w:tcMar>
            <w:vAlign w:val="center"/>
          </w:tcPr>
          <w:p>
            <w:pPr>
              <w:jc w:val="left"/>
            </w:pPr>
            <w:r>
              <w:rPr>
                <w:rFonts w:ascii="Calibri" w:hAnsi="Calibri"/>
                <w:b w:val="0"/>
                <w:color w:val="1F2937"/>
                <w:sz w:val="18"/>
              </w:rPr>
              <w:t>Gates secuenciales y backlog priorizado</w:t>
            </w:r>
          </w:p>
        </w:tc>
      </w:tr>
    </w:tbl>
    <w:p>
      <w:pPr>
        <w:spacing w:before="80" w:after="80"/>
      </w:pPr>
      <w:r>
        <w:rPr>
          <w:rFonts w:ascii="Calibri" w:hAnsi="Calibri"/>
          <w:i/>
          <w:color w:val="5F6B7A"/>
          <w:sz w:val="17"/>
        </w:rPr>
        <w:t>Fuente: riesgos de PLAN_MAESTRO ampliados por evidencia actual.</w:t>
      </w:r>
    </w:p>
    <w:p>
      <w:pPr>
        <w:pStyle w:val="Heading1"/>
      </w:pPr>
      <w:r>
        <w:t>14. Definición de proyecto completamente terminado</w:t>
      </w:r>
    </w:p>
    <w:p>
      <w:pPr/>
      <w:r>
        <w:rPr>
          <w:rFonts w:ascii="Calibri" w:hAnsi="Calibri"/>
          <w:i w:val="0"/>
          <w:color w:val="1F2937"/>
          <w:sz w:val="22"/>
        </w:rPr>
        <w:t>El proyecto no estará completamente terminado cuando compile o cuando muestre mapas. Estará consolidado cuando cumpla simultáneamente los siguientes criterios:</w:t>
      </w:r>
    </w:p>
    <w:p>
      <w:pPr>
        <w:ind w:left="259" w:hanging="259"/>
      </w:pPr>
      <w:r>
        <w:rPr>
          <w:rFonts w:ascii="Calibri" w:hAnsi="Calibri"/>
          <w:color w:val="1F2937"/>
          <w:sz w:val="22"/>
        </w:rPr>
        <w:t>1.  Un municipio usa el sistema diariamente para predios, propietarios, trámites, valuación y certificados.</w:t>
      </w:r>
    </w:p>
    <w:p>
      <w:pPr>
        <w:ind w:left="259" w:hanging="259"/>
      </w:pPr>
      <w:r>
        <w:rPr>
          <w:rFonts w:ascii="Calibri" w:hAnsi="Calibri"/>
          <w:color w:val="1F2937"/>
          <w:sz w:val="22"/>
        </w:rPr>
        <w:t>2.  La cartografía y el maestro están versionados, reconciliados y auditables.</w:t>
      </w:r>
    </w:p>
    <w:p>
      <w:pPr>
        <w:ind w:left="259" w:hanging="259"/>
      </w:pPr>
      <w:r>
        <w:rPr>
          <w:rFonts w:ascii="Calibri" w:hAnsi="Calibri"/>
          <w:color w:val="1F2937"/>
          <w:sz w:val="22"/>
        </w:rPr>
        <w:t>3.  Las fórmulas y catálogos aplicados son oficiales, versionados y trazables.</w:t>
      </w:r>
    </w:p>
    <w:p>
      <w:pPr>
        <w:ind w:left="259" w:hanging="259"/>
      </w:pPr>
      <w:r>
        <w:rPr>
          <w:rFonts w:ascii="Calibri" w:hAnsi="Calibri"/>
          <w:color w:val="1F2937"/>
          <w:sz w:val="22"/>
        </w:rPr>
        <w:t>4.  La liquidación o exportación tributaria funciona para todos los predios valuados.</w:t>
      </w:r>
    </w:p>
    <w:p>
      <w:pPr>
        <w:ind w:left="259" w:hanging="259"/>
      </w:pPr>
      <w:r>
        <w:rPr>
          <w:rFonts w:ascii="Calibri" w:hAnsi="Calibri"/>
          <w:color w:val="1F2937"/>
          <w:sz w:val="22"/>
        </w:rPr>
        <w:t>5.  Los ciudadanos pueden verificar certificados y consultar solo datos autorizados.</w:t>
      </w:r>
    </w:p>
    <w:p>
      <w:pPr>
        <w:ind w:left="259" w:hanging="259"/>
      </w:pPr>
      <w:r>
        <w:rPr>
          <w:rFonts w:ascii="Calibri" w:hAnsi="Calibri"/>
          <w:color w:val="1F2937"/>
          <w:sz w:val="22"/>
        </w:rPr>
        <w:t>6.  Backups y restauración se demuestran en entorno limpio.</w:t>
      </w:r>
    </w:p>
    <w:p>
      <w:pPr>
        <w:ind w:left="259" w:hanging="259"/>
      </w:pPr>
      <w:r>
        <w:rPr>
          <w:rFonts w:ascii="Calibri" w:hAnsi="Calibri"/>
          <w:color w:val="1F2937"/>
          <w:sz w:val="22"/>
        </w:rPr>
        <w:t>7.  Seguridad, monitoreo, soporte y actualización tienen responsables y SLA.</w:t>
      </w:r>
    </w:p>
    <w:p>
      <w:pPr>
        <w:ind w:left="259" w:hanging="259"/>
      </w:pPr>
      <w:r>
        <w:rPr>
          <w:rFonts w:ascii="Calibri" w:hAnsi="Calibri"/>
          <w:color w:val="1F2937"/>
          <w:sz w:val="22"/>
        </w:rPr>
        <w:t>8.  Caranavi y Uyuni coexisten con sus propias instancias operativas y datos correctos.</w:t>
      </w:r>
    </w:p>
    <w:p>
      <w:pPr>
        <w:ind w:left="259" w:hanging="259"/>
      </w:pPr>
      <w:r>
        <w:rPr>
          <w:rFonts w:ascii="Calibri" w:hAnsi="Calibri"/>
          <w:color w:val="1F2937"/>
          <w:sz w:val="22"/>
        </w:rPr>
        <w:t>9.  Un tercer municipio puede desplegarse en menos de un día sin cambiar el código.</w:t>
      </w:r>
    </w:p>
    <w:p>
      <w:pPr>
        <w:ind w:left="259" w:hanging="259"/>
      </w:pPr>
      <w:r>
        <w:rPr>
          <w:rFonts w:ascii="Calibri" w:hAnsi="Calibri"/>
          <w:color w:val="1F2937"/>
          <w:sz w:val="22"/>
        </w:rPr>
        <w:t>10.  Otra persona técnica puede operar y mantener el sistema siguiendo la documentación.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4EA"/>
          </w:tcPr>
          <w:p>
            <w:pPr>
              <w:spacing w:after="40"/>
            </w:pPr>
            <w:r>
              <w:rPr>
                <w:rFonts w:ascii="Calibri" w:hAnsi="Calibri"/>
                <w:b/>
                <w:color w:val="2F7D32"/>
                <w:sz w:val="18"/>
              </w:rPr>
              <w:t>RESULTADO ESPERADO</w:t>
            </w:r>
          </w:p>
          <w:p>
            <w:pPr>
              <w:spacing w:after="0"/>
            </w:pPr>
            <w:r>
              <w:rPr>
                <w:rFonts w:ascii="Calibri" w:hAnsi="Calibri"/>
                <w:color w:val="1F2937"/>
                <w:sz w:val="21"/>
              </w:rPr>
              <w:t>Un sistema que une catastro, GIS, calidad, valuación, documentos, auditoría, trámites, certificados, tributación y operación; replicable por municipio y defendible frente a auditoría técnica e institucional.</w:t>
            </w:r>
          </w:p>
        </w:tc>
      </w:tr>
    </w:tbl>
    <w:p>
      <w:pPr>
        <w:spacing w:after="0"/>
      </w:pPr>
    </w:p>
    <w:p>
      <w:pPr>
        <w:pStyle w:val="Heading1"/>
      </w:pPr>
      <w:r>
        <w:t>15. Próximas acciones concretas</w:t>
      </w:r>
    </w:p>
    <w:p>
      <w:pPr>
        <w:spacing w:before="80" w:after="80"/>
      </w:pPr>
      <w:r>
        <w:rPr>
          <w:rFonts w:ascii="Calibri" w:hAnsi="Calibri"/>
          <w:b/>
          <w:color w:val="0B2545"/>
          <w:sz w:val="19"/>
        </w:rPr>
        <w:t>Tabla 15. Lista de actuación inmediata</w:t>
      </w:r>
    </w:p>
    <w:tbl>
      <w:tblPr>
        <w:tblStyle w:val="TableGrid"/>
        <w:tblW w:type="dxa" w:w="9360"/>
        <w:jc w:val="left"/>
        <w:tblLayout w:type="fixed"/>
        <w:tblLook w:firstColumn="1" w:firstRow="1" w:lastColumn="0" w:lastRow="0" w:noHBand="0" w:noVBand="1" w:val="04A0"/>
        <w:tblInd w:w="120" w:type="dxa"/>
      </w:tblPr>
      <w:tblGrid>
        <w:gridCol w:w="600"/>
        <w:gridCol w:w="5100"/>
        <w:gridCol w:w="3660"/>
      </w:tblGrid>
      <w:tr>
        <w:trPr>
          <w:tblHeader w:val="true"/>
          <w:cantSplit w:val="true"/>
        </w:trPr>
        <w:tc>
          <w:tcPr>
            <w:tcW w:type="dxa" w:w="600"/>
            <w:shd w:fill="F2F4F7"/>
            <w:tcMar>
              <w:top w:w="80" w:type="dxa"/>
              <w:start w:w="120" w:type="dxa"/>
              <w:bottom w:w="80" w:type="dxa"/>
              <w:end w:w="120" w:type="dxa"/>
            </w:tcMar>
            <w:vAlign w:val="center"/>
          </w:tcPr>
          <w:p>
            <w:pPr>
              <w:jc w:val="center"/>
            </w:pPr>
            <w:r>
              <w:rPr>
                <w:rFonts w:ascii="Calibri" w:hAnsi="Calibri"/>
                <w:b/>
                <w:color w:val="0B2545"/>
                <w:sz w:val="18"/>
              </w:rPr>
              <w:t>#</w:t>
            </w:r>
          </w:p>
        </w:tc>
        <w:tc>
          <w:tcPr>
            <w:tcW w:type="dxa" w:w="5100"/>
            <w:shd w:fill="F2F4F7"/>
            <w:tcMar>
              <w:top w:w="80" w:type="dxa"/>
              <w:start w:w="120" w:type="dxa"/>
              <w:bottom w:w="80" w:type="dxa"/>
              <w:end w:w="120" w:type="dxa"/>
            </w:tcMar>
            <w:vAlign w:val="center"/>
          </w:tcPr>
          <w:p>
            <w:pPr>
              <w:jc w:val="center"/>
            </w:pPr>
            <w:r>
              <w:rPr>
                <w:rFonts w:ascii="Calibri" w:hAnsi="Calibri"/>
                <w:b/>
                <w:color w:val="0B2545"/>
                <w:sz w:val="18"/>
              </w:rPr>
              <w:t>Acción</w:t>
            </w:r>
          </w:p>
        </w:tc>
        <w:tc>
          <w:tcPr>
            <w:tcW w:type="dxa" w:w="3660"/>
            <w:shd w:fill="F2F4F7"/>
            <w:tcMar>
              <w:top w:w="80" w:type="dxa"/>
              <w:start w:w="120" w:type="dxa"/>
              <w:bottom w:w="80" w:type="dxa"/>
              <w:end w:w="120" w:type="dxa"/>
            </w:tcMar>
            <w:vAlign w:val="center"/>
          </w:tcPr>
          <w:p>
            <w:pPr>
              <w:jc w:val="center"/>
            </w:pPr>
            <w:r>
              <w:rPr>
                <w:rFonts w:ascii="Calibri" w:hAnsi="Calibri"/>
                <w:b/>
                <w:color w:val="0B2545"/>
                <w:sz w:val="18"/>
              </w:rPr>
              <w:t>Resultado</w:t>
            </w:r>
          </w:p>
        </w:tc>
      </w:tr>
      <w:tr>
        <w:trPr>
          <w:cantSplit w:val="true"/>
        </w:trPr>
        <w:tc>
          <w:tcPr>
            <w:tcW w:type="dxa" w:w="600"/>
            <w:tcMar>
              <w:top w:w="80" w:type="dxa"/>
              <w:start w:w="120" w:type="dxa"/>
              <w:bottom w:w="80" w:type="dxa"/>
              <w:end w:w="120" w:type="dxa"/>
            </w:tcMar>
            <w:vAlign w:val="center"/>
          </w:tcPr>
          <w:p>
            <w:pPr>
              <w:jc w:val="left"/>
            </w:pPr>
            <w:r>
              <w:rPr>
                <w:rFonts w:ascii="Calibri" w:hAnsi="Calibri"/>
                <w:b w:val="0"/>
                <w:color w:val="1F2937"/>
                <w:sz w:val="18"/>
              </w:rPr>
              <w:t>1</w:t>
            </w:r>
          </w:p>
        </w:tc>
        <w:tc>
          <w:tcPr>
            <w:tcW w:type="dxa" w:w="5100"/>
            <w:tcMar>
              <w:top w:w="80" w:type="dxa"/>
              <w:start w:w="120" w:type="dxa"/>
              <w:bottom w:w="80" w:type="dxa"/>
              <w:end w:w="120" w:type="dxa"/>
            </w:tcMar>
            <w:vAlign w:val="center"/>
          </w:tcPr>
          <w:p>
            <w:pPr>
              <w:jc w:val="left"/>
            </w:pPr>
            <w:r>
              <w:rPr>
                <w:rFonts w:ascii="Calibri" w:hAnsi="Calibri"/>
                <w:b w:val="0"/>
                <w:color w:val="1F2937"/>
                <w:sz w:val="18"/>
              </w:rPr>
              <w:t>No commitear aún HALLAZGO_PIPELINE_3B7.md</w:t>
            </w:r>
          </w:p>
        </w:tc>
        <w:tc>
          <w:tcPr>
            <w:tcW w:type="dxa" w:w="3660"/>
            <w:tcMar>
              <w:top w:w="80" w:type="dxa"/>
              <w:start w:w="120" w:type="dxa"/>
              <w:bottom w:w="80" w:type="dxa"/>
              <w:end w:w="120" w:type="dxa"/>
            </w:tcMar>
            <w:vAlign w:val="center"/>
          </w:tcPr>
          <w:p>
            <w:pPr>
              <w:jc w:val="left"/>
            </w:pPr>
            <w:r>
              <w:rPr>
                <w:rFonts w:ascii="Calibri" w:hAnsi="Calibri"/>
                <w:b w:val="0"/>
                <w:color w:val="1F2937"/>
                <w:sz w:val="18"/>
              </w:rPr>
              <w:t>Evitar canonizar contradicciones</w:t>
            </w:r>
          </w:p>
        </w:tc>
      </w:tr>
      <w:tr>
        <w:trPr>
          <w:cantSplit w:val="true"/>
        </w:trPr>
        <w:tc>
          <w:tcPr>
            <w:tcW w:type="dxa" w:w="600"/>
            <w:shd w:fill="FAFBFC"/>
            <w:tcMar>
              <w:top w:w="80" w:type="dxa"/>
              <w:start w:w="120" w:type="dxa"/>
              <w:bottom w:w="80" w:type="dxa"/>
              <w:end w:w="120" w:type="dxa"/>
            </w:tcMar>
            <w:vAlign w:val="center"/>
          </w:tcPr>
          <w:p>
            <w:pPr>
              <w:jc w:val="left"/>
            </w:pPr>
            <w:r>
              <w:rPr>
                <w:rFonts w:ascii="Calibri" w:hAnsi="Calibri"/>
                <w:b w:val="0"/>
                <w:color w:val="1F2937"/>
                <w:sz w:val="18"/>
              </w:rPr>
              <w:t>2</w:t>
            </w:r>
          </w:p>
        </w:tc>
        <w:tc>
          <w:tcPr>
            <w:tcW w:type="dxa" w:w="5100"/>
            <w:shd w:fill="FAFBFC"/>
            <w:tcMar>
              <w:top w:w="80" w:type="dxa"/>
              <w:start w:w="120" w:type="dxa"/>
              <w:bottom w:w="80" w:type="dxa"/>
              <w:end w:w="120" w:type="dxa"/>
            </w:tcMar>
            <w:vAlign w:val="center"/>
          </w:tcPr>
          <w:p>
            <w:pPr>
              <w:jc w:val="left"/>
            </w:pPr>
            <w:r>
              <w:rPr>
                <w:rFonts w:ascii="Calibri" w:hAnsi="Calibri"/>
                <w:b w:val="0"/>
                <w:color w:val="1F2937"/>
                <w:sz w:val="18"/>
              </w:rPr>
              <w:t>Emitir versión corregida del hallazgo y ADR de composición</w:t>
            </w:r>
          </w:p>
        </w:tc>
        <w:tc>
          <w:tcPr>
            <w:tcW w:type="dxa" w:w="3660"/>
            <w:shd w:fill="FAFBFC"/>
            <w:tcMar>
              <w:top w:w="80" w:type="dxa"/>
              <w:start w:w="120" w:type="dxa"/>
              <w:bottom w:w="80" w:type="dxa"/>
              <w:end w:w="120" w:type="dxa"/>
            </w:tcMar>
            <w:vAlign w:val="center"/>
          </w:tcPr>
          <w:p>
            <w:pPr>
              <w:jc w:val="left"/>
            </w:pPr>
            <w:r>
              <w:rPr>
                <w:rFonts w:ascii="Calibri" w:hAnsi="Calibri"/>
                <w:b w:val="0"/>
                <w:color w:val="1F2937"/>
                <w:sz w:val="18"/>
              </w:rPr>
              <w:t>Contrato técnico revisable</w:t>
            </w:r>
          </w:p>
        </w:tc>
      </w:tr>
      <w:tr>
        <w:trPr>
          <w:cantSplit w:val="true"/>
        </w:trPr>
        <w:tc>
          <w:tcPr>
            <w:tcW w:type="dxa" w:w="600"/>
            <w:tcMar>
              <w:top w:w="80" w:type="dxa"/>
              <w:start w:w="120" w:type="dxa"/>
              <w:bottom w:w="80" w:type="dxa"/>
              <w:end w:w="120" w:type="dxa"/>
            </w:tcMar>
            <w:vAlign w:val="center"/>
          </w:tcPr>
          <w:p>
            <w:pPr>
              <w:jc w:val="left"/>
            </w:pPr>
            <w:r>
              <w:rPr>
                <w:rFonts w:ascii="Calibri" w:hAnsi="Calibri"/>
                <w:b w:val="0"/>
                <w:color w:val="1F2937"/>
                <w:sz w:val="18"/>
              </w:rPr>
              <w:t>3</w:t>
            </w:r>
          </w:p>
        </w:tc>
        <w:tc>
          <w:tcPr>
            <w:tcW w:type="dxa" w:w="5100"/>
            <w:tcMar>
              <w:top w:w="80" w:type="dxa"/>
              <w:start w:w="120" w:type="dxa"/>
              <w:bottom w:w="80" w:type="dxa"/>
              <w:end w:w="120" w:type="dxa"/>
            </w:tcMar>
            <w:vAlign w:val="center"/>
          </w:tcPr>
          <w:p>
            <w:pPr>
              <w:jc w:val="left"/>
            </w:pPr>
            <w:r>
              <w:rPr>
                <w:rFonts w:ascii="Calibri" w:hAnsi="Calibri"/>
                <w:b w:val="0"/>
                <w:color w:val="1F2937"/>
                <w:sz w:val="18"/>
              </w:rPr>
              <w:t>Implementar y probar copy-forward por capa</w:t>
            </w:r>
          </w:p>
        </w:tc>
        <w:tc>
          <w:tcPr>
            <w:tcW w:type="dxa" w:w="3660"/>
            <w:tcMar>
              <w:top w:w="80" w:type="dxa"/>
              <w:start w:w="120" w:type="dxa"/>
              <w:bottom w:w="80" w:type="dxa"/>
              <w:end w:w="120" w:type="dxa"/>
            </w:tcMar>
            <w:vAlign w:val="center"/>
          </w:tcPr>
          <w:p>
            <w:pPr>
              <w:jc w:val="left"/>
            </w:pPr>
            <w:r>
              <w:rPr>
                <w:rFonts w:ascii="Calibri" w:hAnsi="Calibri"/>
                <w:b w:val="0"/>
                <w:color w:val="1F2937"/>
                <w:sz w:val="18"/>
              </w:rPr>
              <w:t>Dataset N+1 completo</w:t>
            </w:r>
          </w:p>
        </w:tc>
      </w:tr>
      <w:tr>
        <w:trPr>
          <w:cantSplit w:val="true"/>
        </w:trPr>
        <w:tc>
          <w:tcPr>
            <w:tcW w:type="dxa" w:w="600"/>
            <w:shd w:fill="FAFBFC"/>
            <w:tcMar>
              <w:top w:w="80" w:type="dxa"/>
              <w:start w:w="120" w:type="dxa"/>
              <w:bottom w:w="80" w:type="dxa"/>
              <w:end w:w="120" w:type="dxa"/>
            </w:tcMar>
            <w:vAlign w:val="center"/>
          </w:tcPr>
          <w:p>
            <w:pPr>
              <w:jc w:val="left"/>
            </w:pPr>
            <w:r>
              <w:rPr>
                <w:rFonts w:ascii="Calibri" w:hAnsi="Calibri"/>
                <w:b w:val="0"/>
                <w:color w:val="1F2937"/>
                <w:sz w:val="18"/>
              </w:rPr>
              <w:t>4</w:t>
            </w:r>
          </w:p>
        </w:tc>
        <w:tc>
          <w:tcPr>
            <w:tcW w:type="dxa" w:w="5100"/>
            <w:shd w:fill="FAFBFC"/>
            <w:tcMar>
              <w:top w:w="80" w:type="dxa"/>
              <w:start w:w="120" w:type="dxa"/>
              <w:bottom w:w="80" w:type="dxa"/>
              <w:end w:w="120" w:type="dxa"/>
            </w:tcMar>
            <w:vAlign w:val="center"/>
          </w:tcPr>
          <w:p>
            <w:pPr>
              <w:jc w:val="left"/>
            </w:pPr>
            <w:r>
              <w:rPr>
                <w:rFonts w:ascii="Calibri" w:hAnsi="Calibri"/>
                <w:b w:val="0"/>
                <w:color w:val="1F2937"/>
                <w:sz w:val="18"/>
              </w:rPr>
              <w:t>Ejecutar 3.B.7 real</w:t>
            </w:r>
          </w:p>
        </w:tc>
        <w:tc>
          <w:tcPr>
            <w:tcW w:type="dxa" w:w="3660"/>
            <w:shd w:fill="FAFBFC"/>
            <w:tcMar>
              <w:top w:w="80" w:type="dxa"/>
              <w:start w:w="120" w:type="dxa"/>
              <w:bottom w:w="80" w:type="dxa"/>
              <w:end w:w="120" w:type="dxa"/>
            </w:tcMar>
            <w:vAlign w:val="center"/>
          </w:tcPr>
          <w:p>
            <w:pPr>
              <w:jc w:val="left"/>
            </w:pPr>
            <w:r>
              <w:rPr>
                <w:rFonts w:ascii="Calibri" w:hAnsi="Calibri"/>
                <w:b w:val="0"/>
                <w:color w:val="1F2937"/>
                <w:sz w:val="18"/>
              </w:rPr>
              <w:t>Caranavi con 6.573 predios de staging</w:t>
            </w:r>
          </w:p>
        </w:tc>
      </w:tr>
      <w:tr>
        <w:trPr>
          <w:cantSplit w:val="true"/>
        </w:trPr>
        <w:tc>
          <w:tcPr>
            <w:tcW w:type="dxa" w:w="600"/>
            <w:tcMar>
              <w:top w:w="80" w:type="dxa"/>
              <w:start w:w="120" w:type="dxa"/>
              <w:bottom w:w="80" w:type="dxa"/>
              <w:end w:w="120" w:type="dxa"/>
            </w:tcMar>
            <w:vAlign w:val="center"/>
          </w:tcPr>
          <w:p>
            <w:pPr>
              <w:jc w:val="left"/>
            </w:pPr>
            <w:r>
              <w:rPr>
                <w:rFonts w:ascii="Calibri" w:hAnsi="Calibri"/>
                <w:b w:val="0"/>
                <w:color w:val="1F2937"/>
                <w:sz w:val="18"/>
              </w:rPr>
              <w:t>5</w:t>
            </w:r>
          </w:p>
        </w:tc>
        <w:tc>
          <w:tcPr>
            <w:tcW w:type="dxa" w:w="5100"/>
            <w:tcMar>
              <w:top w:w="80" w:type="dxa"/>
              <w:start w:w="120" w:type="dxa"/>
              <w:bottom w:w="80" w:type="dxa"/>
              <w:end w:w="120" w:type="dxa"/>
            </w:tcMar>
            <w:vAlign w:val="center"/>
          </w:tcPr>
          <w:p>
            <w:pPr>
              <w:jc w:val="left"/>
            </w:pPr>
            <w:r>
              <w:rPr>
                <w:rFonts w:ascii="Calibri" w:hAnsi="Calibri"/>
                <w:b w:val="0"/>
                <w:color w:val="1F2937"/>
                <w:sz w:val="18"/>
              </w:rPr>
              <w:t>Actualizar PLAN_MAESTRO y AGENTS.md</w:t>
            </w:r>
          </w:p>
        </w:tc>
        <w:tc>
          <w:tcPr>
            <w:tcW w:type="dxa" w:w="3660"/>
            <w:tcMar>
              <w:top w:w="80" w:type="dxa"/>
              <w:start w:w="120" w:type="dxa"/>
              <w:bottom w:w="80" w:type="dxa"/>
              <w:end w:w="120" w:type="dxa"/>
            </w:tcMar>
            <w:vAlign w:val="center"/>
          </w:tcPr>
          <w:p>
            <w:pPr>
              <w:jc w:val="left"/>
            </w:pPr>
            <w:r>
              <w:rPr>
                <w:rFonts w:ascii="Calibri" w:hAnsi="Calibri"/>
                <w:b w:val="0"/>
                <w:color w:val="1F2937"/>
                <w:sz w:val="18"/>
              </w:rPr>
              <w:t>Fuentes de verdad alineadas</w:t>
            </w:r>
          </w:p>
        </w:tc>
      </w:tr>
      <w:tr>
        <w:trPr>
          <w:cantSplit w:val="true"/>
        </w:trPr>
        <w:tc>
          <w:tcPr>
            <w:tcW w:type="dxa" w:w="600"/>
            <w:shd w:fill="FAFBFC"/>
            <w:tcMar>
              <w:top w:w="80" w:type="dxa"/>
              <w:start w:w="120" w:type="dxa"/>
              <w:bottom w:w="80" w:type="dxa"/>
              <w:end w:w="120" w:type="dxa"/>
            </w:tcMar>
            <w:vAlign w:val="center"/>
          </w:tcPr>
          <w:p>
            <w:pPr>
              <w:jc w:val="left"/>
            </w:pPr>
            <w:r>
              <w:rPr>
                <w:rFonts w:ascii="Calibri" w:hAnsi="Calibri"/>
                <w:b w:val="0"/>
                <w:color w:val="1F2937"/>
                <w:sz w:val="18"/>
              </w:rPr>
              <w:t>6</w:t>
            </w:r>
          </w:p>
        </w:tc>
        <w:tc>
          <w:tcPr>
            <w:tcW w:type="dxa" w:w="5100"/>
            <w:shd w:fill="FAFBFC"/>
            <w:tcMar>
              <w:top w:w="80" w:type="dxa"/>
              <w:start w:w="120" w:type="dxa"/>
              <w:bottom w:w="80" w:type="dxa"/>
              <w:end w:w="120" w:type="dxa"/>
            </w:tcMar>
            <w:vAlign w:val="center"/>
          </w:tcPr>
          <w:p>
            <w:pPr>
              <w:jc w:val="left"/>
            </w:pPr>
            <w:r>
              <w:rPr>
                <w:rFonts w:ascii="Calibri" w:hAnsi="Calibri"/>
                <w:b w:val="0"/>
                <w:color w:val="1F2937"/>
                <w:sz w:val="18"/>
              </w:rPr>
              <w:t>Cerrar ADR 0045 y comenzar valuación</w:t>
            </w:r>
          </w:p>
        </w:tc>
        <w:tc>
          <w:tcPr>
            <w:tcW w:type="dxa" w:w="3660"/>
            <w:shd w:fill="FAFBFC"/>
            <w:tcMar>
              <w:top w:w="80" w:type="dxa"/>
              <w:start w:w="120" w:type="dxa"/>
              <w:bottom w:w="80" w:type="dxa"/>
              <w:end w:w="120" w:type="dxa"/>
            </w:tcMar>
            <w:vAlign w:val="center"/>
          </w:tcPr>
          <w:p>
            <w:pPr>
              <w:jc w:val="left"/>
            </w:pPr>
            <w:r>
              <w:rPr>
                <w:rFonts w:ascii="Calibri" w:hAnsi="Calibri"/>
                <w:b w:val="0"/>
                <w:color w:val="1F2937"/>
                <w:sz w:val="18"/>
              </w:rPr>
              <w:t>Siguiente capacidad institucional</w:t>
            </w:r>
          </w:p>
        </w:tc>
      </w:tr>
      <w:tr>
        <w:trPr>
          <w:cantSplit w:val="true"/>
        </w:trPr>
        <w:tc>
          <w:tcPr>
            <w:tcW w:type="dxa" w:w="600"/>
            <w:tcMar>
              <w:top w:w="80" w:type="dxa"/>
              <w:start w:w="120" w:type="dxa"/>
              <w:bottom w:w="80" w:type="dxa"/>
              <w:end w:w="120" w:type="dxa"/>
            </w:tcMar>
            <w:vAlign w:val="center"/>
          </w:tcPr>
          <w:p>
            <w:pPr>
              <w:jc w:val="left"/>
            </w:pPr>
            <w:r>
              <w:rPr>
                <w:rFonts w:ascii="Calibri" w:hAnsi="Calibri"/>
                <w:b w:val="0"/>
                <w:color w:val="1F2937"/>
                <w:sz w:val="18"/>
              </w:rPr>
              <w:t>7</w:t>
            </w:r>
          </w:p>
        </w:tc>
        <w:tc>
          <w:tcPr>
            <w:tcW w:type="dxa" w:w="5100"/>
            <w:tcMar>
              <w:top w:w="80" w:type="dxa"/>
              <w:start w:w="120" w:type="dxa"/>
              <w:bottom w:w="80" w:type="dxa"/>
              <w:end w:w="120" w:type="dxa"/>
            </w:tcMar>
            <w:vAlign w:val="center"/>
          </w:tcPr>
          <w:p>
            <w:pPr>
              <w:jc w:val="left"/>
            </w:pPr>
            <w:r>
              <w:rPr>
                <w:rFonts w:ascii="Calibri" w:hAnsi="Calibri"/>
                <w:b w:val="0"/>
                <w:color w:val="1F2937"/>
                <w:sz w:val="18"/>
              </w:rPr>
              <w:t>Activar integración en CI y gate E2E por release</w:t>
            </w:r>
          </w:p>
        </w:tc>
        <w:tc>
          <w:tcPr>
            <w:tcW w:type="dxa" w:w="3660"/>
            <w:tcMar>
              <w:top w:w="80" w:type="dxa"/>
              <w:start w:w="120" w:type="dxa"/>
              <w:bottom w:w="80" w:type="dxa"/>
              <w:end w:w="120" w:type="dxa"/>
            </w:tcMar>
            <w:vAlign w:val="center"/>
          </w:tcPr>
          <w:p>
            <w:pPr>
              <w:jc w:val="left"/>
            </w:pPr>
            <w:r>
              <w:rPr>
                <w:rFonts w:ascii="Calibri" w:hAnsi="Calibri"/>
                <w:b w:val="0"/>
                <w:color w:val="1F2937"/>
                <w:sz w:val="18"/>
              </w:rPr>
              <w:t>Calidad reproducible</w:t>
            </w:r>
          </w:p>
        </w:tc>
      </w:tr>
      <w:tr>
        <w:trPr>
          <w:cantSplit w:val="true"/>
        </w:trPr>
        <w:tc>
          <w:tcPr>
            <w:tcW w:type="dxa" w:w="600"/>
            <w:shd w:fill="FAFBFC"/>
            <w:tcMar>
              <w:top w:w="80" w:type="dxa"/>
              <w:start w:w="120" w:type="dxa"/>
              <w:bottom w:w="80" w:type="dxa"/>
              <w:end w:w="120" w:type="dxa"/>
            </w:tcMar>
            <w:vAlign w:val="center"/>
          </w:tcPr>
          <w:p>
            <w:pPr>
              <w:jc w:val="left"/>
            </w:pPr>
            <w:r>
              <w:rPr>
                <w:rFonts w:ascii="Calibri" w:hAnsi="Calibri"/>
                <w:b w:val="0"/>
                <w:color w:val="1F2937"/>
                <w:sz w:val="18"/>
              </w:rPr>
              <w:t>8</w:t>
            </w:r>
          </w:p>
        </w:tc>
        <w:tc>
          <w:tcPr>
            <w:tcW w:type="dxa" w:w="5100"/>
            <w:shd w:fill="FAFBFC"/>
            <w:tcMar>
              <w:top w:w="80" w:type="dxa"/>
              <w:start w:w="120" w:type="dxa"/>
              <w:bottom w:w="80" w:type="dxa"/>
              <w:end w:w="120" w:type="dxa"/>
            </w:tcMar>
            <w:vAlign w:val="center"/>
          </w:tcPr>
          <w:p>
            <w:pPr>
              <w:jc w:val="left"/>
            </w:pPr>
            <w:r>
              <w:rPr>
                <w:rFonts w:ascii="Calibri" w:hAnsi="Calibri"/>
                <w:b w:val="0"/>
                <w:color w:val="1F2937"/>
                <w:sz w:val="18"/>
              </w:rPr>
              <w:t>Diseñar runbook de producción y restore</w:t>
            </w:r>
          </w:p>
        </w:tc>
        <w:tc>
          <w:tcPr>
            <w:tcW w:type="dxa" w:w="3660"/>
            <w:shd w:fill="FAFBFC"/>
            <w:tcMar>
              <w:top w:w="80" w:type="dxa"/>
              <w:start w:w="120" w:type="dxa"/>
              <w:bottom w:w="80" w:type="dxa"/>
              <w:end w:w="120" w:type="dxa"/>
            </w:tcMar>
            <w:vAlign w:val="center"/>
          </w:tcPr>
          <w:p>
            <w:pPr>
              <w:jc w:val="left"/>
            </w:pPr>
            <w:r>
              <w:rPr>
                <w:rFonts w:ascii="Calibri" w:hAnsi="Calibri"/>
                <w:b w:val="0"/>
                <w:color w:val="1F2937"/>
                <w:sz w:val="18"/>
              </w:rPr>
              <w:t>Preparación para piloto</w:t>
            </w:r>
          </w:p>
        </w:tc>
      </w:tr>
    </w:tbl>
    <w:p>
      <w:pPr>
        <w:spacing w:before="80" w:after="80"/>
      </w:pPr>
      <w:r>
        <w:rPr>
          <w:rFonts w:ascii="Calibri" w:hAnsi="Calibri"/>
          <w:i/>
          <w:color w:val="5F6B7A"/>
          <w:sz w:val="17"/>
        </w:rPr>
        <w:t>Fuente: conclusiones del informe.</w:t>
      </w:r>
    </w:p>
    <w:p>
      <w:pPr>
        <w:pStyle w:val="Heading1"/>
      </w:pPr>
      <w:r>
        <w:t>Apéndice A. Línea de base técnica</w:t>
      </w:r>
    </w:p>
    <w:p>
      <w:pPr>
        <w:spacing w:before="80" w:after="80"/>
      </w:pPr>
      <w:r>
        <w:rPr>
          <w:rFonts w:ascii="Calibri" w:hAnsi="Calibri"/>
          <w:b/>
          <w:color w:val="0B2545"/>
          <w:sz w:val="19"/>
        </w:rPr>
        <w:t>Tabla A1. Inventario técnico</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val="true"/>
        </w:trPr>
        <w:tc>
          <w:tcPr>
            <w:tcW w:type="dxa" w:w="2700"/>
            <w:shd w:fill="F2F4F7"/>
            <w:tcMar>
              <w:top w:w="80" w:type="dxa"/>
              <w:start w:w="120" w:type="dxa"/>
              <w:bottom w:w="80" w:type="dxa"/>
              <w:end w:w="120" w:type="dxa"/>
            </w:tcMar>
            <w:vAlign w:val="center"/>
          </w:tcPr>
          <w:p>
            <w:pPr>
              <w:jc w:val="center"/>
            </w:pPr>
            <w:r>
              <w:rPr>
                <w:rFonts w:ascii="Calibri" w:hAnsi="Calibri"/>
                <w:b/>
                <w:color w:val="0B2545"/>
                <w:sz w:val="18"/>
              </w:rPr>
              <w:t>Componente</w:t>
            </w:r>
          </w:p>
        </w:tc>
        <w:tc>
          <w:tcPr>
            <w:tcW w:type="dxa" w:w="6660"/>
            <w:shd w:fill="F2F4F7"/>
            <w:tcMar>
              <w:top w:w="80" w:type="dxa"/>
              <w:start w:w="120" w:type="dxa"/>
              <w:bottom w:w="80" w:type="dxa"/>
              <w:end w:w="120" w:type="dxa"/>
            </w:tcMar>
            <w:vAlign w:val="center"/>
          </w:tcPr>
          <w:p>
            <w:pPr>
              <w:jc w:val="center"/>
            </w:pPr>
            <w:r>
              <w:rPr>
                <w:rFonts w:ascii="Calibri" w:hAnsi="Calibri"/>
                <w:b/>
                <w:color w:val="0B2545"/>
                <w:sz w:val="18"/>
              </w:rPr>
              <w:t>Estado actual</w:t>
            </w:r>
          </w:p>
        </w:tc>
      </w:tr>
      <w:tr>
        <w:trPr>
          <w:cantSplit w:val="true"/>
        </w:trPr>
        <w:tc>
          <w:tcPr>
            <w:tcW w:type="dxa" w:w="2700"/>
            <w:tcMar>
              <w:top w:w="80" w:type="dxa"/>
              <w:start w:w="120" w:type="dxa"/>
              <w:bottom w:w="80" w:type="dxa"/>
              <w:end w:w="120" w:type="dxa"/>
            </w:tcMar>
            <w:vAlign w:val="center"/>
          </w:tcPr>
          <w:p>
            <w:pPr>
              <w:jc w:val="left"/>
            </w:pPr>
            <w:r>
              <w:rPr>
                <w:rFonts w:ascii="Calibri" w:hAnsi="Calibri"/>
                <w:b w:val="0"/>
                <w:color w:val="1F2937"/>
                <w:sz w:val="18"/>
              </w:rPr>
              <w:t>Backend</w:t>
            </w:r>
          </w:p>
        </w:tc>
        <w:tc>
          <w:tcPr>
            <w:tcW w:type="dxa" w:w="6660"/>
            <w:tcMar>
              <w:top w:w="80" w:type="dxa"/>
              <w:start w:w="120" w:type="dxa"/>
              <w:bottom w:w="80" w:type="dxa"/>
              <w:end w:w="120" w:type="dxa"/>
            </w:tcMar>
            <w:vAlign w:val="center"/>
          </w:tcPr>
          <w:p>
            <w:pPr>
              <w:jc w:val="left"/>
            </w:pPr>
            <w:r>
              <w:rPr>
                <w:rFonts w:ascii="Calibri" w:hAnsi="Calibri"/>
                <w:b w:val="0"/>
                <w:color w:val="1F2937"/>
                <w:sz w:val="18"/>
              </w:rPr>
              <w:t>.NET 10; SG.Api, SG.Application, SG.Domain, SG.Infrastructure, SG.Contracts</w:t>
            </w:r>
          </w:p>
        </w:tc>
      </w:tr>
      <w:tr>
        <w:trPr>
          <w:cantSplit w:val="true"/>
        </w:trP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Frontend</w:t>
            </w:r>
          </w:p>
        </w:tc>
        <w:tc>
          <w:tcPr>
            <w:tcW w:type="dxa" w:w="6660"/>
            <w:shd w:fill="FAFBFC"/>
            <w:tcMar>
              <w:top w:w="80" w:type="dxa"/>
              <w:start w:w="120" w:type="dxa"/>
              <w:bottom w:w="80" w:type="dxa"/>
              <w:end w:w="120" w:type="dxa"/>
            </w:tcMar>
            <w:vAlign w:val="center"/>
          </w:tcPr>
          <w:p>
            <w:pPr>
              <w:jc w:val="left"/>
            </w:pPr>
            <w:r>
              <w:rPr>
                <w:rFonts w:ascii="Calibri" w:hAnsi="Calibri"/>
                <w:b w:val="0"/>
                <w:color w:val="1F2937"/>
                <w:sz w:val="18"/>
              </w:rPr>
              <w:t>Blazor WebAssembly .NET 10; MapLibre GL JS 5.24.0</w:t>
            </w:r>
          </w:p>
        </w:tc>
      </w:tr>
      <w:tr>
        <w:trPr>
          <w:cantSplit w:val="true"/>
        </w:trPr>
        <w:tc>
          <w:tcPr>
            <w:tcW w:type="dxa" w:w="2700"/>
            <w:tcMar>
              <w:top w:w="80" w:type="dxa"/>
              <w:start w:w="120" w:type="dxa"/>
              <w:bottom w:w="80" w:type="dxa"/>
              <w:end w:w="120" w:type="dxa"/>
            </w:tcMar>
            <w:vAlign w:val="center"/>
          </w:tcPr>
          <w:p>
            <w:pPr>
              <w:jc w:val="left"/>
            </w:pPr>
            <w:r>
              <w:rPr>
                <w:rFonts w:ascii="Calibri" w:hAnsi="Calibri"/>
                <w:b w:val="0"/>
                <w:color w:val="1F2937"/>
                <w:sz w:val="18"/>
              </w:rPr>
              <w:t>Persistencia</w:t>
            </w:r>
          </w:p>
        </w:tc>
        <w:tc>
          <w:tcPr>
            <w:tcW w:type="dxa" w:w="6660"/>
            <w:tcMar>
              <w:top w:w="80" w:type="dxa"/>
              <w:start w:w="120" w:type="dxa"/>
              <w:bottom w:w="80" w:type="dxa"/>
              <w:end w:w="120" w:type="dxa"/>
            </w:tcMar>
            <w:vAlign w:val="center"/>
          </w:tcPr>
          <w:p>
            <w:pPr>
              <w:jc w:val="left"/>
            </w:pPr>
            <w:r>
              <w:rPr>
                <w:rFonts w:ascii="Calibri" w:hAnsi="Calibri"/>
                <w:b w:val="0"/>
                <w:color w:val="1F2937"/>
                <w:sz w:val="18"/>
              </w:rPr>
              <w:t>PostgreSQL 16 + PostGIS; EF Core; 15 migraciones M001–M015</w:t>
            </w:r>
          </w:p>
        </w:tc>
      </w:tr>
      <w:tr>
        <w:trPr>
          <w:cantSplit w:val="true"/>
        </w:trP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Objetos</w:t>
            </w:r>
          </w:p>
        </w:tc>
        <w:tc>
          <w:tcPr>
            <w:tcW w:type="dxa" w:w="6660"/>
            <w:shd w:fill="FAFBFC"/>
            <w:tcMar>
              <w:top w:w="80" w:type="dxa"/>
              <w:start w:w="120" w:type="dxa"/>
              <w:bottom w:w="80" w:type="dxa"/>
              <w:end w:w="120" w:type="dxa"/>
            </w:tcMar>
            <w:vAlign w:val="center"/>
          </w:tcPr>
          <w:p>
            <w:pPr>
              <w:jc w:val="left"/>
            </w:pPr>
            <w:r>
              <w:rPr>
                <w:rFonts w:ascii="Calibri" w:hAnsi="Calibri"/>
                <w:b w:val="0"/>
                <w:color w:val="1F2937"/>
                <w:sz w:val="18"/>
              </w:rPr>
              <w:t>MinIO</w:t>
            </w:r>
          </w:p>
        </w:tc>
      </w:tr>
      <w:tr>
        <w:trPr>
          <w:cantSplit w:val="true"/>
        </w:trPr>
        <w:tc>
          <w:tcPr>
            <w:tcW w:type="dxa" w:w="2700"/>
            <w:tcMar>
              <w:top w:w="80" w:type="dxa"/>
              <w:start w:w="120" w:type="dxa"/>
              <w:bottom w:w="80" w:type="dxa"/>
              <w:end w:w="120" w:type="dxa"/>
            </w:tcMar>
            <w:vAlign w:val="center"/>
          </w:tcPr>
          <w:p>
            <w:pPr>
              <w:jc w:val="left"/>
            </w:pPr>
            <w:r>
              <w:rPr>
                <w:rFonts w:ascii="Calibri" w:hAnsi="Calibri"/>
                <w:b w:val="0"/>
                <w:color w:val="1F2937"/>
                <w:sz w:val="18"/>
              </w:rPr>
              <w:t>Proxy</w:t>
            </w:r>
          </w:p>
        </w:tc>
        <w:tc>
          <w:tcPr>
            <w:tcW w:type="dxa" w:w="6660"/>
            <w:tcMar>
              <w:top w:w="80" w:type="dxa"/>
              <w:start w:w="120" w:type="dxa"/>
              <w:bottom w:w="80" w:type="dxa"/>
              <w:end w:w="120" w:type="dxa"/>
            </w:tcMar>
            <w:vAlign w:val="center"/>
          </w:tcPr>
          <w:p>
            <w:pPr>
              <w:jc w:val="left"/>
            </w:pPr>
            <w:r>
              <w:rPr>
                <w:rFonts w:ascii="Calibri" w:hAnsi="Calibri"/>
                <w:b w:val="0"/>
                <w:color w:val="1F2937"/>
                <w:sz w:val="18"/>
              </w:rPr>
              <w:t>Caddy</w:t>
            </w:r>
          </w:p>
        </w:tc>
      </w:tr>
      <w:tr>
        <w:trPr>
          <w:cantSplit w:val="true"/>
        </w:trP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Autenticación</w:t>
            </w:r>
          </w:p>
        </w:tc>
        <w:tc>
          <w:tcPr>
            <w:tcW w:type="dxa" w:w="6660"/>
            <w:shd w:fill="FAFBFC"/>
            <w:tcMar>
              <w:top w:w="80" w:type="dxa"/>
              <w:start w:w="120" w:type="dxa"/>
              <w:bottom w:w="80" w:type="dxa"/>
              <w:end w:w="120" w:type="dxa"/>
            </w:tcMar>
            <w:vAlign w:val="center"/>
          </w:tcPr>
          <w:p>
            <w:pPr>
              <w:jc w:val="left"/>
            </w:pPr>
            <w:r>
              <w:rPr>
                <w:rFonts w:ascii="Calibri" w:hAnsi="Calibri"/>
                <w:b w:val="0"/>
                <w:color w:val="1F2937"/>
                <w:sz w:val="18"/>
              </w:rPr>
              <w:t>Identity + BCrypt + JWT + refresh</w:t>
            </w:r>
          </w:p>
        </w:tc>
      </w:tr>
      <w:tr>
        <w:trPr>
          <w:cantSplit w:val="true"/>
        </w:trPr>
        <w:tc>
          <w:tcPr>
            <w:tcW w:type="dxa" w:w="2700"/>
            <w:tcMar>
              <w:top w:w="80" w:type="dxa"/>
              <w:start w:w="120" w:type="dxa"/>
              <w:bottom w:w="80" w:type="dxa"/>
              <w:end w:w="120" w:type="dxa"/>
            </w:tcMar>
            <w:vAlign w:val="center"/>
          </w:tcPr>
          <w:p>
            <w:pPr>
              <w:jc w:val="left"/>
            </w:pPr>
            <w:r>
              <w:rPr>
                <w:rFonts w:ascii="Calibri" w:hAnsi="Calibri"/>
                <w:b w:val="0"/>
                <w:color w:val="1F2937"/>
                <w:sz w:val="18"/>
              </w:rPr>
              <w:t>GIS</w:t>
            </w:r>
          </w:p>
        </w:tc>
        <w:tc>
          <w:tcPr>
            <w:tcW w:type="dxa" w:w="6660"/>
            <w:tcMar>
              <w:top w:w="80" w:type="dxa"/>
              <w:start w:w="120" w:type="dxa"/>
              <w:bottom w:w="80" w:type="dxa"/>
              <w:end w:w="120" w:type="dxa"/>
            </w:tcMar>
            <w:vAlign w:val="center"/>
          </w:tcPr>
          <w:p>
            <w:pPr>
              <w:jc w:val="left"/>
            </w:pPr>
            <w:r>
              <w:rPr>
                <w:rFonts w:ascii="Calibri" w:hAnsi="Calibri"/>
                <w:b w:val="0"/>
                <w:color w:val="1F2937"/>
                <w:sz w:val="18"/>
              </w:rPr>
              <w:t>EPSG:32719; MVT on-the-fly</w:t>
            </w:r>
          </w:p>
        </w:tc>
      </w:tr>
      <w:tr>
        <w:trPr>
          <w:cantSplit w:val="true"/>
        </w:trP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Pruebas</w:t>
            </w:r>
          </w:p>
        </w:tc>
        <w:tc>
          <w:tcPr>
            <w:tcW w:type="dxa" w:w="6660"/>
            <w:shd w:fill="FAFBFC"/>
            <w:tcMar>
              <w:top w:w="80" w:type="dxa"/>
              <w:start w:w="120" w:type="dxa"/>
              <w:bottom w:w="80" w:type="dxa"/>
              <w:end w:w="120" w:type="dxa"/>
            </w:tcMar>
            <w:vAlign w:val="center"/>
          </w:tcPr>
          <w:p>
            <w:pPr>
              <w:jc w:val="left"/>
            </w:pPr>
            <w:r>
              <w:rPr>
                <w:rFonts w:ascii="Calibri" w:hAnsi="Calibri"/>
                <w:b w:val="0"/>
                <w:color w:val="1F2937"/>
                <w:sz w:val="18"/>
              </w:rPr>
              <w:t>xUnit; Testcontainers; 325 tests de solución; E2E Playwright separado</w:t>
            </w:r>
          </w:p>
        </w:tc>
      </w:tr>
      <w:tr>
        <w:trPr>
          <w:cantSplit w:val="true"/>
        </w:trPr>
        <w:tc>
          <w:tcPr>
            <w:tcW w:type="dxa" w:w="2700"/>
            <w:tcMar>
              <w:top w:w="80" w:type="dxa"/>
              <w:start w:w="120" w:type="dxa"/>
              <w:bottom w:w="80" w:type="dxa"/>
              <w:end w:w="120" w:type="dxa"/>
            </w:tcMar>
            <w:vAlign w:val="center"/>
          </w:tcPr>
          <w:p>
            <w:pPr>
              <w:jc w:val="left"/>
            </w:pPr>
            <w:r>
              <w:rPr>
                <w:rFonts w:ascii="Calibri" w:hAnsi="Calibri"/>
                <w:b w:val="0"/>
                <w:color w:val="1F2937"/>
                <w:sz w:val="18"/>
              </w:rPr>
              <w:t>Gobernanza</w:t>
            </w:r>
          </w:p>
        </w:tc>
        <w:tc>
          <w:tcPr>
            <w:tcW w:type="dxa" w:w="6660"/>
            <w:tcMar>
              <w:top w:w="80" w:type="dxa"/>
              <w:start w:w="120" w:type="dxa"/>
              <w:bottom w:w="80" w:type="dxa"/>
              <w:end w:w="120" w:type="dxa"/>
            </w:tcMar>
            <w:vAlign w:val="center"/>
          </w:tcPr>
          <w:p>
            <w:pPr>
              <w:jc w:val="left"/>
            </w:pPr>
            <w:r>
              <w:rPr>
                <w:rFonts w:ascii="Calibri" w:hAnsi="Calibri"/>
                <w:b w:val="0"/>
                <w:color w:val="1F2937"/>
                <w:sz w:val="18"/>
              </w:rPr>
              <w:t>8 tags; 51 ADR; AGENTS 17-ter con 34 entradas; develop/main; gitleaks; wrappers</w:t>
            </w:r>
          </w:p>
        </w:tc>
      </w:tr>
    </w:tbl>
    <w:p>
      <w:pPr>
        <w:spacing w:before="80" w:after="80"/>
      </w:pPr>
      <w:r>
        <w:rPr>
          <w:rFonts w:ascii="Calibri" w:hAnsi="Calibri"/>
          <w:i/>
          <w:color w:val="5F6B7A"/>
          <w:sz w:val="17"/>
        </w:rPr>
        <w:t>Fuente: archivos csproj, solución, migraciones, ADR y código.</w:t>
      </w:r>
    </w:p>
    <w:p>
      <w:pPr>
        <w:pStyle w:val="Heading1"/>
      </w:pPr>
      <w:r>
        <w:t>Apéndice B. Fuentes documentales principales</w:t>
      </w:r>
    </w:p>
    <w:p>
      <w:pPr>
        <w:pStyle w:val="ListBullet"/>
      </w:pPr>
      <w:r>
        <w:rPr>
          <w:rFonts w:ascii="Calibri" w:hAnsi="Calibri"/>
          <w:color w:val="1F2937"/>
          <w:sz w:val="22"/>
        </w:rPr>
        <w:t>AGENTS.md — contrato operativo y contexto maestro.</w:t>
      </w:r>
    </w:p>
    <w:p>
      <w:pPr>
        <w:pStyle w:val="ListBullet"/>
      </w:pPr>
      <w:r>
        <w:rPr>
          <w:rFonts w:ascii="Calibri" w:hAnsi="Calibri"/>
          <w:color w:val="1F2937"/>
          <w:sz w:val="22"/>
        </w:rPr>
        <w:t>INFORME_INTEGRAL_ESTADO_PROYECTO_2026-07-24.docx — informe Codex usado como base exhaustiva.</w:t>
      </w:r>
    </w:p>
    <w:p>
      <w:pPr>
        <w:pStyle w:val="ListBullet"/>
      </w:pPr>
      <w:r>
        <w:rPr>
          <w:rFonts w:ascii="Calibri" w:hAnsi="Calibri"/>
          <w:color w:val="1F2937"/>
          <w:sz w:val="22"/>
        </w:rPr>
        <w:t>ÚLTIMO Informe Estado SG SAUL CATASTRO v2 corregido.docx — informe Claude usado como base ejecutiva y revisión de 3.B.7.</w:t>
      </w:r>
    </w:p>
    <w:p>
      <w:pPr>
        <w:pStyle w:val="ListBullet"/>
      </w:pPr>
      <w:r>
        <w:rPr>
          <w:rFonts w:ascii="Calibri" w:hAnsi="Calibri"/>
          <w:color w:val="1F2937"/>
          <w:sz w:val="22"/>
        </w:rPr>
        <w:t>docs/PLAN_MAESTRO.md — roadmap v1.1; requiere actualización.</w:t>
      </w:r>
    </w:p>
    <w:p>
      <w:pPr>
        <w:pStyle w:val="ListBullet"/>
      </w:pPr>
      <w:r>
        <w:rPr>
          <w:rFonts w:ascii="Calibri" w:hAnsi="Calibri"/>
          <w:color w:val="1F2937"/>
          <w:sz w:val="22"/>
        </w:rPr>
        <w:t>docs/decisiones/0045-modelo-valuacion-requisitos-datos.md — Propuesta reconstruida.</w:t>
      </w:r>
    </w:p>
    <w:p>
      <w:pPr>
        <w:pStyle w:val="ListBullet"/>
      </w:pPr>
      <w:r>
        <w:rPr>
          <w:rFonts w:ascii="Calibri" w:hAnsi="Calibri"/>
          <w:color w:val="1F2937"/>
          <w:sz w:val="22"/>
        </w:rPr>
        <w:t>docs/decisiones/0047-modelo-despliegue-nube-primero.md.</w:t>
      </w:r>
    </w:p>
    <w:p>
      <w:pPr>
        <w:pStyle w:val="ListBullet"/>
      </w:pPr>
      <w:r>
        <w:rPr>
          <w:rFonts w:ascii="Calibri" w:hAnsi="Calibri"/>
          <w:color w:val="1F2937"/>
          <w:sz w:val="22"/>
        </w:rPr>
        <w:t>docs/decisiones/0049-importacion-reemplazo-completo-versionado-siete-capas-shp-datasetversion.md.</w:t>
      </w:r>
    </w:p>
    <w:p>
      <w:pPr>
        <w:pStyle w:val="ListBullet"/>
      </w:pPr>
      <w:r>
        <w:rPr>
          <w:rFonts w:ascii="Calibri" w:hAnsi="Calibri"/>
          <w:color w:val="1F2937"/>
          <w:sz w:val="22"/>
        </w:rPr>
        <w:t>docs/decisiones/0050-carga-versionada-asincrona-recuperable.md.</w:t>
      </w:r>
    </w:p>
    <w:p>
      <w:pPr>
        <w:pStyle w:val="ListBullet"/>
      </w:pPr>
      <w:r>
        <w:rPr>
          <w:rFonts w:ascii="Calibri" w:hAnsi="Calibri"/>
          <w:color w:val="1F2937"/>
          <w:sz w:val="22"/>
        </w:rPr>
        <w:t>docs/decisiones/0051-preview-activacion-reconciliacion-dataset.md.</w:t>
      </w:r>
    </w:p>
    <w:p>
      <w:pPr>
        <w:pStyle w:val="ListBullet"/>
      </w:pPr>
      <w:r>
        <w:rPr>
          <w:rFonts w:ascii="Calibri" w:hAnsi="Calibri"/>
          <w:color w:val="1F2937"/>
          <w:sz w:val="22"/>
        </w:rPr>
        <w:t>docs/decisiones/0053-recuperacion-geometrias-invalidas-crudas.md.</w:t>
      </w:r>
    </w:p>
    <w:p>
      <w:pPr>
        <w:pStyle w:val="ListBullet"/>
      </w:pPr>
      <w:r>
        <w:rPr>
          <w:rFonts w:ascii="Calibri" w:hAnsi="Calibri"/>
          <w:color w:val="1F2937"/>
          <w:sz w:val="22"/>
        </w:rPr>
        <w:t>docs/decisiones/0054-tiles-mvt-on-the-fly-versionados.md.</w:t>
      </w:r>
    </w:p>
    <w:p>
      <w:pPr>
        <w:pStyle w:val="ListBullet"/>
      </w:pPr>
      <w:r>
        <w:rPr>
          <w:rFonts w:ascii="Calibri" w:hAnsi="Calibri"/>
          <w:color w:val="1F2937"/>
          <w:sz w:val="22"/>
        </w:rPr>
        <w:t>docs/decisiones/0055-visor-blazor-maplibre-versionado.md.</w:t>
      </w:r>
    </w:p>
    <w:p>
      <w:pPr>
        <w:pStyle w:val="ListBullet"/>
      </w:pPr>
      <w:r>
        <w:rPr>
          <w:rFonts w:ascii="Calibri" w:hAnsi="Calibri"/>
          <w:color w:val="1F2937"/>
          <w:sz w:val="22"/>
        </w:rPr>
        <w:t>docs/decisiones/0056-busqueda-y-ficha-predial-versionada.md.</w:t>
      </w:r>
    </w:p>
    <w:p>
      <w:pPr>
        <w:pStyle w:val="ListBullet"/>
      </w:pPr>
      <w:r>
        <w:rPr>
          <w:rFonts w:ascii="Calibri" w:hAnsi="Calibri"/>
          <w:color w:val="1F2937"/>
          <w:sz w:val="22"/>
        </w:rPr>
        <w:t>docs/decisiones/0057-croquis-imprimible-cliente-svg.md.</w:t>
      </w:r>
    </w:p>
    <w:p>
      <w:pPr>
        <w:pStyle w:val="ListBullet"/>
      </w:pPr>
      <w:r>
        <w:rPr>
          <w:rFonts w:ascii="Calibri" w:hAnsi="Calibri"/>
          <w:color w:val="1F2937"/>
          <w:sz w:val="22"/>
        </w:rPr>
        <w:t>docs/decisiones/0058-politica-de-ramas-y-releases.md.</w:t>
      </w:r>
    </w:p>
    <w:p>
      <w:pPr>
        <w:pStyle w:val="ListBullet"/>
      </w:pPr>
      <w:r>
        <w:rPr>
          <w:rFonts w:ascii="Calibri" w:hAnsi="Calibri"/>
          <w:color w:val="1F2937"/>
          <w:sz w:val="22"/>
        </w:rPr>
        <w:t>docs/decisiones/0059-geocodigo-ine-municipio-canonico.md.</w:t>
      </w:r>
    </w:p>
    <w:p>
      <w:pPr>
        <w:pStyle w:val="ListBullet"/>
      </w:pPr>
      <w:r>
        <w:rPr>
          <w:rFonts w:ascii="Calibri" w:hAnsi="Calibri"/>
          <w:color w:val="1F2937"/>
          <w:sz w:val="22"/>
        </w:rPr>
        <w:t>docs/decisiones/0060-pipeline-data-driven-por-esquema-municipal.md.</w:t>
      </w:r>
    </w:p>
    <w:p>
      <w:pPr>
        <w:pStyle w:val="ListBullet"/>
      </w:pPr>
      <w:r>
        <w:rPr>
          <w:rFonts w:ascii="Calibri" w:hAnsi="Calibri"/>
          <w:color w:val="1F2937"/>
          <w:sz w:val="22"/>
        </w:rPr>
        <w:t>docs/decisiones/0061-m-lector-2-anillos-no-cerrados-y-equivalencia-proyeccion-esri.md.</w:t>
      </w:r>
    </w:p>
    <w:p>
      <w:pPr>
        <w:pStyle w:val="ListBullet"/>
      </w:pPr>
      <w:r>
        <w:rPr>
          <w:rFonts w:ascii="Calibri" w:hAnsi="Calibri"/>
          <w:color w:val="1F2937"/>
          <w:sz w:val="22"/>
        </w:rPr>
        <w:t>docs/decisiones/0062-visor-multimunicipio-data-driven-y-hot-swap.md.</w:t>
      </w:r>
    </w:p>
    <w:p>
      <w:pPr>
        <w:pStyle w:val="ListBullet"/>
      </w:pPr>
      <w:r>
        <w:rPr>
          <w:rFonts w:ascii="Calibri" w:hAnsi="Calibri"/>
          <w:color w:val="1F2937"/>
          <w:sz w:val="22"/>
        </w:rPr>
        <w:t>docs/planes/DIMENSIONAMIENTO_FASE_3B_CATASTRO_PREDIAL_DGN.md.</w:t>
      </w:r>
    </w:p>
    <w:p>
      <w:pPr>
        <w:pStyle w:val="ListBullet"/>
      </w:pPr>
      <w:r>
        <w:rPr>
          <w:rFonts w:ascii="Calibri" w:hAnsi="Calibri"/>
          <w:color w:val="1F2937"/>
          <w:sz w:val="22"/>
        </w:rPr>
        <w:t>docs/planes/fase3b/EXTRACCION_CANONICA_3B1.md.</w:t>
      </w:r>
    </w:p>
    <w:p>
      <w:pPr>
        <w:pStyle w:val="ListBullet"/>
      </w:pPr>
      <w:r>
        <w:rPr>
          <w:rFonts w:ascii="Calibri" w:hAnsi="Calibri"/>
          <w:color w:val="1F2937"/>
          <w:sz w:val="22"/>
        </w:rPr>
        <w:t>docs/planes/fase3b/SANEO_PADRON_3B2.md.</w:t>
      </w:r>
    </w:p>
    <w:p>
      <w:pPr>
        <w:pStyle w:val="ListBullet"/>
      </w:pPr>
      <w:r>
        <w:rPr>
          <w:rFonts w:ascii="Calibri" w:hAnsi="Calibri"/>
          <w:color w:val="1F2937"/>
          <w:sz w:val="22"/>
        </w:rPr>
        <w:t>docs/planes/fase3b/ASOCIACION_NUMERACION_3B3.md.</w:t>
      </w:r>
    </w:p>
    <w:p>
      <w:pPr>
        <w:pStyle w:val="ListBullet"/>
      </w:pPr>
      <w:r>
        <w:rPr>
          <w:rFonts w:ascii="Calibri" w:hAnsi="Calibri"/>
          <w:color w:val="1F2937"/>
          <w:sz w:val="22"/>
        </w:rPr>
        <w:t>docs/planes/fase3b/TRIPLETA_PARCIAL_3B4.md.</w:t>
      </w:r>
    </w:p>
    <w:p>
      <w:pPr>
        <w:pStyle w:val="ListBullet"/>
      </w:pPr>
      <w:r>
        <w:rPr>
          <w:rFonts w:ascii="Calibri" w:hAnsi="Calibri"/>
          <w:color w:val="1F2937"/>
          <w:sz w:val="22"/>
        </w:rPr>
        <w:t>docs/planes/fase3b/GENERACION_SHAPEFILE_3B6.md.</w:t>
      </w:r>
    </w:p>
    <w:p>
      <w:pPr>
        <w:pStyle w:val="ListBullet"/>
      </w:pPr>
      <w:r>
        <w:rPr>
          <w:rFonts w:ascii="Calibri" w:hAnsi="Calibri"/>
          <w:color w:val="1F2937"/>
          <w:sz w:val="22"/>
        </w:rPr>
        <w:t>docs/informes/INFORME_CALIDAD_DATOS_UYUNI_V1.md.</w:t>
      </w:r>
    </w:p>
    <w:p>
      <w:pPr>
        <w:pStyle w:val="ListBullet"/>
      </w:pPr>
      <w:r>
        <w:rPr>
          <w:rFonts w:ascii="Calibri" w:hAnsi="Calibri"/>
          <w:color w:val="1F2937"/>
          <w:sz w:val="22"/>
        </w:rPr>
        <w:t>docs/informes/INFORME_CALIDAD_DATOS_CARANAVI_V1_HALLAZGOS.md.</w:t>
      </w:r>
    </w:p>
    <w:p>
      <w:pPr>
        <w:pStyle w:val="Heading1"/>
      </w:pPr>
      <w:r>
        <w:t>Apéndice C. Glosario</w:t>
      </w:r>
    </w:p>
    <w:p>
      <w:pPr>
        <w:spacing w:before="80" w:after="80"/>
      </w:pPr>
      <w:r>
        <w:rPr>
          <w:rFonts w:ascii="Calibri" w:hAnsi="Calibri"/>
          <w:b/>
          <w:color w:val="0B2545"/>
          <w:sz w:val="19"/>
        </w:rPr>
        <w:t>Tabla C1. Glosario de conceptos clave</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val="true"/>
        </w:trPr>
        <w:tc>
          <w:tcPr>
            <w:tcW w:type="dxa" w:w="2300"/>
            <w:shd w:fill="F2F4F7"/>
            <w:tcMar>
              <w:top w:w="80" w:type="dxa"/>
              <w:start w:w="120" w:type="dxa"/>
              <w:bottom w:w="80" w:type="dxa"/>
              <w:end w:w="120" w:type="dxa"/>
            </w:tcMar>
            <w:vAlign w:val="center"/>
          </w:tcPr>
          <w:p>
            <w:pPr>
              <w:jc w:val="center"/>
            </w:pPr>
            <w:r>
              <w:rPr>
                <w:rFonts w:ascii="Calibri" w:hAnsi="Calibri"/>
                <w:b/>
                <w:color w:val="0B2545"/>
                <w:sz w:val="18"/>
              </w:rPr>
              <w:t>Término</w:t>
            </w:r>
          </w:p>
        </w:tc>
        <w:tc>
          <w:tcPr>
            <w:tcW w:type="dxa" w:w="7060"/>
            <w:shd w:fill="F2F4F7"/>
            <w:tcMar>
              <w:top w:w="80" w:type="dxa"/>
              <w:start w:w="120" w:type="dxa"/>
              <w:bottom w:w="80" w:type="dxa"/>
              <w:end w:w="120" w:type="dxa"/>
            </w:tcMar>
            <w:vAlign w:val="center"/>
          </w:tcPr>
          <w:p>
            <w:pPr>
              <w:jc w:val="center"/>
            </w:pPr>
            <w:r>
              <w:rPr>
                <w:rFonts w:ascii="Calibri" w:hAnsi="Calibri"/>
                <w:b/>
                <w:color w:val="0B2545"/>
                <w:sz w:val="18"/>
              </w:rPr>
              <w:t>Definición</w:t>
            </w:r>
          </w:p>
        </w:tc>
      </w:tr>
      <w:tr>
        <w:trPr>
          <w:cantSplit w:val="true"/>
        </w:trPr>
        <w:tc>
          <w:tcPr>
            <w:tcW w:type="dxa" w:w="2300"/>
            <w:tcMar>
              <w:top w:w="80" w:type="dxa"/>
              <w:start w:w="120" w:type="dxa"/>
              <w:bottom w:w="80" w:type="dxa"/>
              <w:end w:w="120" w:type="dxa"/>
            </w:tcMar>
            <w:vAlign w:val="center"/>
          </w:tcPr>
          <w:p>
            <w:pPr>
              <w:jc w:val="left"/>
            </w:pPr>
            <w:r>
              <w:rPr>
                <w:rFonts w:ascii="Calibri" w:hAnsi="Calibri"/>
                <w:b w:val="0"/>
                <w:color w:val="1F2937"/>
                <w:sz w:val="18"/>
              </w:rPr>
              <w:t>DatasetVersion</w:t>
            </w:r>
          </w:p>
        </w:tc>
        <w:tc>
          <w:tcPr>
            <w:tcW w:type="dxa" w:w="7060"/>
            <w:tcMar>
              <w:top w:w="80" w:type="dxa"/>
              <w:start w:w="120" w:type="dxa"/>
              <w:bottom w:w="80" w:type="dxa"/>
              <w:end w:w="120" w:type="dxa"/>
            </w:tcMar>
            <w:vAlign w:val="center"/>
          </w:tcPr>
          <w:p>
            <w:pPr>
              <w:jc w:val="left"/>
            </w:pPr>
            <w:r>
              <w:rPr>
                <w:rFonts w:ascii="Calibri" w:hAnsi="Calibri"/>
                <w:b w:val="0"/>
                <w:color w:val="1F2937"/>
                <w:sz w:val="18"/>
              </w:rPr>
              <w:t>Snapshot cartográfico versionado de un municipio.</w:t>
            </w:r>
          </w:p>
        </w:tc>
      </w:tr>
      <w:tr>
        <w:trPr>
          <w:cantSplit w:val="true"/>
        </w:trPr>
        <w:tc>
          <w:tcPr>
            <w:tcW w:type="dxa" w:w="2300"/>
            <w:shd w:fill="FAFBFC"/>
            <w:tcMar>
              <w:top w:w="80" w:type="dxa"/>
              <w:start w:w="120" w:type="dxa"/>
              <w:bottom w:w="80" w:type="dxa"/>
              <w:end w:w="120" w:type="dxa"/>
            </w:tcMar>
            <w:vAlign w:val="center"/>
          </w:tcPr>
          <w:p>
            <w:pPr>
              <w:jc w:val="left"/>
            </w:pPr>
            <w:r>
              <w:rPr>
                <w:rFonts w:ascii="Calibri" w:hAnsi="Calibri"/>
                <w:b w:val="0"/>
                <w:color w:val="1F2937"/>
                <w:sz w:val="18"/>
              </w:rPr>
              <w:t>Tripleta</w:t>
            </w:r>
          </w:p>
        </w:tc>
        <w:tc>
          <w:tcPr>
            <w:tcW w:type="dxa" w:w="7060"/>
            <w:shd w:fill="FAFBFC"/>
            <w:tcMar>
              <w:top w:w="80" w:type="dxa"/>
              <w:start w:w="120" w:type="dxa"/>
              <w:bottom w:w="80" w:type="dxa"/>
              <w:end w:w="120" w:type="dxa"/>
            </w:tcMar>
            <w:vAlign w:val="center"/>
          </w:tcPr>
          <w:p>
            <w:pPr>
              <w:jc w:val="left"/>
            </w:pPr>
            <w:r>
              <w:rPr>
                <w:rFonts w:ascii="Calibri" w:hAnsi="Calibri"/>
                <w:b w:val="0"/>
                <w:color w:val="1F2937"/>
                <w:sz w:val="18"/>
              </w:rPr>
              <w:t>(cod_uv, cod_man, cod_pred); clave predial dentro del municipio.</w:t>
            </w:r>
          </w:p>
        </w:tc>
      </w:tr>
      <w:tr>
        <w:trPr>
          <w:cantSplit w:val="true"/>
        </w:trPr>
        <w:tc>
          <w:tcPr>
            <w:tcW w:type="dxa" w:w="2300"/>
            <w:tcMar>
              <w:top w:w="80" w:type="dxa"/>
              <w:start w:w="120" w:type="dxa"/>
              <w:bottom w:w="80" w:type="dxa"/>
              <w:end w:w="120" w:type="dxa"/>
            </w:tcMar>
            <w:vAlign w:val="center"/>
          </w:tcPr>
          <w:p>
            <w:pPr>
              <w:jc w:val="left"/>
            </w:pPr>
            <w:r>
              <w:rPr>
                <w:rFonts w:ascii="Calibri" w:hAnsi="Calibri"/>
                <w:b w:val="0"/>
                <w:color w:val="1F2937"/>
                <w:sz w:val="18"/>
              </w:rPr>
              <w:t>Geocódigo INE</w:t>
            </w:r>
          </w:p>
        </w:tc>
        <w:tc>
          <w:tcPr>
            <w:tcW w:type="dxa" w:w="7060"/>
            <w:tcMar>
              <w:top w:w="80" w:type="dxa"/>
              <w:start w:w="120" w:type="dxa"/>
              <w:bottom w:w="80" w:type="dxa"/>
              <w:end w:w="120" w:type="dxa"/>
            </w:tcMar>
            <w:vAlign w:val="center"/>
          </w:tcPr>
          <w:p>
            <w:pPr>
              <w:jc w:val="left"/>
            </w:pPr>
            <w:r>
              <w:rPr>
                <w:rFonts w:ascii="Calibri" w:hAnsi="Calibri"/>
                <w:b w:val="0"/>
                <w:color w:val="1F2937"/>
                <w:sz w:val="18"/>
              </w:rPr>
              <w:t>Código DDPPMM de seis dígitos; 051201 Uyuni, 022001 Caranavi.</w:t>
            </w:r>
          </w:p>
        </w:tc>
      </w:tr>
      <w:tr>
        <w:trPr>
          <w:cantSplit w:val="true"/>
        </w:trPr>
        <w:tc>
          <w:tcPr>
            <w:tcW w:type="dxa" w:w="2300"/>
            <w:shd w:fill="FAFBFC"/>
            <w:tcMar>
              <w:top w:w="80" w:type="dxa"/>
              <w:start w:w="120" w:type="dxa"/>
              <w:bottom w:w="80" w:type="dxa"/>
              <w:end w:w="120" w:type="dxa"/>
            </w:tcMar>
            <w:vAlign w:val="center"/>
          </w:tcPr>
          <w:p>
            <w:pPr>
              <w:jc w:val="left"/>
            </w:pPr>
            <w:r>
              <w:rPr>
                <w:rFonts w:ascii="Calibri" w:hAnsi="Calibri"/>
                <w:b w:val="0"/>
                <w:color w:val="1F2937"/>
                <w:sz w:val="18"/>
              </w:rPr>
              <w:t>PreviewListo</w:t>
            </w:r>
          </w:p>
        </w:tc>
        <w:tc>
          <w:tcPr>
            <w:tcW w:type="dxa" w:w="7060"/>
            <w:shd w:fill="FAFBFC"/>
            <w:tcMar>
              <w:top w:w="80" w:type="dxa"/>
              <w:start w:w="120" w:type="dxa"/>
              <w:bottom w:w="80" w:type="dxa"/>
              <w:end w:w="120" w:type="dxa"/>
            </w:tcMar>
            <w:vAlign w:val="center"/>
          </w:tcPr>
          <w:p>
            <w:pPr>
              <w:jc w:val="left"/>
            </w:pPr>
            <w:r>
              <w:rPr>
                <w:rFonts w:ascii="Calibri" w:hAnsi="Calibri"/>
                <w:b w:val="0"/>
                <w:color w:val="1F2937"/>
                <w:sz w:val="18"/>
              </w:rPr>
              <w:t>Estado de una versión cargada y evaluada antes de activación.</w:t>
            </w:r>
          </w:p>
        </w:tc>
      </w:tr>
      <w:tr>
        <w:trPr>
          <w:cantSplit w:val="true"/>
        </w:trPr>
        <w:tc>
          <w:tcPr>
            <w:tcW w:type="dxa" w:w="2300"/>
            <w:tcMar>
              <w:top w:w="80" w:type="dxa"/>
              <w:start w:w="120" w:type="dxa"/>
              <w:bottom w:w="80" w:type="dxa"/>
              <w:end w:w="120" w:type="dxa"/>
            </w:tcMar>
            <w:vAlign w:val="center"/>
          </w:tcPr>
          <w:p>
            <w:pPr>
              <w:jc w:val="left"/>
            </w:pPr>
            <w:r>
              <w:rPr>
                <w:rFonts w:ascii="Calibri" w:hAnsi="Calibri"/>
                <w:b w:val="0"/>
                <w:color w:val="1F2937"/>
                <w:sz w:val="18"/>
              </w:rPr>
              <w:t>O1</w:t>
            </w:r>
          </w:p>
        </w:tc>
        <w:tc>
          <w:tcPr>
            <w:tcW w:type="dxa" w:w="7060"/>
            <w:tcMar>
              <w:top w:w="80" w:type="dxa"/>
              <w:start w:w="120" w:type="dxa"/>
              <w:bottom w:w="80" w:type="dxa"/>
              <w:end w:w="120" w:type="dxa"/>
            </w:tcMar>
            <w:vAlign w:val="center"/>
          </w:tcPr>
          <w:p>
            <w:pPr>
              <w:jc w:val="left"/>
            </w:pPr>
            <w:r>
              <w:rPr>
                <w:rFonts w:ascii="Calibri" w:hAnsi="Calibri"/>
                <w:b w:val="0"/>
                <w:color w:val="1F2937"/>
                <w:sz w:val="18"/>
              </w:rPr>
              <w:t>Geometría no nula que PostGIS considera inválida.</w:t>
            </w:r>
          </w:p>
        </w:tc>
      </w:tr>
      <w:tr>
        <w:trPr>
          <w:cantSplit w:val="true"/>
        </w:trPr>
        <w:tc>
          <w:tcPr>
            <w:tcW w:type="dxa" w:w="2300"/>
            <w:shd w:fill="FAFBFC"/>
            <w:tcMar>
              <w:top w:w="80" w:type="dxa"/>
              <w:start w:w="120" w:type="dxa"/>
              <w:bottom w:w="80" w:type="dxa"/>
              <w:end w:w="120" w:type="dxa"/>
            </w:tcMar>
            <w:vAlign w:val="center"/>
          </w:tcPr>
          <w:p>
            <w:pPr>
              <w:jc w:val="left"/>
            </w:pPr>
            <w:r>
              <w:rPr>
                <w:rFonts w:ascii="Calibri" w:hAnsi="Calibri"/>
                <w:b w:val="0"/>
                <w:color w:val="1F2937"/>
                <w:sz w:val="18"/>
              </w:rPr>
              <w:t>O4</w:t>
            </w:r>
          </w:p>
        </w:tc>
        <w:tc>
          <w:tcPr>
            <w:tcW w:type="dxa" w:w="7060"/>
            <w:shd w:fill="FAFBFC"/>
            <w:tcMar>
              <w:top w:w="80" w:type="dxa"/>
              <w:start w:w="120" w:type="dxa"/>
              <w:bottom w:w="80" w:type="dxa"/>
              <w:end w:w="120" w:type="dxa"/>
            </w:tcMar>
            <w:vAlign w:val="center"/>
          </w:tcPr>
          <w:p>
            <w:pPr>
              <w:jc w:val="left"/>
            </w:pPr>
            <w:r>
              <w:rPr>
                <w:rFonts w:ascii="Calibri" w:hAnsi="Calibri"/>
                <w:b w:val="0"/>
                <w:color w:val="1F2937"/>
                <w:sz w:val="18"/>
              </w:rPr>
              <w:t>Geometría genuinamente nula.</w:t>
            </w:r>
          </w:p>
        </w:tc>
      </w:tr>
      <w:tr>
        <w:trPr>
          <w:cantSplit w:val="true"/>
        </w:trPr>
        <w:tc>
          <w:tcPr>
            <w:tcW w:type="dxa" w:w="2300"/>
            <w:tcMar>
              <w:top w:w="80" w:type="dxa"/>
              <w:start w:w="120" w:type="dxa"/>
              <w:bottom w:w="80" w:type="dxa"/>
              <w:end w:w="120" w:type="dxa"/>
            </w:tcMar>
            <w:vAlign w:val="center"/>
          </w:tcPr>
          <w:p>
            <w:pPr>
              <w:jc w:val="left"/>
            </w:pPr>
            <w:r>
              <w:rPr>
                <w:rFonts w:ascii="Calibri" w:hAnsi="Calibri"/>
                <w:b w:val="0"/>
                <w:color w:val="1F2937"/>
                <w:sz w:val="18"/>
              </w:rPr>
              <w:t>Copy-forward</w:t>
            </w:r>
          </w:p>
        </w:tc>
        <w:tc>
          <w:tcPr>
            <w:tcW w:type="dxa" w:w="7060"/>
            <w:tcMar>
              <w:top w:w="80" w:type="dxa"/>
              <w:start w:w="120" w:type="dxa"/>
              <w:bottom w:w="80" w:type="dxa"/>
              <w:end w:w="120" w:type="dxa"/>
            </w:tcMar>
            <w:vAlign w:val="center"/>
          </w:tcPr>
          <w:p>
            <w:pPr>
              <w:jc w:val="left"/>
            </w:pPr>
            <w:r>
              <w:rPr>
                <w:rFonts w:ascii="Calibri" w:hAnsi="Calibri"/>
                <w:b w:val="0"/>
                <w:color w:val="1F2937"/>
                <w:sz w:val="18"/>
              </w:rPr>
              <w:t>Composición de N+1 copiando capas no modificadas desde la versión base.</w:t>
            </w:r>
          </w:p>
        </w:tc>
      </w:tr>
      <w:tr>
        <w:trPr>
          <w:cantSplit w:val="true"/>
        </w:trPr>
        <w:tc>
          <w:tcPr>
            <w:tcW w:type="dxa" w:w="2300"/>
            <w:shd w:fill="FAFBFC"/>
            <w:tcMar>
              <w:top w:w="80" w:type="dxa"/>
              <w:start w:w="120" w:type="dxa"/>
              <w:bottom w:w="80" w:type="dxa"/>
              <w:end w:w="120" w:type="dxa"/>
            </w:tcMar>
            <w:vAlign w:val="center"/>
          </w:tcPr>
          <w:p>
            <w:pPr>
              <w:jc w:val="left"/>
            </w:pPr>
            <w:r>
              <w:rPr>
                <w:rFonts w:ascii="Calibri" w:hAnsi="Calibri"/>
                <w:b w:val="0"/>
                <w:color w:val="1F2937"/>
                <w:sz w:val="18"/>
              </w:rPr>
              <w:t>MVT</w:t>
            </w:r>
          </w:p>
        </w:tc>
        <w:tc>
          <w:tcPr>
            <w:tcW w:type="dxa" w:w="7060"/>
            <w:shd w:fill="FAFBFC"/>
            <w:tcMar>
              <w:top w:w="80" w:type="dxa"/>
              <w:start w:w="120" w:type="dxa"/>
              <w:bottom w:w="80" w:type="dxa"/>
              <w:end w:w="120" w:type="dxa"/>
            </w:tcMar>
            <w:vAlign w:val="center"/>
          </w:tcPr>
          <w:p>
            <w:pPr>
              <w:jc w:val="left"/>
            </w:pPr>
            <w:r>
              <w:rPr>
                <w:rFonts w:ascii="Calibri" w:hAnsi="Calibri"/>
                <w:b w:val="0"/>
                <w:color w:val="1F2937"/>
                <w:sz w:val="18"/>
              </w:rPr>
              <w:t>Mapbox Vector Tile generado desde PostGIS.</w:t>
            </w:r>
          </w:p>
        </w:tc>
      </w:tr>
      <w:tr>
        <w:trPr>
          <w:cantSplit w:val="true"/>
        </w:trPr>
        <w:tc>
          <w:tcPr>
            <w:tcW w:type="dxa" w:w="2300"/>
            <w:tcMar>
              <w:top w:w="80" w:type="dxa"/>
              <w:start w:w="120" w:type="dxa"/>
              <w:bottom w:w="80" w:type="dxa"/>
              <w:end w:w="120" w:type="dxa"/>
            </w:tcMar>
            <w:vAlign w:val="center"/>
          </w:tcPr>
          <w:p>
            <w:pPr>
              <w:jc w:val="left"/>
            </w:pPr>
            <w:r>
              <w:rPr>
                <w:rFonts w:ascii="Calibri" w:hAnsi="Calibri"/>
                <w:b w:val="0"/>
                <w:color w:val="1F2937"/>
                <w:sz w:val="18"/>
              </w:rPr>
              <w:t>DGN</w:t>
            </w:r>
          </w:p>
        </w:tc>
        <w:tc>
          <w:tcPr>
            <w:tcW w:type="dxa" w:w="7060"/>
            <w:tcMar>
              <w:top w:w="80" w:type="dxa"/>
              <w:start w:w="120" w:type="dxa"/>
              <w:bottom w:w="80" w:type="dxa"/>
              <w:end w:w="120" w:type="dxa"/>
            </w:tcMar>
            <w:vAlign w:val="center"/>
          </w:tcPr>
          <w:p>
            <w:pPr>
              <w:jc w:val="left"/>
            </w:pPr>
            <w:r>
              <w:rPr>
                <w:rFonts w:ascii="Calibri" w:hAnsi="Calibri"/>
                <w:b w:val="0"/>
                <w:color w:val="1F2937"/>
                <w:sz w:val="18"/>
              </w:rPr>
              <w:t>Formato CAD de MicroStation usado como fuente de Caranavi.</w:t>
            </w:r>
          </w:p>
        </w:tc>
      </w:tr>
      <w:tr>
        <w:trPr>
          <w:cantSplit w:val="true"/>
        </w:trPr>
        <w:tc>
          <w:tcPr>
            <w:tcW w:type="dxa" w:w="2300"/>
            <w:shd w:fill="FAFBFC"/>
            <w:tcMar>
              <w:top w:w="80" w:type="dxa"/>
              <w:start w:w="120" w:type="dxa"/>
              <w:bottom w:w="80" w:type="dxa"/>
              <w:end w:w="120" w:type="dxa"/>
            </w:tcMar>
            <w:vAlign w:val="center"/>
          </w:tcPr>
          <w:p>
            <w:pPr>
              <w:jc w:val="left"/>
            </w:pPr>
            <w:r>
              <w:rPr>
                <w:rFonts w:ascii="Calibri" w:hAnsi="Calibri"/>
                <w:b w:val="0"/>
                <w:color w:val="1F2937"/>
                <w:sz w:val="18"/>
              </w:rPr>
              <w:t>GAM</w:t>
            </w:r>
          </w:p>
        </w:tc>
        <w:tc>
          <w:tcPr>
            <w:tcW w:type="dxa" w:w="7060"/>
            <w:shd w:fill="FAFBFC"/>
            <w:tcMar>
              <w:top w:w="80" w:type="dxa"/>
              <w:start w:w="120" w:type="dxa"/>
              <w:bottom w:w="80" w:type="dxa"/>
              <w:end w:w="120" w:type="dxa"/>
            </w:tcMar>
            <w:vAlign w:val="center"/>
          </w:tcPr>
          <w:p>
            <w:pPr>
              <w:jc w:val="left"/>
            </w:pPr>
            <w:r>
              <w:rPr>
                <w:rFonts w:ascii="Calibri" w:hAnsi="Calibri"/>
                <w:b w:val="0"/>
                <w:color w:val="1F2937"/>
                <w:sz w:val="18"/>
              </w:rPr>
              <w:t>Gobierno Autónomo Municipal.</w:t>
            </w:r>
          </w:p>
        </w:tc>
      </w:tr>
    </w:tbl>
    <w:p>
      <w:pPr>
        <w:pStyle w:val="Heading1"/>
      </w:pPr>
      <w:r>
        <w:t>Cierre</w:t>
      </w:r>
    </w:p>
    <w:p>
      <w:pPr/>
      <w:r>
        <w:rPr>
          <w:rFonts w:ascii="Calibri" w:hAnsi="Calibri"/>
          <w:i w:val="0"/>
          <w:color w:val="1F2937"/>
          <w:sz w:val="22"/>
        </w:rPr>
        <w:t>SG_SAUL_CATASTRO tiene una base técnica inusualmente sólida para su etapa: arquitectura separada, pruebas reales, auditoría, versionado GIS, documentación y trabajo con datos municipales concretos. Su mayor fortaleza es la disciplina de evidencia. Su mayor riesgo es que la velocidad de avance deje documentos y contratos semánticos detrás del código.</w:t>
      </w:r>
    </w:p>
    <w:p>
      <w:pPr/>
      <w:r>
        <w:rPr>
          <w:rFonts w:ascii="Calibri" w:hAnsi="Calibri"/>
          <w:i w:val="0"/>
          <w:color w:val="1F2937"/>
          <w:sz w:val="22"/>
        </w:rPr>
        <w:t>La prioridad correcta es consolidar: corregir fuentes de verdad, cerrar 3.B.7 sin romper snapshots, formalizar identidad y valuación, y convertir la excelencia técnica en operación municipal comprobada. Si cada siguiente fase mantiene el mismo rigor —gates, linaje, pruebas, restore, privacidad y aprobación institucional— el proyecto puede convertirse en un referente serio y sostenible para Bolivia.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A"/>
        <w:sz w:val="16"/>
      </w:rPr>
      <w:t xml:space="preserve">Corte: 26/07/2026  ·  HEAD d4b2d12  ·  Página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CFD8E3"/>
      </w:pBdr>
    </w:pPr>
    <w:r>
      <w:rPr>
        <w:rFonts w:ascii="Calibri" w:hAnsi="Calibri"/>
        <w:b/>
        <w:color w:val="5F6B7A"/>
        <w:sz w:val="17"/>
      </w:rPr>
      <w:t>SG_SAUL_CATASTRO  |  Informe integral del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spacing w:after="160" w:line="280" w:lineRule="auto"/>
      <w:ind w:left="1080" w:hanging="36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consolidado de estado, recomendaciones y mejoras de SG_SAUL_CATASTRO</dc:title>
  <dc:subject>Revisión cruzada de informes, situación actual y hoja de ruta completa</dc:subject>
  <dc:creator>SG_SAUL_CATASTRO</dc:creator>
  <cp:keywords>catastro, Bolivia, Uyuni, Caranavi, PostGIS, Blazor, importación</cp:keywords>
  <dc:description>generated by python-docx</dc:description>
  <cp:lastModifiedBy/>
  <cp:revision>1</cp:revision>
  <dcterms:created xsi:type="dcterms:W3CDTF">2013-12-23T23:15:00Z</dcterms:created>
  <dcterms:modified xsi:type="dcterms:W3CDTF">2013-12-23T23:15:00Z</dcterms:modified>
  <cp:category/>
</cp:coreProperties>
</file>