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78C8C"/>
          <w:sz w:val="21"/>
        </w:rPr>
        <w:t>INFORME INTEGRAL · CORTE 24 DE JULIO DE 2026</w:t>
      </w:r>
    </w:p>
    <w:p>
      <w:pPr>
        <w:spacing w:after="200"/>
        <w:jc w:val="center"/>
      </w:pPr>
      <w:r>
        <w:rPr>
          <w:rFonts w:ascii="Calibri" w:hAnsi="Calibri"/>
          <w:b/>
          <w:color w:val="0B2545"/>
          <w:sz w:val="60"/>
        </w:rPr>
        <w:t>SG_SAUL_CATASTRO</w:t>
      </w:r>
    </w:p>
    <w:p>
      <w:pPr>
        <w:spacing w:after="240"/>
        <w:jc w:val="center"/>
      </w:pPr>
      <w:r>
        <w:rPr>
          <w:rFonts w:ascii="Calibri" w:hAnsi="Calibri"/>
          <w:color w:val="2E74B5"/>
          <w:sz w:val="30"/>
        </w:rPr>
        <w:t>Estado consolidado, logros, punto exacto y ruta hasta la operación municipal completa</w:t>
      </w:r>
    </w:p>
    <w:p>
      <w:pPr>
        <w:jc w:val="center"/>
      </w:pPr>
      <w:r>
        <w:rPr>
          <w:rFonts w:ascii="Calibri" w:hAnsi="Calibri"/>
          <w:i/>
          <w:color w:val="5F6B7A"/>
          <w:sz w:val="22"/>
        </w:rPr>
        <w:t>Una evaluación técnica, operativa e institucional orientada a construir un referente catastral para Bolivia</w:t>
      </w:r>
    </w:p>
    <w:p/>
    <w:p/>
    <w:p/>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r>
              <w:rPr>
                <w:rFonts w:ascii="Calibri" w:hAnsi="Calibri"/>
                <w:b/>
                <w:color w:val="0B2545"/>
                <w:sz w:val="19"/>
              </w:rPr>
              <w:t>Repositorio</w:t>
            </w:r>
          </w:p>
        </w:tc>
        <w:tc>
          <w:tcPr>
            <w:tcW w:type="dxa" w:w="6960"/>
            <w:tcMar>
              <w:top w:w="80" w:type="dxa"/>
              <w:start w:w="120" w:type="dxa"/>
              <w:bottom w:w="80" w:type="dxa"/>
              <w:end w:w="120" w:type="dxa"/>
            </w:tcMar>
            <w:vAlign w:val="center"/>
          </w:tcPr>
          <w:p>
            <w:r>
              <w:rPr>
                <w:rFonts w:ascii="Calibri" w:hAnsi="Calibri"/>
                <w:color w:val="1F2937"/>
                <w:sz w:val="19"/>
              </w:rPr>
              <w:t>SG_SAUL_CATASTRO</w:t>
            </w:r>
          </w:p>
        </w:tc>
      </w:tr>
      <w:tr>
        <w:tc>
          <w:tcPr>
            <w:tcW w:type="dxa" w:w="2400"/>
            <w:shd w:fill="F2F4F7"/>
            <w:tcMar>
              <w:top w:w="80" w:type="dxa"/>
              <w:start w:w="120" w:type="dxa"/>
              <w:bottom w:w="80" w:type="dxa"/>
              <w:end w:w="120" w:type="dxa"/>
            </w:tcMar>
            <w:vAlign w:val="center"/>
          </w:tcPr>
          <w:p>
            <w:r>
              <w:rPr>
                <w:rFonts w:ascii="Calibri" w:hAnsi="Calibri"/>
                <w:b/>
                <w:color w:val="0B2545"/>
                <w:sz w:val="19"/>
              </w:rPr>
              <w:t>Rama y evidencia</w:t>
            </w:r>
          </w:p>
        </w:tc>
        <w:tc>
          <w:tcPr>
            <w:tcW w:type="dxa" w:w="6960"/>
            <w:tcMar>
              <w:top w:w="80" w:type="dxa"/>
              <w:start w:w="120" w:type="dxa"/>
              <w:bottom w:w="80" w:type="dxa"/>
              <w:end w:w="120" w:type="dxa"/>
            </w:tcMar>
            <w:vAlign w:val="center"/>
          </w:tcPr>
          <w:p>
            <w:r>
              <w:rPr>
                <w:rFonts w:ascii="Calibri" w:hAnsi="Calibri"/>
                <w:color w:val="1F2937"/>
                <w:sz w:val="19"/>
              </w:rPr>
              <w:t>develop · d4b2d12 · origin/develop</w:t>
            </w:r>
          </w:p>
        </w:tc>
      </w:tr>
      <w:tr>
        <w:tc>
          <w:tcPr>
            <w:tcW w:type="dxa" w:w="2400"/>
            <w:shd w:fill="F2F4F7"/>
            <w:tcMar>
              <w:top w:w="80" w:type="dxa"/>
              <w:start w:w="120" w:type="dxa"/>
              <w:bottom w:w="80" w:type="dxa"/>
              <w:end w:w="120" w:type="dxa"/>
            </w:tcMar>
            <w:vAlign w:val="center"/>
          </w:tcPr>
          <w:p>
            <w:r>
              <w:rPr>
                <w:rFonts w:ascii="Calibri" w:hAnsi="Calibri"/>
                <w:b/>
                <w:color w:val="0B2545"/>
                <w:sz w:val="19"/>
              </w:rPr>
              <w:t>Cobertura</w:t>
            </w:r>
          </w:p>
        </w:tc>
        <w:tc>
          <w:tcPr>
            <w:tcW w:type="dxa" w:w="6960"/>
            <w:tcMar>
              <w:top w:w="80" w:type="dxa"/>
              <w:start w:w="120" w:type="dxa"/>
              <w:bottom w:w="80" w:type="dxa"/>
              <w:end w:w="120" w:type="dxa"/>
            </w:tcMar>
            <w:vAlign w:val="center"/>
          </w:tcPr>
          <w:p>
            <w:r>
              <w:rPr>
                <w:rFonts w:ascii="Calibri" w:hAnsi="Calibri"/>
                <w:color w:val="1F2937"/>
                <w:sz w:val="19"/>
              </w:rPr>
              <w:t>171 commits · 6 tags · 51 ADR · 15 migraciones</w:t>
            </w:r>
          </w:p>
        </w:tc>
      </w:tr>
      <w:tr>
        <w:tc>
          <w:tcPr>
            <w:tcW w:type="dxa" w:w="2400"/>
            <w:shd w:fill="F2F4F7"/>
            <w:tcMar>
              <w:top w:w="80" w:type="dxa"/>
              <w:start w:w="120" w:type="dxa"/>
              <w:bottom w:w="80" w:type="dxa"/>
              <w:end w:w="120" w:type="dxa"/>
            </w:tcMar>
            <w:vAlign w:val="center"/>
          </w:tcPr>
          <w:p>
            <w:r>
              <w:rPr>
                <w:rFonts w:ascii="Calibri" w:hAnsi="Calibri"/>
                <w:b/>
                <w:color w:val="0B2545"/>
                <w:sz w:val="19"/>
              </w:rPr>
              <w:t>Responsable</w:t>
            </w:r>
          </w:p>
        </w:tc>
        <w:tc>
          <w:tcPr>
            <w:tcW w:type="dxa" w:w="6960"/>
            <w:tcMar>
              <w:top w:w="80" w:type="dxa"/>
              <w:start w:w="120" w:type="dxa"/>
              <w:bottom w:w="80" w:type="dxa"/>
              <w:end w:w="120" w:type="dxa"/>
            </w:tcMar>
            <w:vAlign w:val="center"/>
          </w:tcPr>
          <w:p>
            <w:r>
              <w:rPr>
                <w:rFonts w:ascii="Calibri" w:hAnsi="Calibri"/>
                <w:color w:val="1F2937"/>
                <w:sz w:val="19"/>
              </w:rPr>
              <w:t>Saul Gutierrez · mantenedor único</w:t>
            </w:r>
          </w:p>
        </w:tc>
      </w:tr>
    </w:tbl>
    <w:p>
      <w:r>
        <w:br w:type="page"/>
      </w:r>
    </w:p>
    <w:p>
      <w:pPr>
        <w:pStyle w:val="Heading1"/>
      </w:pPr>
      <w:r>
        <w:t>Control documental</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tcMar>
              <w:top w:w="80" w:type="dxa"/>
              <w:start w:w="120" w:type="dxa"/>
              <w:bottom w:w="80" w:type="dxa"/>
              <w:end w:w="120" w:type="dxa"/>
            </w:tcMar>
            <w:vAlign w:val="center"/>
          </w:tcPr>
          <w:p>
            <w:pPr>
              <w:jc w:val="center"/>
            </w:pPr>
            <w:r>
              <w:rPr>
                <w:rFonts w:ascii="Calibri" w:hAnsi="Calibri"/>
                <w:b/>
                <w:color w:val="0B2545"/>
                <w:sz w:val="18"/>
              </w:rPr>
              <w:t>Campo</w:t>
            </w:r>
          </w:p>
        </w:tc>
        <w:tc>
          <w:tcPr>
            <w:tcW w:type="dxa" w:w="7160"/>
            <w:shd w:fill="F2F4F7"/>
            <w:tcMar>
              <w:top w:w="80" w:type="dxa"/>
              <w:start w:w="120" w:type="dxa"/>
              <w:bottom w:w="80" w:type="dxa"/>
              <w:end w:w="120" w:type="dxa"/>
            </w:tcMar>
            <w:vAlign w:val="center"/>
          </w:tcPr>
          <w:p>
            <w:pPr>
              <w:jc w:val="center"/>
            </w:pPr>
            <w:r>
              <w:rPr>
                <w:rFonts w:ascii="Calibri" w:hAnsi="Calibri"/>
                <w:b/>
                <w:color w:val="0B2545"/>
                <w:sz w:val="18"/>
              </w:rPr>
              <w:t>Valor</w:t>
            </w:r>
          </w:p>
        </w:tc>
      </w:tr>
      <w:tr>
        <w:tc>
          <w:tcPr>
            <w:tcW w:type="dxa" w:w="2200"/>
            <w:tcMar>
              <w:top w:w="80" w:type="dxa"/>
              <w:start w:w="120" w:type="dxa"/>
              <w:bottom w:w="80" w:type="dxa"/>
              <w:end w:w="120" w:type="dxa"/>
            </w:tcMar>
            <w:vAlign w:val="center"/>
          </w:tcPr>
          <w:p>
            <w:pPr>
              <w:jc w:val="left"/>
            </w:pPr>
            <w:r>
              <w:rPr>
                <w:rFonts w:ascii="Calibri" w:hAnsi="Calibri"/>
                <w:b w:val="0"/>
                <w:color w:val="1F2937"/>
                <w:sz w:val="18"/>
              </w:rPr>
              <w:t>Tipo</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Informe integral de avance y consolidación</w:t>
            </w:r>
          </w:p>
        </w:tc>
      </w:tr>
      <w:t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Fecha de corte</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24 de julio de 2026, America/La_Paz</w:t>
            </w:r>
          </w:p>
        </w:tc>
      </w:tr>
      <w:tr>
        <w:tc>
          <w:tcPr>
            <w:tcW w:type="dxa" w:w="2200"/>
            <w:tcMar>
              <w:top w:w="80" w:type="dxa"/>
              <w:start w:w="120" w:type="dxa"/>
              <w:bottom w:w="80" w:type="dxa"/>
              <w:end w:w="120" w:type="dxa"/>
            </w:tcMar>
            <w:vAlign w:val="center"/>
          </w:tcPr>
          <w:p>
            <w:pPr>
              <w:jc w:val="left"/>
            </w:pPr>
            <w:r>
              <w:rPr>
                <w:rFonts w:ascii="Calibri" w:hAnsi="Calibri"/>
                <w:b w:val="0"/>
                <w:color w:val="1F2937"/>
                <w:sz w:val="18"/>
              </w:rPr>
              <w:t>Fuente primaria</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Repositorio local, base local, historial Git y documentación versionada</w:t>
            </w:r>
          </w:p>
        </w:tc>
      </w:tr>
      <w:t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Estado Git</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HEAD d4b2d12; archivo HALLAZGO_PIPELINE_3B7.md staged y aún no commiteado</w:t>
            </w:r>
          </w:p>
        </w:tc>
      </w:tr>
      <w:tr>
        <w:tc>
          <w:tcPr>
            <w:tcW w:type="dxa" w:w="2200"/>
            <w:tcMar>
              <w:top w:w="80" w:type="dxa"/>
              <w:start w:w="120" w:type="dxa"/>
              <w:bottom w:w="80" w:type="dxa"/>
              <w:end w:w="120" w:type="dxa"/>
            </w:tcMar>
            <w:vAlign w:val="center"/>
          </w:tcPr>
          <w:p>
            <w:pPr>
              <w:jc w:val="left"/>
            </w:pPr>
            <w:r>
              <w:rPr>
                <w:rFonts w:ascii="Calibri" w:hAnsi="Calibri"/>
                <w:b w:val="0"/>
                <w:color w:val="1F2937"/>
                <w:sz w:val="18"/>
              </w:rPr>
              <w:t>Alcance</w:t>
            </w:r>
          </w:p>
        </w:tc>
        <w:tc>
          <w:tcPr>
            <w:tcW w:type="dxa" w:w="7160"/>
            <w:tcMar>
              <w:top w:w="80" w:type="dxa"/>
              <w:start w:w="120" w:type="dxa"/>
              <w:bottom w:w="80" w:type="dxa"/>
              <w:end w:w="120" w:type="dxa"/>
            </w:tcMar>
            <w:vAlign w:val="center"/>
          </w:tcPr>
          <w:p>
            <w:pPr>
              <w:jc w:val="left"/>
            </w:pPr>
            <w:r>
              <w:rPr>
                <w:rFonts w:ascii="Calibri" w:hAnsi="Calibri"/>
                <w:b w:val="0"/>
                <w:color w:val="1F2937"/>
                <w:sz w:val="18"/>
              </w:rPr>
              <w:t>Todo lo construido, estado real, brechas, correcciones y ruta al producto completo</w:t>
            </w:r>
          </w:p>
        </w:tc>
      </w:tr>
      <w:tr>
        <w:tc>
          <w:tcPr>
            <w:tcW w:type="dxa" w:w="2200"/>
            <w:shd w:fill="FAFBFC"/>
            <w:tcMar>
              <w:top w:w="80" w:type="dxa"/>
              <w:start w:w="120" w:type="dxa"/>
              <w:bottom w:w="80" w:type="dxa"/>
              <w:end w:w="120" w:type="dxa"/>
            </w:tcMar>
            <w:vAlign w:val="center"/>
          </w:tcPr>
          <w:p>
            <w:pPr>
              <w:jc w:val="left"/>
            </w:pPr>
            <w:r>
              <w:rPr>
                <w:rFonts w:ascii="Calibri" w:hAnsi="Calibri"/>
                <w:b w:val="0"/>
                <w:color w:val="1F2937"/>
                <w:sz w:val="18"/>
              </w:rPr>
              <w:t>Regla de lectura</w:t>
            </w:r>
          </w:p>
        </w:tc>
        <w:tc>
          <w:tcPr>
            <w:tcW w:type="dxa" w:w="7160"/>
            <w:shd w:fill="FAFBFC"/>
            <w:tcMar>
              <w:top w:w="80" w:type="dxa"/>
              <w:start w:w="120" w:type="dxa"/>
              <w:bottom w:w="80" w:type="dxa"/>
              <w:end w:w="120" w:type="dxa"/>
            </w:tcMar>
            <w:vAlign w:val="center"/>
          </w:tcPr>
          <w:p>
            <w:pPr>
              <w:jc w:val="left"/>
            </w:pPr>
            <w:r>
              <w:rPr>
                <w:rFonts w:ascii="Calibri" w:hAnsi="Calibri"/>
                <w:b w:val="0"/>
                <w:color w:val="1F2937"/>
                <w:sz w:val="18"/>
              </w:rPr>
              <w:t>Hecho verificado ≠ recomendación ≠ decisión pendiente</w:t>
            </w:r>
          </w:p>
        </w:tc>
      </w:tr>
    </w:tbl>
    <w:p>
      <w:pPr>
        <w:spacing w:before="80" w:after="80"/>
      </w:pPr>
      <w:r>
        <w:rPr>
          <w:rFonts w:ascii="Calibri" w:hAnsi="Calibri"/>
          <w:i/>
          <w:color w:val="5F6B7A"/>
          <w:sz w:val="17"/>
        </w:rPr>
        <w:t>Fuente: evidencia levantada en la sesión actual; no se asumieron hashes ni conteos históricos.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ADVERTENCIA DE GOBERNANZA</w:t>
            </w:r>
          </w:p>
          <w:p>
            <w:pPr>
              <w:spacing w:after="0"/>
            </w:pPr>
            <w:r>
              <w:rPr>
                <w:rFonts w:ascii="Calibri" w:hAnsi="Calibri"/>
                <w:color w:val="1F2937"/>
                <w:sz w:val="21"/>
              </w:rPr>
              <w:t>Este informe no declara que el sistema ya sea “el mejor de Bolivia”. Define el estándar verificable para aspirar a ello: ciclo catastral completo, calidad medible, trazabilidad, seguridad, operación real y replicabilidad municipal.</w:t>
            </w:r>
          </w:p>
        </w:tc>
      </w:tr>
    </w:tbl>
    <w:p>
      <w:pPr>
        <w:spacing w:after="0"/>
      </w:pPr>
    </w:p>
    <w:p>
      <w:pPr>
        <w:pStyle w:val="Heading2"/>
      </w:pPr>
      <w:r>
        <w:t>Cómo leer este informe</w:t>
      </w:r>
    </w:p>
    <w:p>
      <w:pPr>
        <w:pStyle w:val="ListBullet"/>
      </w:pPr>
      <w:r>
        <w:rPr>
          <w:rFonts w:ascii="Calibri" w:hAnsi="Calibri"/>
          <w:color w:val="1F2937"/>
          <w:sz w:val="22"/>
        </w:rPr>
        <w:t>VERIFICADO: existe evidencia actual en código, Git, base, pruebas o documentación aceptada.</w:t>
      </w:r>
    </w:p>
    <w:p>
      <w:pPr>
        <w:pStyle w:val="ListBullet"/>
      </w:pPr>
      <w:r>
        <w:rPr>
          <w:rFonts w:ascii="Calibri" w:hAnsi="Calibri"/>
          <w:color w:val="1F2937"/>
          <w:sz w:val="22"/>
        </w:rPr>
        <w:t>PARCIAL: existe una base funcional, pero falta cierre de alcance, operación o evidencia.</w:t>
      </w:r>
    </w:p>
    <w:p>
      <w:pPr>
        <w:pStyle w:val="ListBullet"/>
      </w:pPr>
      <w:r>
        <w:rPr>
          <w:rFonts w:ascii="Calibri" w:hAnsi="Calibri"/>
          <w:color w:val="1F2937"/>
          <w:sz w:val="22"/>
        </w:rPr>
        <w:t>PENDIENTE: está en el roadmap y aún no se implementó.</w:t>
      </w:r>
    </w:p>
    <w:p>
      <w:pPr>
        <w:pStyle w:val="ListBullet"/>
      </w:pPr>
      <w:r>
        <w:rPr>
          <w:rFonts w:ascii="Calibri" w:hAnsi="Calibri"/>
          <w:color w:val="1F2937"/>
          <w:sz w:val="22"/>
        </w:rPr>
        <w:t>BLOQUEADO: requiere una decisión, dato institucional o corrección previa.</w:t>
      </w:r>
    </w:p>
    <w:p>
      <w:pPr>
        <w:pStyle w:val="ListBullet"/>
      </w:pPr>
      <w:r>
        <w:rPr>
          <w:rFonts w:ascii="Calibri" w:hAnsi="Calibri"/>
          <w:color w:val="1F2937"/>
          <w:sz w:val="22"/>
        </w:rPr>
        <w:t>RECOMENDACIÓN: propuesta de consolidación; requiere ratificación antes de convertirse en contrato.</w:t>
      </w:r>
    </w:p>
    <w:p>
      <w:r>
        <w:br w:type="page"/>
      </w:r>
    </w:p>
    <w:p>
      <w:pPr>
        <w:pStyle w:val="Heading1"/>
      </w:pPr>
      <w:r>
        <w:t>Contenido</w:t>
      </w:r>
    </w:p>
    <w:p>
      <w:pPr>
        <w:spacing w:after="80"/>
      </w:pPr>
      <w:r>
        <w:rPr>
          <w:rFonts w:ascii="Calibri" w:hAnsi="Calibri"/>
          <w:color w:val="0B2545"/>
          <w:sz w:val="21"/>
        </w:rPr>
        <w:t>1. Resumen ejecutivo</w:t>
      </w:r>
    </w:p>
    <w:p>
      <w:pPr>
        <w:spacing w:after="80"/>
      </w:pPr>
      <w:r>
        <w:rPr>
          <w:rFonts w:ascii="Calibri" w:hAnsi="Calibri"/>
          <w:color w:val="0B2545"/>
          <w:sz w:val="21"/>
        </w:rPr>
        <w:t>2. Método, fuentes y límites</w:t>
      </w:r>
    </w:p>
    <w:p>
      <w:pPr>
        <w:spacing w:after="80"/>
      </w:pPr>
      <w:r>
        <w:rPr>
          <w:rFonts w:ascii="Calibri" w:hAnsi="Calibri"/>
          <w:color w:val="0B2545"/>
          <w:sz w:val="21"/>
        </w:rPr>
        <w:t>3. Qué sistema se está construyendo</w:t>
      </w:r>
    </w:p>
    <w:p>
      <w:pPr>
        <w:spacing w:after="80"/>
      </w:pPr>
      <w:r>
        <w:rPr>
          <w:rFonts w:ascii="Calibri" w:hAnsi="Calibri"/>
          <w:color w:val="0B2545"/>
          <w:sz w:val="21"/>
        </w:rPr>
        <w:t>4. Todo lo realizado en el proyecto</w:t>
      </w:r>
    </w:p>
    <w:p>
      <w:pPr>
        <w:spacing w:after="80"/>
      </w:pPr>
      <w:r>
        <w:rPr>
          <w:rFonts w:ascii="Calibri" w:hAnsi="Calibri"/>
          <w:color w:val="0B2545"/>
          <w:sz w:val="21"/>
        </w:rPr>
        <w:t>5. Situación exacta al 24 de julio de 2026</w:t>
      </w:r>
    </w:p>
    <w:p>
      <w:pPr>
        <w:spacing w:after="80"/>
      </w:pPr>
      <w:r>
        <w:rPr>
          <w:rFonts w:ascii="Calibri" w:hAnsi="Calibri"/>
          <w:color w:val="0B2545"/>
          <w:sz w:val="21"/>
        </w:rPr>
        <w:t>6. Diagnóstico corregido de 3.B.7</w:t>
      </w:r>
    </w:p>
    <w:p>
      <w:pPr>
        <w:spacing w:after="80"/>
      </w:pPr>
      <w:r>
        <w:rPr>
          <w:rFonts w:ascii="Calibri" w:hAnsi="Calibri"/>
          <w:color w:val="0B2545"/>
          <w:sz w:val="21"/>
        </w:rPr>
        <w:t>7. Matriz funcional consolidada</w:t>
      </w:r>
    </w:p>
    <w:p>
      <w:pPr>
        <w:spacing w:after="80"/>
      </w:pPr>
      <w:r>
        <w:rPr>
          <w:rFonts w:ascii="Calibri" w:hAnsi="Calibri"/>
          <w:color w:val="0B2545"/>
          <w:sz w:val="21"/>
        </w:rPr>
        <w:t>8. Observaciones para consolidar el mejor referente catastral posible</w:t>
      </w:r>
    </w:p>
    <w:p>
      <w:pPr>
        <w:spacing w:after="80"/>
      </w:pPr>
      <w:r>
        <w:rPr>
          <w:rFonts w:ascii="Calibri" w:hAnsi="Calibri"/>
          <w:color w:val="0B2545"/>
          <w:sz w:val="21"/>
        </w:rPr>
        <w:t>9. Estándar de excelencia propuesto</w:t>
      </w:r>
    </w:p>
    <w:p>
      <w:pPr>
        <w:spacing w:after="80"/>
      </w:pPr>
      <w:r>
        <w:rPr>
          <w:rFonts w:ascii="Calibri" w:hAnsi="Calibri"/>
          <w:color w:val="0B2545"/>
          <w:sz w:val="21"/>
        </w:rPr>
        <w:t>10. Todo lo que falta hasta terminar el proyecto</w:t>
      </w:r>
    </w:p>
    <w:p>
      <w:pPr>
        <w:spacing w:after="80"/>
      </w:pPr>
      <w:r>
        <w:rPr>
          <w:rFonts w:ascii="Calibri" w:hAnsi="Calibri"/>
          <w:color w:val="0B2545"/>
          <w:sz w:val="21"/>
        </w:rPr>
        <w:t>11. Secuencia recomendada de ejecución</w:t>
      </w:r>
    </w:p>
    <w:p>
      <w:pPr>
        <w:spacing w:after="80"/>
      </w:pPr>
      <w:r>
        <w:rPr>
          <w:rFonts w:ascii="Calibri" w:hAnsi="Calibri"/>
          <w:color w:val="0B2545"/>
          <w:sz w:val="21"/>
        </w:rPr>
        <w:t>12. Decisiones institucionales pendientes</w:t>
      </w:r>
    </w:p>
    <w:p>
      <w:pPr>
        <w:spacing w:after="80"/>
      </w:pPr>
      <w:r>
        <w:rPr>
          <w:rFonts w:ascii="Calibri" w:hAnsi="Calibri"/>
          <w:color w:val="0B2545"/>
          <w:sz w:val="21"/>
        </w:rPr>
        <w:t>13. Riesgos y mitigaciones</w:t>
      </w:r>
    </w:p>
    <w:p>
      <w:pPr>
        <w:spacing w:after="80"/>
      </w:pPr>
      <w:r>
        <w:rPr>
          <w:rFonts w:ascii="Calibri" w:hAnsi="Calibri"/>
          <w:color w:val="0B2545"/>
          <w:sz w:val="21"/>
        </w:rPr>
        <w:t>14. Definición de proyecto completamente terminado</w:t>
      </w:r>
    </w:p>
    <w:p>
      <w:pPr>
        <w:spacing w:after="80"/>
      </w:pPr>
      <w:r>
        <w:rPr>
          <w:rFonts w:ascii="Calibri" w:hAnsi="Calibri"/>
          <w:color w:val="0B2545"/>
          <w:sz w:val="21"/>
        </w:rPr>
        <w:t>15. Próximas acciones concretas</w:t>
      </w:r>
    </w:p>
    <w:p>
      <w:pPr>
        <w:spacing w:after="80"/>
      </w:pPr>
      <w:r>
        <w:rPr>
          <w:rFonts w:ascii="Calibri" w:hAnsi="Calibri"/>
          <w:color w:val="0B2545"/>
          <w:sz w:val="21"/>
        </w:rPr>
        <w:t>Apéndices A–C y cierre</w:t>
      </w:r>
    </w:p>
    <w:p>
      <w:r>
        <w:br w:type="page"/>
      </w:r>
    </w:p>
    <w:p>
      <w:pPr>
        <w:pStyle w:val="Heading1"/>
      </w:pPr>
      <w:r>
        <w:t>1. Resumen ejecutivo</w:t>
      </w:r>
    </w:p>
    <w:p>
      <w:pPr/>
      <w:r>
        <w:rPr>
          <w:rFonts w:ascii="Calibri" w:hAnsi="Calibri"/>
          <w:i w:val="0"/>
          <w:color w:val="1F2937"/>
          <w:sz w:val="22"/>
        </w:rPr>
        <w:t>SG_SAUL_CATASTRO ya superó la etapa de prototipo vacío. Dispone de un núcleo catastral real, autenticación, auditoría append-only, persistencia PostGIS, importación SHP versionada y asíncrona, preview de calidad, activación/reconciliación, tiles MVT, visor Blazor/MapLibre, búsqueda, ficha, croquis imprimible y configuración multimunicipio. Uyuni opera como línea base activa con siete capas; Caranavi ya tiene sus tres capas base activas y un padrón predial derivado del DGN listo como shapefile.</w:t>
      </w:r>
    </w:p>
    <w:p>
      <w:pPr/>
      <w:r>
        <w:rPr>
          <w:rFonts w:ascii="Calibri" w:hAnsi="Calibri"/>
          <w:i w:val="0"/>
          <w:color w:val="1F2937"/>
          <w:sz w:val="22"/>
        </w:rPr>
        <w:t>El punto exacto no es “falta hacer el sistema”, sino “falta cerrar la semántica segura de incorporación incremental de capas y después completar el ciclo institucional”. El bloqueo inmediato está en 3.B.7: PRE_NOF_CAR contiene 6.573 predios, pero la arquitectura vigente conserva una sola DatasetVersion activa por municipio y la activación reemplaza la versión activa. Importar una versión con solo predios no fotografiados sin composición previa dejaría fuera del dataset activo las capas base de Caranavi.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E9E9"/>
          </w:tcPr>
          <w:p>
            <w:pPr>
              <w:spacing w:after="40"/>
            </w:pPr>
            <w:r>
              <w:rPr>
                <w:rFonts w:ascii="Calibri" w:hAnsi="Calibri"/>
                <w:b/>
                <w:color w:val="9B1C1C"/>
                <w:sz w:val="18"/>
              </w:rPr>
              <w:t>CONCLUSIÓN EJECUTIVA</w:t>
            </w:r>
          </w:p>
          <w:p>
            <w:pPr>
              <w:spacing w:after="0"/>
            </w:pPr>
            <w:r>
              <w:rPr>
                <w:rFonts w:ascii="Calibri" w:hAnsi="Calibri"/>
                <w:color w:val="1F2937"/>
                <w:sz w:val="21"/>
              </w:rPr>
              <w:t>La mejor decisión inmediata no es añadir a ciegas un perfil_codigo. Es preservar la invariancia de snapshot completo de ADR 0049 y diseñar una operación de composición: crear N+1 copiando las capas no modificadas desde la versión activa y sustituyendo únicamente la capa recibida, con linaje y pruebas de no pérdida.</w:t>
            </w:r>
          </w:p>
        </w:tc>
      </w:tr>
    </w:tbl>
    <w:p>
      <w:pPr>
        <w:spacing w:after="0"/>
      </w:pPr>
    </w:p>
    <w:p>
      <w:pPr>
        <w:spacing w:before="80" w:after="80"/>
      </w:pPr>
      <w:r>
        <w:rPr>
          <w:rFonts w:ascii="Calibri" w:hAnsi="Calibri"/>
          <w:b/>
          <w:color w:val="0B2545"/>
          <w:sz w:val="19"/>
        </w:rPr>
        <w:t>Tabla 1. Indicadores verificables del estado actual</w:t>
      </w:r>
    </w:p>
    <w:tbl>
      <w:tblPr>
        <w:tblStyle w:val="TableGrid"/>
        <w:tblW w:type="dxa" w:w="9360"/>
        <w:jc w:val="left"/>
        <w:tblLayout w:type="fixed"/>
        <w:tblLook w:firstColumn="1" w:firstRow="1" w:lastColumn="0" w:lastRow="0" w:noHBand="0" w:noVBand="1" w:val="04A0"/>
        <w:tblInd w:w="120" w:type="dxa"/>
      </w:tblPr>
      <w:tblGrid>
        <w:gridCol w:w="2700"/>
        <w:gridCol w:w="2100"/>
        <w:gridCol w:w="4560"/>
      </w:tblGrid>
      <w:tr>
        <w:trPr>
          <w:tblHeader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Indicador</w:t>
            </w:r>
          </w:p>
        </w:tc>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Valor actual</w:t>
            </w:r>
          </w:p>
        </w:tc>
        <w:tc>
          <w:tcPr>
            <w:tcW w:type="dxa" w:w="4560"/>
            <w:shd w:fill="F2F4F7"/>
            <w:tcMar>
              <w:top w:w="80" w:type="dxa"/>
              <w:start w:w="120" w:type="dxa"/>
              <w:bottom w:w="80" w:type="dxa"/>
              <w:end w:w="120" w:type="dxa"/>
            </w:tcMar>
            <w:vAlign w:val="center"/>
          </w:tcPr>
          <w:p>
            <w:pPr>
              <w:jc w:val="center"/>
            </w:pPr>
            <w:r>
              <w:rPr>
                <w:rFonts w:ascii="Calibri" w:hAnsi="Calibri"/>
                <w:b/>
                <w:color w:val="0B2545"/>
                <w:sz w:val="18"/>
              </w:rPr>
              <w:t>Lectura</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Commits en HEAD</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171</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Trayectoria corta pero intensiva y trazable</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Releases etiquetados</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6</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v0.1.0 a v0.6.0</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ADRs versionados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51</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Gobernanza fuerte, aunque algunos requieren actualización</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Migraciones EF Core</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15</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Identidad, dominio, importación, versión, GIS y multimunicipio</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Tests verdes actuales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325</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141 Domain + 95 Application + 26 Web + 63 Integration</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Municipios activos</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2</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Uyuni y Caranavi</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Uyuni activo</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35.013 objetos</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11.985 parcelas; siete capas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Caranavi activo</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687 objetos base</w:t>
            </w:r>
          </w:p>
        </w:tc>
        <w:tc>
          <w:tcPr>
            <w:tcW w:type="dxa" w:w="4560"/>
            <w:shd w:fill="FAFBFC"/>
            <w:tcMar>
              <w:top w:w="80" w:type="dxa"/>
              <w:start w:w="120" w:type="dxa"/>
              <w:bottom w:w="80" w:type="dxa"/>
              <w:end w:w="120" w:type="dxa"/>
            </w:tcMar>
            <w:vAlign w:val="center"/>
          </w:tcPr>
          <w:p>
            <w:pPr>
              <w:jc w:val="left"/>
            </w:pPr>
            <w:r>
              <w:rPr>
                <w:rFonts w:ascii="Calibri" w:hAnsi="Calibri"/>
                <w:b w:val="0"/>
                <w:color w:val="1F2937"/>
                <w:sz w:val="18"/>
              </w:rPr>
              <w:t>637 manzanas + 17 áreas + 33 puntos</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Padrón Caranavi preparado</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6.573 predios</w:t>
            </w:r>
          </w:p>
        </w:tc>
        <w:tc>
          <w:tcPr>
            <w:tcW w:type="dxa" w:w="4560"/>
            <w:tcMar>
              <w:top w:w="80" w:type="dxa"/>
              <w:start w:w="120" w:type="dxa"/>
              <w:bottom w:w="80" w:type="dxa"/>
              <w:end w:w="120" w:type="dxa"/>
            </w:tcMar>
            <w:vAlign w:val="center"/>
          </w:tcPr>
          <w:p>
            <w:pPr>
              <w:jc w:val="left"/>
            </w:pPr>
            <w:r>
              <w:rPr>
                <w:rFonts w:ascii="Calibri" w:hAnsi="Calibri"/>
                <w:b w:val="0"/>
                <w:color w:val="1F2937"/>
                <w:sz w:val="18"/>
              </w:rPr>
              <w:t>4.486 con cod_pred; 68,2 %</w:t>
            </w:r>
          </w:p>
        </w:tc>
      </w:tr>
    </w:tbl>
    <w:p>
      <w:pPr>
        <w:spacing w:before="80" w:after="80"/>
      </w:pPr>
      <w:r>
        <w:rPr>
          <w:rFonts w:ascii="Calibri" w:hAnsi="Calibri"/>
          <w:i/>
          <w:color w:val="5F6B7A"/>
          <w:sz w:val="17"/>
        </w:rPr>
        <w:t>Fuente: Git, solución .NET, scripts/sql.ps1 y documentos 3.B.1–3.B.6.</w:t>
      </w:r>
    </w:p>
    <w:p>
      <w:pPr>
        <w:jc w:val="center"/>
      </w:pPr>
      <w:r>
        <w:drawing>
          <wp:inline xmlns:a="http://schemas.openxmlformats.org/drawingml/2006/main" xmlns:pic="http://schemas.openxmlformats.org/drawingml/2006/picture">
            <wp:extent cx="5715000" cy="3302000"/>
            <wp:docPr id="1" name="Picture 1" descr="Línea de tiempo de releases y fase actual." title="Figura 1. Evolución verificada desde la fundación hasta 3.B.7."/>
            <wp:cNvGraphicFramePr>
              <a:graphicFrameLocks noChangeAspect="1"/>
            </wp:cNvGraphicFramePr>
            <a:graphic>
              <a:graphicData uri="http://schemas.openxmlformats.org/drawingml/2006/picture">
                <pic:pic>
                  <pic:nvPicPr>
                    <pic:cNvPr id="0" name="linea_tiempo.png"/>
                    <pic:cNvPicPr/>
                  </pic:nvPicPr>
                  <pic:blipFill>
                    <a:blip r:embed="rId11"/>
                    <a:stretch>
                      <a:fillRect/>
                    </a:stretch>
                  </pic:blipFill>
                  <pic:spPr>
                    <a:xfrm>
                      <a:off x="0" y="0"/>
                      <a:ext cx="5715000" cy="3302000"/>
                    </a:xfrm>
                    <a:prstGeom prst="rect"/>
                  </pic:spPr>
                </pic:pic>
              </a:graphicData>
            </a:graphic>
          </wp:inline>
        </w:drawing>
      </w:r>
    </w:p>
    <w:p>
      <w:pPr>
        <w:spacing w:before="40" w:after="160"/>
        <w:jc w:val="center"/>
      </w:pPr>
      <w:r>
        <w:rPr>
          <w:rFonts w:ascii="Calibri" w:hAnsi="Calibri"/>
          <w:i/>
          <w:color w:val="5F6B7A"/>
          <w:sz w:val="18"/>
        </w:rPr>
        <w:t>Figura 1. Evolución verificada desde la fundación hasta 3.B.7.</w:t>
      </w:r>
    </w:p>
    <w:p>
      <w:pPr>
        <w:pStyle w:val="Heading1"/>
      </w:pPr>
      <w:r>
        <w:t>2. Método, fuentes y límites</w:t>
      </w:r>
    </w:p>
    <w:p>
      <w:pPr>
        <w:pStyle w:val="Heading2"/>
      </w:pPr>
      <w:r>
        <w:t>2.1 Fuentes primarias</w:t>
      </w:r>
    </w:p>
    <w:p>
      <w:pPr>
        <w:pStyle w:val="ListBullet"/>
      </w:pPr>
      <w:r>
        <w:rPr>
          <w:rFonts w:ascii="Calibri" w:hAnsi="Calibri"/>
          <w:color w:val="1F2937"/>
          <w:sz w:val="22"/>
        </w:rPr>
        <w:t>Historial Git completo hasta d4b2d12: 171 commits, fechas, mensajes, ramas y tags.</w:t>
      </w:r>
    </w:p>
    <w:p>
      <w:pPr>
        <w:pStyle w:val="ListBullet"/>
      </w:pPr>
      <w:r>
        <w:rPr>
          <w:rFonts w:ascii="Calibri" w:hAnsi="Calibri"/>
          <w:color w:val="1F2937"/>
          <w:sz w:val="22"/>
        </w:rPr>
        <w:t>AGENTS.md como contrato operativo, con especial atención a 17-bis y 17-ter.</w:t>
      </w:r>
    </w:p>
    <w:p>
      <w:pPr>
        <w:pStyle w:val="ListBullet"/>
      </w:pPr>
      <w:r>
        <w:rPr>
          <w:rFonts w:ascii="Calibri" w:hAnsi="Calibri"/>
          <w:color w:val="1F2937"/>
          <w:sz w:val="22"/>
        </w:rPr>
        <w:t>PLAN_MAESTRO.md v1.1 y ADR 0001–0062, diferenciando estados Aceptado/Propuesta.</w:t>
      </w:r>
    </w:p>
    <w:p>
      <w:pPr>
        <w:pStyle w:val="ListBullet"/>
      </w:pPr>
      <w:r>
        <w:rPr>
          <w:rFonts w:ascii="Calibri" w:hAnsi="Calibri"/>
          <w:color w:val="1F2937"/>
          <w:sz w:val="22"/>
        </w:rPr>
        <w:t>Cierres formales de Sprint 0–3 y documentación de fases 0–3.A.</w:t>
      </w:r>
    </w:p>
    <w:p>
      <w:pPr>
        <w:pStyle w:val="ListBullet"/>
      </w:pPr>
      <w:r>
        <w:rPr>
          <w:rFonts w:ascii="Calibri" w:hAnsi="Calibri"/>
          <w:color w:val="1F2937"/>
          <w:sz w:val="22"/>
        </w:rPr>
        <w:t>Código vigente de dominio, API, importación, activación, visor y seeds.</w:t>
      </w:r>
    </w:p>
    <w:p>
      <w:pPr>
        <w:pStyle w:val="ListBullet"/>
      </w:pPr>
      <w:r>
        <w:rPr>
          <w:rFonts w:ascii="Calibri" w:hAnsi="Calibri"/>
          <w:color w:val="1F2937"/>
          <w:sz w:val="22"/>
        </w:rPr>
        <w:t>Base local consultada de solo lectura mediante scripts/sql.ps1.</w:t>
      </w:r>
    </w:p>
    <w:p>
      <w:pPr>
        <w:pStyle w:val="ListBullet"/>
      </w:pPr>
      <w:r>
        <w:rPr>
          <w:rFonts w:ascii="Calibri" w:hAnsi="Calibri"/>
          <w:color w:val="1F2937"/>
          <w:sz w:val="22"/>
        </w:rPr>
        <w:t>Suite .NET completa ejecutada en esta sesión.</w:t>
      </w:r>
    </w:p>
    <w:p>
      <w:pPr>
        <w:pStyle w:val="ListBullet"/>
      </w:pPr>
      <w:r>
        <w:rPr>
          <w:rFonts w:ascii="Calibri" w:hAnsi="Calibri"/>
          <w:color w:val="1F2937"/>
          <w:sz w:val="22"/>
        </w:rPr>
        <w:t>Documentos 3.B.1, 3.B.2, 3.B.3, 3.B.4 y 3.B.6.</w:t>
      </w:r>
    </w:p>
    <w:p>
      <w:pPr>
        <w:pStyle w:val="Heading2"/>
      </w:pPr>
      <w:r>
        <w:t>2.2 Evidencia de pruebas actual</w:t>
      </w:r>
    </w:p>
    <w:p>
      <w:pPr/>
      <w:r>
        <w:rPr>
          <w:rFonts w:ascii="Calibri" w:hAnsi="Calibri"/>
          <w:i w:val="0"/>
          <w:color w:val="1F2937"/>
          <w:sz w:val="22"/>
        </w:rPr>
        <w:t>La ejecución con build previo detectó DLL bloqueadas por SG.Api PID 27332. Domain (141), Application (95) y Web (26) terminaron verdes, pero el build de SG.Api agotó 10 reintentos y no llegó a integración. Sin detener el servicio local, la contraprueba dotnet test src\backend\SG.slnx --no-build ejecutó los cuatro proyectos y terminó 325/325 en verde, incluidos 63 tests de integración con PostgreSQL/PostGIS real.</w:t>
      </w:r>
    </w:p>
    <w:p>
      <w:pPr>
        <w:spacing w:before="80" w:after="80"/>
      </w:pPr>
      <w:r>
        <w:rPr>
          <w:rFonts w:ascii="Calibri" w:hAnsi="Calibri"/>
          <w:b/>
          <w:color w:val="0B2545"/>
          <w:sz w:val="19"/>
        </w:rPr>
        <w:t>Tabla 2. Estado de pruebas al corte</w:t>
      </w:r>
    </w:p>
    <w:tbl>
      <w:tblPr>
        <w:tblStyle w:val="TableGrid"/>
        <w:tblW w:type="dxa" w:w="9360"/>
        <w:jc w:val="left"/>
        <w:tblLayout w:type="fixed"/>
        <w:tblLook w:firstColumn="1" w:firstRow="1" w:lastColumn="0" w:lastRow="0" w:noHBand="0" w:noVBand="1" w:val="04A0"/>
        <w:tblInd w:w="120" w:type="dxa"/>
      </w:tblPr>
      <w:tblGrid>
        <w:gridCol w:w="2700"/>
        <w:gridCol w:w="1000"/>
        <w:gridCol w:w="1400"/>
        <w:gridCol w:w="4260"/>
      </w:tblGrid>
      <w:tr>
        <w:trPr>
          <w:tblHeader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Proyecto</w:t>
            </w:r>
          </w:p>
        </w:tc>
        <w:tc>
          <w:tcPr>
            <w:tcW w:type="dxa" w:w="1000"/>
            <w:shd w:fill="F2F4F7"/>
            <w:tcMar>
              <w:top w:w="80" w:type="dxa"/>
              <w:start w:w="120" w:type="dxa"/>
              <w:bottom w:w="80" w:type="dxa"/>
              <w:end w:w="120" w:type="dxa"/>
            </w:tcMar>
            <w:vAlign w:val="center"/>
          </w:tcPr>
          <w:p>
            <w:pPr>
              <w:jc w:val="center"/>
            </w:pPr>
            <w:r>
              <w:rPr>
                <w:rFonts w:ascii="Calibri" w:hAnsi="Calibri"/>
                <w:b/>
                <w:color w:val="0B2545"/>
                <w:sz w:val="18"/>
              </w:rPr>
              <w:t>Tests</w:t>
            </w:r>
          </w:p>
        </w:tc>
        <w:tc>
          <w:tcPr>
            <w:tcW w:type="dxa" w:w="1400"/>
            <w:shd w:fill="F2F4F7"/>
            <w:tcMar>
              <w:top w:w="80" w:type="dxa"/>
              <w:start w:w="120" w:type="dxa"/>
              <w:bottom w:w="80" w:type="dxa"/>
              <w:end w:w="120" w:type="dxa"/>
            </w:tcMar>
            <w:vAlign w:val="center"/>
          </w:tcPr>
          <w:p>
            <w:pPr>
              <w:jc w:val="center"/>
            </w:pPr>
            <w:r>
              <w:rPr>
                <w:rFonts w:ascii="Calibri" w:hAnsi="Calibri"/>
                <w:b/>
                <w:color w:val="0B2545"/>
                <w:sz w:val="18"/>
              </w:rPr>
              <w:t>Resultado</w:t>
            </w:r>
          </w:p>
        </w:tc>
        <w:tc>
          <w:tcPr>
            <w:tcW w:type="dxa" w:w="4260"/>
            <w:shd w:fill="F2F4F7"/>
            <w:tcMar>
              <w:top w:w="80" w:type="dxa"/>
              <w:start w:w="120" w:type="dxa"/>
              <w:bottom w:w="80" w:type="dxa"/>
              <w:end w:w="120" w:type="dxa"/>
            </w:tcMar>
            <w:vAlign w:val="center"/>
          </w:tcPr>
          <w:p>
            <w:pPr>
              <w:jc w:val="center"/>
            </w:pPr>
            <w:r>
              <w:rPr>
                <w:rFonts w:ascii="Calibri" w:hAnsi="Calibri"/>
                <w:b/>
                <w:color w:val="0B2545"/>
                <w:sz w:val="18"/>
              </w:rPr>
              <w:t>Observación</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SG.Domain.Tests</w:t>
            </w:r>
          </w:p>
        </w:tc>
        <w:tc>
          <w:tcPr>
            <w:tcW w:type="dxa" w:w="1000"/>
            <w:tcMar>
              <w:top w:w="80" w:type="dxa"/>
              <w:start w:w="120" w:type="dxa"/>
              <w:bottom w:w="80" w:type="dxa"/>
              <w:end w:w="120" w:type="dxa"/>
            </w:tcMar>
            <w:vAlign w:val="center"/>
          </w:tcPr>
          <w:p>
            <w:pPr>
              <w:jc w:val="center"/>
            </w:pPr>
            <w:r>
              <w:rPr>
                <w:rFonts w:ascii="Calibri" w:hAnsi="Calibri"/>
                <w:b w:val="0"/>
                <w:color w:val="1F2937"/>
                <w:sz w:val="18"/>
              </w:rPr>
              <w:t>141</w:t>
            </w:r>
          </w:p>
        </w:tc>
        <w:tc>
          <w:tcPr>
            <w:tcW w:type="dxa" w:w="1400"/>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Reglas, estados, value objects y DatasetVersion</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SG.Application.Tests</w:t>
            </w:r>
          </w:p>
        </w:tc>
        <w:tc>
          <w:tcPr>
            <w:tcW w:type="dxa" w:w="1000"/>
            <w:shd w:fill="FAFBFC"/>
            <w:tcMar>
              <w:top w:w="80" w:type="dxa"/>
              <w:start w:w="120" w:type="dxa"/>
              <w:bottom w:w="80" w:type="dxa"/>
              <w:end w:w="120" w:type="dxa"/>
            </w:tcMar>
            <w:vAlign w:val="center"/>
          </w:tcPr>
          <w:p>
            <w:pPr>
              <w:jc w:val="center"/>
            </w:pPr>
            <w:r>
              <w:rPr>
                <w:rFonts w:ascii="Calibri" w:hAnsi="Calibri"/>
                <w:b w:val="0"/>
                <w:color w:val="1F2937"/>
                <w:sz w:val="18"/>
              </w:rPr>
              <w:t>95</w:t>
            </w:r>
          </w:p>
        </w:tc>
        <w:tc>
          <w:tcPr>
            <w:tcW w:type="dxa" w:w="1400"/>
            <w:shd w:fill="FAFBFC"/>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shd w:fill="FAFBFC"/>
            <w:tcMar>
              <w:top w:w="80" w:type="dxa"/>
              <w:start w:w="120" w:type="dxa"/>
              <w:bottom w:w="80" w:type="dxa"/>
              <w:end w:w="120" w:type="dxa"/>
            </w:tcMar>
            <w:vAlign w:val="center"/>
          </w:tcPr>
          <w:p>
            <w:pPr>
              <w:jc w:val="left"/>
            </w:pPr>
            <w:r>
              <w:rPr>
                <w:rFonts w:ascii="Calibri" w:hAnsi="Calibri"/>
                <w:b w:val="0"/>
                <w:color w:val="1F2937"/>
                <w:sz w:val="18"/>
              </w:rPr>
              <w:t>Handlers, validación, GIS e importación</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SG.Web.Tests</w:t>
            </w:r>
          </w:p>
        </w:tc>
        <w:tc>
          <w:tcPr>
            <w:tcW w:type="dxa" w:w="1000"/>
            <w:tcMar>
              <w:top w:w="80" w:type="dxa"/>
              <w:start w:w="120" w:type="dxa"/>
              <w:bottom w:w="80" w:type="dxa"/>
              <w:end w:w="120" w:type="dxa"/>
            </w:tcMar>
            <w:vAlign w:val="center"/>
          </w:tcPr>
          <w:p>
            <w:pPr>
              <w:jc w:val="center"/>
            </w:pPr>
            <w:r>
              <w:rPr>
                <w:rFonts w:ascii="Calibri" w:hAnsi="Calibri"/>
                <w:b w:val="0"/>
                <w:color w:val="1F2937"/>
                <w:sz w:val="18"/>
              </w:rPr>
              <w:t>26</w:t>
            </w:r>
          </w:p>
        </w:tc>
        <w:tc>
          <w:tcPr>
            <w:tcW w:type="dxa" w:w="1400"/>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Sesión, visor, búsqueda y croquis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SG.Api.IntegrationTests</w:t>
            </w:r>
          </w:p>
        </w:tc>
        <w:tc>
          <w:tcPr>
            <w:tcW w:type="dxa" w:w="1000"/>
            <w:shd w:fill="FAFBFC"/>
            <w:tcMar>
              <w:top w:w="80" w:type="dxa"/>
              <w:start w:w="120" w:type="dxa"/>
              <w:bottom w:w="80" w:type="dxa"/>
              <w:end w:w="120" w:type="dxa"/>
            </w:tcMar>
            <w:vAlign w:val="center"/>
          </w:tcPr>
          <w:p>
            <w:pPr>
              <w:jc w:val="center"/>
            </w:pPr>
            <w:r>
              <w:rPr>
                <w:rFonts w:ascii="Calibri" w:hAnsi="Calibri"/>
                <w:b w:val="0"/>
                <w:color w:val="1F2937"/>
                <w:sz w:val="18"/>
              </w:rPr>
              <w:t>63</w:t>
            </w:r>
          </w:p>
        </w:tc>
        <w:tc>
          <w:tcPr>
            <w:tcW w:type="dxa" w:w="1400"/>
            <w:shd w:fill="FAFBFC"/>
            <w:tcMar>
              <w:top w:w="80" w:type="dxa"/>
              <w:start w:w="120" w:type="dxa"/>
              <w:bottom w:w="80" w:type="dxa"/>
              <w:end w:w="120" w:type="dxa"/>
            </w:tcMar>
            <w:vAlign w:val="center"/>
          </w:tcPr>
          <w:p>
            <w:pPr>
              <w:jc w:val="center"/>
            </w:pPr>
            <w:r>
              <w:rPr>
                <w:rFonts w:ascii="Calibri" w:hAnsi="Calibri"/>
                <w:b/>
                <w:color w:val="2F7D32"/>
                <w:sz w:val="18"/>
              </w:rPr>
              <w:t>Verde</w:t>
            </w:r>
          </w:p>
        </w:tc>
        <w:tc>
          <w:tcPr>
            <w:tcW w:type="dxa" w:w="4260"/>
            <w:shd w:fill="FAFBFC"/>
            <w:tcMar>
              <w:top w:w="80" w:type="dxa"/>
              <w:start w:w="120" w:type="dxa"/>
              <w:bottom w:w="80" w:type="dxa"/>
              <w:end w:w="120" w:type="dxa"/>
            </w:tcMar>
            <w:vAlign w:val="center"/>
          </w:tcPr>
          <w:p>
            <w:pPr>
              <w:jc w:val="left"/>
            </w:pPr>
            <w:r>
              <w:rPr>
                <w:rFonts w:ascii="Calibri" w:hAnsi="Calibri"/>
                <w:b w:val="0"/>
                <w:color w:val="1F2937"/>
                <w:sz w:val="18"/>
              </w:rPr>
              <w:t>PostgreSQL/PostGIS real mediante Testcontainers</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SG.Web.E2E</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independiente</w:t>
            </w:r>
          </w:p>
        </w:tc>
        <w:tc>
          <w:tcPr>
            <w:tcW w:type="dxa" w:w="1400"/>
            <w:tcMar>
              <w:top w:w="80" w:type="dxa"/>
              <w:start w:w="120" w:type="dxa"/>
              <w:bottom w:w="80" w:type="dxa"/>
              <w:end w:w="120" w:type="dxa"/>
            </w:tcMar>
            <w:vAlign w:val="center"/>
          </w:tcPr>
          <w:p>
            <w:pPr>
              <w:jc w:val="center"/>
            </w:pPr>
            <w:r>
              <w:rPr>
                <w:rFonts w:ascii="Calibri" w:hAnsi="Calibri"/>
                <w:b/>
                <w:color w:val="1F2937"/>
                <w:sz w:val="18"/>
              </w:rPr>
              <w:t>No ejecutado</w:t>
            </w:r>
          </w:p>
        </w:tc>
        <w:tc>
          <w:tcPr>
            <w:tcW w:type="dxa" w:w="4260"/>
            <w:tcMar>
              <w:top w:w="80" w:type="dxa"/>
              <w:start w:w="120" w:type="dxa"/>
              <w:bottom w:w="80" w:type="dxa"/>
              <w:end w:w="120" w:type="dxa"/>
            </w:tcMar>
            <w:vAlign w:val="center"/>
          </w:tcPr>
          <w:p>
            <w:pPr>
              <w:jc w:val="left"/>
            </w:pPr>
            <w:r>
              <w:rPr>
                <w:rFonts w:ascii="Calibri" w:hAnsi="Calibri"/>
                <w:b w:val="0"/>
                <w:color w:val="1F2937"/>
                <w:sz w:val="18"/>
              </w:rPr>
              <w:t>Requiere stack/auth/browser; fuera de SG.slnx</w:t>
            </w:r>
          </w:p>
        </w:tc>
      </w:tr>
    </w:tbl>
    <w:p>
      <w:pPr>
        <w:spacing w:before="80" w:after="80"/>
      </w:pPr>
      <w:r>
        <w:rPr>
          <w:rFonts w:ascii="Calibri" w:hAnsi="Calibri"/>
          <w:i/>
          <w:color w:val="5F6B7A"/>
          <w:sz w:val="17"/>
        </w:rPr>
        <w:t>Fuente: dotnet test src\backend\SG.slnx --no-build.</w:t>
      </w:r>
    </w:p>
    <w:p>
      <w:pPr>
        <w:pStyle w:val="Heading2"/>
      </w:pPr>
      <w:r>
        <w:t>2.3 Límites</w:t>
      </w:r>
    </w:p>
    <w:p>
      <w:pPr>
        <w:pStyle w:val="ListBullet"/>
      </w:pPr>
      <w:r>
        <w:rPr>
          <w:rFonts w:ascii="Calibri" w:hAnsi="Calibri"/>
          <w:color w:val="1F2937"/>
          <w:sz w:val="22"/>
        </w:rPr>
        <w:t>No se ejecutó GDAL: el frente DGN pertenece a OSGeo4W en la máquina del orquestador.</w:t>
      </w:r>
    </w:p>
    <w:p>
      <w:pPr>
        <w:pStyle w:val="ListBullet"/>
      </w:pPr>
      <w:r>
        <w:rPr>
          <w:rFonts w:ascii="Calibri" w:hAnsi="Calibri"/>
          <w:color w:val="1F2937"/>
          <w:sz w:val="22"/>
        </w:rPr>
        <w:t>No se validó operación remota ni VPS; la evidencia es local.</w:t>
      </w:r>
    </w:p>
    <w:p>
      <w:pPr>
        <w:pStyle w:val="ListBullet"/>
      </w:pPr>
      <w:r>
        <w:rPr>
          <w:rFonts w:ascii="Calibri" w:hAnsi="Calibri"/>
          <w:color w:val="1F2937"/>
          <w:sz w:val="22"/>
        </w:rPr>
        <w:t>No se atribuye validez oficial a valores catastrales, catálogos o fórmulas pendientes del GAM.</w:t>
      </w:r>
    </w:p>
    <w:p>
      <w:pPr>
        <w:pStyle w:val="ListBullet"/>
      </w:pPr>
      <w:r>
        <w:rPr>
          <w:rFonts w:ascii="Calibri" w:hAnsi="Calibri"/>
          <w:color w:val="1F2937"/>
          <w:sz w:val="22"/>
        </w:rPr>
        <w:t>Los porcentajes de avance no se inventan: el informe usa estados discretos por entregable.</w:t>
      </w:r>
    </w:p>
    <w:p>
      <w:pPr>
        <w:pStyle w:val="ListBullet"/>
      </w:pPr>
      <w:r>
        <w:rPr>
          <w:rFonts w:ascii="Calibri" w:hAnsi="Calibri"/>
          <w:color w:val="1F2937"/>
          <w:sz w:val="22"/>
        </w:rPr>
        <w:t>Las recomendaciones regulatorias deben revisarse con asesoría jurídica y autoridades competentes.</w:t>
      </w:r>
    </w:p>
    <w:p>
      <w:pPr>
        <w:pStyle w:val="Heading1"/>
      </w:pPr>
      <w:r>
        <w:t>3. Qué sistema se está construyendo</w:t>
      </w:r>
    </w:p>
    <w:p>
      <w:pPr/>
      <w:r>
        <w:rPr>
          <w:rFonts w:ascii="Calibri" w:hAnsi="Calibri"/>
          <w:i w:val="0"/>
          <w:color w:val="1F2937"/>
          <w:sz w:val="22"/>
        </w:rPr>
        <w:t>El objetivo es un sistema institucional de gestión catastral municipal, no un visor aislado. El producto final debe conectar identidad territorial, predios, propietarios, geometría, valuación, trámites, certificados, documentos, auditoría, consulta, recaudación y operación multi-municipio sin perder linaje.</w:t>
      </w:r>
    </w:p>
    <w:p>
      <w:pPr>
        <w:pStyle w:val="Heading2"/>
      </w:pPr>
      <w:r>
        <w:t>3.1 Principios ya materializados</w:t>
      </w:r>
    </w:p>
    <w:p>
      <w:pPr>
        <w:pStyle w:val="ListBullet"/>
      </w:pPr>
      <w:r>
        <w:rPr>
          <w:rFonts w:ascii="Calibri" w:hAnsi="Calibri"/>
          <w:color w:val="1F2937"/>
          <w:sz w:val="22"/>
        </w:rPr>
        <w:t>Clean Architecture: dominio independiente, casos de uso en Application, adaptadores en Infrastructure y API como borde.</w:t>
      </w:r>
    </w:p>
    <w:p>
      <w:pPr>
        <w:pStyle w:val="ListBullet"/>
      </w:pPr>
      <w:r>
        <w:rPr>
          <w:rFonts w:ascii="Calibri" w:hAnsi="Calibri"/>
          <w:color w:val="1F2937"/>
          <w:sz w:val="22"/>
        </w:rPr>
        <w:t>Geometría institucional en EPSG:32719 y PostGIS como fuente espacial.</w:t>
      </w:r>
    </w:p>
    <w:p>
      <w:pPr>
        <w:pStyle w:val="ListBullet"/>
      </w:pPr>
      <w:r>
        <w:rPr>
          <w:rFonts w:ascii="Calibri" w:hAnsi="Calibri"/>
          <w:color w:val="1F2937"/>
          <w:sz w:val="22"/>
        </w:rPr>
        <w:t>Versionado de cartografía mediante DatasetVersion y selección explícita de versión activa.</w:t>
      </w:r>
    </w:p>
    <w:p>
      <w:pPr>
        <w:pStyle w:val="ListBullet"/>
      </w:pPr>
      <w:r>
        <w:rPr>
          <w:rFonts w:ascii="Calibri" w:hAnsi="Calibri"/>
          <w:color w:val="1F2937"/>
          <w:sz w:val="22"/>
        </w:rPr>
        <w:t>Datos operativos separados del snapshot cartográfico.</w:t>
      </w:r>
    </w:p>
    <w:p>
      <w:pPr>
        <w:pStyle w:val="ListBullet"/>
      </w:pPr>
      <w:r>
        <w:rPr>
          <w:rFonts w:ascii="Calibri" w:hAnsi="Calibri"/>
          <w:color w:val="1F2937"/>
          <w:sz w:val="22"/>
        </w:rPr>
        <w:t>Auditoría automática e inmutable mediante interceptor y trigger.</w:t>
      </w:r>
    </w:p>
    <w:p>
      <w:pPr>
        <w:pStyle w:val="ListBullet"/>
      </w:pPr>
      <w:r>
        <w:rPr>
          <w:rFonts w:ascii="Calibri" w:hAnsi="Calibri"/>
          <w:color w:val="1F2937"/>
          <w:sz w:val="22"/>
        </w:rPr>
        <w:t>Municipio identificado por geocódigo INE y esquemas de capas dirigidos por datos.</w:t>
      </w:r>
    </w:p>
    <w:p>
      <w:pPr>
        <w:pStyle w:val="ListBullet"/>
      </w:pPr>
      <w:r>
        <w:rPr>
          <w:rFonts w:ascii="Calibri" w:hAnsi="Calibri"/>
          <w:color w:val="1F2937"/>
          <w:sz w:val="22"/>
        </w:rPr>
        <w:t>Evidencia antes que opinión: preview, gates, ADR y pruebas.</w:t>
      </w:r>
    </w:p>
    <w:p>
      <w:pPr>
        <w:jc w:val="center"/>
      </w:pPr>
      <w:r>
        <w:drawing>
          <wp:inline xmlns:a="http://schemas.openxmlformats.org/drawingml/2006/main" xmlns:pic="http://schemas.openxmlformats.org/drawingml/2006/picture">
            <wp:extent cx="5715000" cy="3556000"/>
            <wp:docPr id="2" name="Picture 2" descr="Diagrama de capas de SG_SAUL_CATASTRO y persistencia." title="Figura 2. Arquitectura lógica vigente."/>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5715000" cy="3556000"/>
                    </a:xfrm>
                    <a:prstGeom prst="rect"/>
                  </pic:spPr>
                </pic:pic>
              </a:graphicData>
            </a:graphic>
          </wp:inline>
        </w:drawing>
      </w:r>
    </w:p>
    <w:p>
      <w:pPr>
        <w:spacing w:before="40" w:after="160"/>
        <w:jc w:val="center"/>
      </w:pPr>
      <w:r>
        <w:rPr>
          <w:rFonts w:ascii="Calibri" w:hAnsi="Calibri"/>
          <w:i/>
          <w:color w:val="5F6B7A"/>
          <w:sz w:val="18"/>
        </w:rPr>
        <w:t>Figura 2. Arquitectura lógica vigente.</w:t>
      </w:r>
    </w:p>
    <w:p>
      <w:pPr>
        <w:pStyle w:val="Heading2"/>
      </w:pPr>
      <w:r>
        <w:t>3.2 Stack real y observación documental</w:t>
      </w:r>
    </w:p>
    <w:p>
      <w:pPr/>
      <w:r>
        <w:rPr>
          <w:rFonts w:ascii="Calibri" w:hAnsi="Calibri"/>
          <w:i w:val="0"/>
          <w:color w:val="1F2937"/>
          <w:sz w:val="22"/>
        </w:rPr>
        <w:t>El stack real del frontend es Blazor WebAssembly sobre .NET 10 con MapLibre GL JS vía interop, de acuerdo con ADR 0046 y el código actual. La sección 3 de AGENTS.md todavía enumera React/Vite/TypeScript/Ant Design. Esta divergencia debe corregirse: el archivo declarado como fuente de verdad no puede contradecir la arquitectura implementada.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CORRECCIÓN PRIORITARIA DE DOCUMENTACIÓN</w:t>
            </w:r>
          </w:p>
          <w:p>
            <w:pPr>
              <w:spacing w:after="0"/>
            </w:pPr>
            <w:r>
              <w:rPr>
                <w:rFonts w:ascii="Calibri" w:hAnsi="Calibri"/>
                <w:color w:val="1F2937"/>
                <w:sz w:val="21"/>
              </w:rPr>
              <w:t>Actualizar AGENTS.md para reflejar Blazor WASM y la topología real. Mantener reglas históricas de React como vigentes aumenta el riesgo de que una futura tarea introduzca un segundo frontend incompatible.</w:t>
            </w:r>
          </w:p>
        </w:tc>
      </w:tr>
    </w:tbl>
    <w:p>
      <w:pPr>
        <w:spacing w:after="0"/>
      </w:pPr>
    </w:p>
    <w:p>
      <w:pPr>
        <w:pStyle w:val="Heading1"/>
      </w:pPr>
      <w:r>
        <w:t>4. Todo lo realizado en el proyecto</w:t>
      </w:r>
    </w:p>
    <w:p>
      <w:pPr>
        <w:pStyle w:val="Heading2"/>
      </w:pPr>
      <w:r>
        <w:t>4.1 Fundación, repositorio y calidad</w:t>
      </w:r>
    </w:p>
    <w:p>
      <w:pPr>
        <w:pStyle w:val="ListBullet"/>
      </w:pPr>
      <w:r>
        <w:rPr>
          <w:rFonts w:ascii="Calibri" w:hAnsi="Calibri"/>
          <w:color w:val="1F2937"/>
          <w:sz w:val="22"/>
        </w:rPr>
        <w:t>Estructura inicial, Git, line endings, .editorconfig, Docker Compose y CI.</w:t>
      </w:r>
    </w:p>
    <w:p>
      <w:pPr>
        <w:pStyle w:val="ListBullet"/>
      </w:pPr>
      <w:r>
        <w:rPr>
          <w:rFonts w:ascii="Calibri" w:hAnsi="Calibri"/>
          <w:color w:val="1F2937"/>
          <w:sz w:val="22"/>
        </w:rPr>
        <w:t>Solución .NET 10 en SG.slnx con proyectos separados por capa.</w:t>
      </w:r>
    </w:p>
    <w:p>
      <w:pPr>
        <w:pStyle w:val="ListBullet"/>
      </w:pPr>
      <w:r>
        <w:rPr>
          <w:rFonts w:ascii="Calibri" w:hAnsi="Calibri"/>
          <w:color w:val="1F2937"/>
          <w:sz w:val="22"/>
        </w:rPr>
        <w:t>Central Package Management, warnings como errores y política de licencias.</w:t>
      </w:r>
    </w:p>
    <w:p>
      <w:pPr>
        <w:pStyle w:val="ListBullet"/>
      </w:pPr>
      <w:r>
        <w:rPr>
          <w:rFonts w:ascii="Calibri" w:hAnsi="Calibri"/>
          <w:color w:val="1F2937"/>
          <w:sz w:val="22"/>
        </w:rPr>
        <w:t>Gitleaks local/CI, política de no exposición y rotación de secretos.</w:t>
      </w:r>
    </w:p>
    <w:p>
      <w:pPr>
        <w:pStyle w:val="ListBullet"/>
      </w:pPr>
      <w:r>
        <w:rPr>
          <w:rFonts w:ascii="Calibri" w:hAnsi="Calibri"/>
          <w:color w:val="1F2937"/>
          <w:sz w:val="22"/>
        </w:rPr>
        <w:t>Política de ramas: develop integra; main representa el release estable.</w:t>
      </w:r>
    </w:p>
    <w:p>
      <w:pPr>
        <w:pStyle w:val="ListBullet"/>
      </w:pPr>
      <w:r>
        <w:rPr>
          <w:rFonts w:ascii="Calibri" w:hAnsi="Calibri"/>
          <w:color w:val="1F2937"/>
          <w:sz w:val="22"/>
        </w:rPr>
        <w:t>Wrappers canónicos de SQL y commit para reducir errores operativos.</w:t>
      </w:r>
    </w:p>
    <w:p>
      <w:pPr>
        <w:pStyle w:val="Heading2"/>
      </w:pPr>
      <w:r>
        <w:t>4.2 Identidad, seguridad y auditoría</w:t>
      </w:r>
    </w:p>
    <w:p>
      <w:pPr>
        <w:pStyle w:val="ListBullet"/>
      </w:pPr>
      <w:r>
        <w:rPr>
          <w:rFonts w:ascii="Calibri" w:hAnsi="Calibri"/>
          <w:color w:val="1F2937"/>
          <w:sz w:val="22"/>
        </w:rPr>
        <w:t>ASP.NET Core Identity, BCrypt, JWT corto, refresh tokens rotables y revocables.</w:t>
      </w:r>
    </w:p>
    <w:p>
      <w:pPr>
        <w:pStyle w:val="ListBullet"/>
      </w:pPr>
      <w:r>
        <w:rPr>
          <w:rFonts w:ascii="Calibri" w:hAnsi="Calibri"/>
          <w:color w:val="1F2937"/>
          <w:sz w:val="22"/>
        </w:rPr>
        <w:t>Endpoints login, refresh, logout y me.</w:t>
      </w:r>
    </w:p>
    <w:p>
      <w:pPr>
        <w:pStyle w:val="ListBullet"/>
      </w:pPr>
      <w:r>
        <w:rPr>
          <w:rFonts w:ascii="Calibri" w:hAnsi="Calibri"/>
          <w:color w:val="1F2937"/>
          <w:sz w:val="22"/>
        </w:rPr>
        <w:t>Seeder fail-fast: no inventa credenciales por defecto.</w:t>
      </w:r>
    </w:p>
    <w:p>
      <w:pPr>
        <w:pStyle w:val="ListBullet"/>
      </w:pPr>
      <w:r>
        <w:rPr>
          <w:rFonts w:ascii="Calibri" w:hAnsi="Calibri"/>
          <w:color w:val="1F2937"/>
          <w:sz w:val="22"/>
        </w:rPr>
        <w:t>Autorización por roles/claims en API y visor.</w:t>
      </w:r>
    </w:p>
    <w:p>
      <w:pPr>
        <w:pStyle w:val="ListBullet"/>
      </w:pPr>
      <w:r>
        <w:rPr>
          <w:rFonts w:ascii="Calibri" w:hAnsi="Calibri"/>
          <w:color w:val="1F2937"/>
          <w:sz w:val="22"/>
        </w:rPr>
        <w:t>Auditoría append-only con doble defensa: interceptor EF Core y trigger de base.</w:t>
      </w:r>
    </w:p>
    <w:p>
      <w:pPr>
        <w:pStyle w:val="ListBullet"/>
      </w:pPr>
      <w:r>
        <w:rPr>
          <w:rFonts w:ascii="Calibri" w:hAnsi="Calibri"/>
          <w:color w:val="1F2937"/>
          <w:sz w:val="22"/>
        </w:rPr>
        <w:t>Registro de incidentes de secretos y endurecimiento SCRAM-SHA-256.</w:t>
      </w:r>
    </w:p>
    <w:p>
      <w:pPr>
        <w:pStyle w:val="Heading2"/>
      </w:pPr>
      <w:r>
        <w:t>4.3 Núcleo catastral</w:t>
      </w:r>
    </w:p>
    <w:p>
      <w:pPr>
        <w:pStyle w:val="ListBullet"/>
      </w:pPr>
      <w:r>
        <w:rPr>
          <w:rFonts w:ascii="Calibri" w:hAnsi="Calibri"/>
          <w:color w:val="1F2937"/>
          <w:sz w:val="22"/>
        </w:rPr>
        <w:t>Predio como agregado con estado, historial y actualización desde importación.</w:t>
      </w:r>
    </w:p>
    <w:p>
      <w:pPr>
        <w:pStyle w:val="ListBullet"/>
      </w:pPr>
      <w:r>
        <w:rPr>
          <w:rFonts w:ascii="Calibri" w:hAnsi="Calibri"/>
          <w:color w:val="1F2937"/>
          <w:sz w:val="22"/>
        </w:rPr>
        <w:t>Propietarios naturales/jurídicos y relación histórica predio–propietario.</w:t>
      </w:r>
    </w:p>
    <w:p>
      <w:pPr>
        <w:pStyle w:val="ListBullet"/>
      </w:pPr>
      <w:r>
        <w:rPr>
          <w:rFonts w:ascii="Calibri" w:hAnsi="Calibri"/>
          <w:color w:val="1F2937"/>
          <w:sz w:val="22"/>
        </w:rPr>
        <w:t>Código catastral, ubicación y geometría como value objects.</w:t>
      </w:r>
    </w:p>
    <w:p>
      <w:pPr>
        <w:pStyle w:val="ListBullet"/>
      </w:pPr>
      <w:r>
        <w:rPr>
          <w:rFonts w:ascii="Calibri" w:hAnsi="Calibri"/>
          <w:color w:val="1F2937"/>
          <w:sz w:val="22"/>
        </w:rPr>
        <w:t>Construcciones, documentos y soft delete.</w:t>
      </w:r>
    </w:p>
    <w:p>
      <w:pPr>
        <w:pStyle w:val="ListBullet"/>
      </w:pPr>
      <w:r>
        <w:rPr>
          <w:rFonts w:ascii="Calibri" w:hAnsi="Calibri"/>
          <w:color w:val="1F2937"/>
          <w:sz w:val="22"/>
        </w:rPr>
        <w:t>Endpoints CRUD, asignación de propietario, geometría, código oficial, estados e historial.</w:t>
      </w:r>
    </w:p>
    <w:p>
      <w:pPr>
        <w:pStyle w:val="ListBullet"/>
      </w:pPr>
      <w:r>
        <w:rPr>
          <w:rFonts w:ascii="Calibri" w:hAnsi="Calibri"/>
          <w:color w:val="1F2937"/>
          <w:sz w:val="22"/>
        </w:rPr>
        <w:t>Dimensión municipal en el maestro y unicidad activa por municipio + tripleta.</w:t>
      </w:r>
    </w:p>
    <w:p>
      <w:pPr>
        <w:pStyle w:val="Heading2"/>
      </w:pPr>
      <w:r>
        <w:t>4.4 Importación y versionado</w:t>
      </w:r>
    </w:p>
    <w:p>
      <w:pPr>
        <w:pStyle w:val="ListBullet"/>
      </w:pPr>
      <w:r>
        <w:rPr>
          <w:rFonts w:ascii="Calibri" w:hAnsi="Calibri"/>
          <w:color w:val="1F2937"/>
          <w:sz w:val="22"/>
        </w:rPr>
        <w:t>Perfiles configurables, mapeos de columnas y equivalencias.</w:t>
      </w:r>
    </w:p>
    <w:p>
      <w:pPr>
        <w:pStyle w:val="ListBullet"/>
      </w:pPr>
      <w:r>
        <w:rPr>
          <w:rFonts w:ascii="Calibri" w:hAnsi="Calibri"/>
          <w:color w:val="1F2937"/>
          <w:sz w:val="22"/>
        </w:rPr>
        <w:t>Preview tradicional y confirmación para importaciones.</w:t>
      </w:r>
    </w:p>
    <w:p>
      <w:pPr>
        <w:pStyle w:val="ListBullet"/>
      </w:pPr>
      <w:r>
        <w:rPr>
          <w:rFonts w:ascii="Calibri" w:hAnsi="Calibri"/>
          <w:color w:val="1F2937"/>
          <w:sz w:val="22"/>
        </w:rPr>
        <w:t>DatasetVersion, estados EnCarga/PreviewListo/Activa/Archivada/Fallida/Descartada.</w:t>
      </w:r>
    </w:p>
    <w:p>
      <w:pPr>
        <w:pStyle w:val="ListBullet"/>
      </w:pPr>
      <w:r>
        <w:rPr>
          <w:rFonts w:ascii="Calibri" w:hAnsi="Calibri"/>
          <w:color w:val="1F2937"/>
          <w:sz w:val="22"/>
        </w:rPr>
        <w:t>Carga asíncrona con paquete persistido en MinIO y recuperación tras reinicio.</w:t>
      </w:r>
    </w:p>
    <w:p>
      <w:pPr>
        <w:pStyle w:val="ListBullet"/>
      </w:pPr>
      <w:r>
        <w:rPr>
          <w:rFonts w:ascii="Calibri" w:hAnsi="Calibri"/>
          <w:color w:val="1F2937"/>
          <w:sz w:val="22"/>
        </w:rPr>
        <w:t>Inspector de ZIP, validación previa y control de SHP/DBF/SHX/PRJ.</w:t>
      </w:r>
    </w:p>
    <w:p>
      <w:pPr>
        <w:pStyle w:val="ListBullet"/>
      </w:pPr>
      <w:r>
        <w:rPr>
          <w:rFonts w:ascii="Calibri" w:hAnsi="Calibri"/>
          <w:color w:val="1F2937"/>
          <w:sz w:val="22"/>
        </w:rPr>
        <w:t>Siete capas de Uyuni y tipos adicionales de Caranavi.</w:t>
      </w:r>
    </w:p>
    <w:p>
      <w:pPr>
        <w:pStyle w:val="ListBullet"/>
      </w:pPr>
      <w:r>
        <w:rPr>
          <w:rFonts w:ascii="Calibri" w:hAnsi="Calibri"/>
          <w:color w:val="1F2937"/>
          <w:sz w:val="22"/>
        </w:rPr>
        <w:t>Tolerancia controlada de geometrías nulas, multipartes e inválidas recuperables.</w:t>
      </w:r>
    </w:p>
    <w:p>
      <w:pPr>
        <w:pStyle w:val="ListBullet"/>
      </w:pPr>
      <w:r>
        <w:rPr>
          <w:rFonts w:ascii="Calibri" w:hAnsi="Calibri"/>
          <w:color w:val="1F2937"/>
          <w:sz w:val="22"/>
        </w:rPr>
        <w:t>Activación atómica, reconciliación predial y archivo de la versión anterior.</w:t>
      </w:r>
    </w:p>
    <w:p>
      <w:pPr>
        <w:pStyle w:val="ListBullet"/>
      </w:pPr>
      <w:r>
        <w:rPr>
          <w:rFonts w:ascii="Calibri" w:hAnsi="Calibri"/>
          <w:color w:val="1F2937"/>
          <w:sz w:val="22"/>
        </w:rPr>
        <w:t>Endpoint de descarte de versiones no activadas.</w:t>
      </w:r>
    </w:p>
    <w:p>
      <w:pPr>
        <w:pStyle w:val="Heading2"/>
      </w:pPr>
      <w:r>
        <w:t>4.5 GIS y visor</w:t>
      </w:r>
    </w:p>
    <w:p>
      <w:pPr>
        <w:pStyle w:val="ListBullet"/>
      </w:pPr>
      <w:r>
        <w:rPr>
          <w:rFonts w:ascii="Calibri" w:hAnsi="Calibri"/>
          <w:color w:val="1F2937"/>
          <w:sz w:val="22"/>
        </w:rPr>
        <w:t>Índices espaciales y tiles MVT on-the-fly con ST_AsMVT.</w:t>
      </w:r>
    </w:p>
    <w:p>
      <w:pPr>
        <w:pStyle w:val="ListBullet"/>
      </w:pPr>
      <w:r>
        <w:rPr>
          <w:rFonts w:ascii="Calibri" w:hAnsi="Calibri"/>
          <w:color w:val="1F2937"/>
          <w:sz w:val="22"/>
        </w:rPr>
        <w:t>ETag fuerte dependiente de municipio, versión, capa y tile.</w:t>
      </w:r>
    </w:p>
    <w:p>
      <w:pPr>
        <w:pStyle w:val="ListBullet"/>
      </w:pPr>
      <w:r>
        <w:rPr>
          <w:rFonts w:ascii="Calibri" w:hAnsi="Calibri"/>
          <w:color w:val="1F2937"/>
          <w:sz w:val="22"/>
        </w:rPr>
        <w:t>Visor Blazor con MapLibre, capas conmutables y bbox municipal derivado de geometrías activas.</w:t>
      </w:r>
    </w:p>
    <w:p>
      <w:pPr>
        <w:pStyle w:val="ListBullet"/>
      </w:pPr>
      <w:r>
        <w:rPr>
          <w:rFonts w:ascii="Calibri" w:hAnsi="Calibri"/>
          <w:color w:val="1F2937"/>
          <w:sz w:val="22"/>
        </w:rPr>
        <w:t>Hot-swap municipal sin perder el token en memoria.</w:t>
      </w:r>
    </w:p>
    <w:p>
      <w:pPr>
        <w:pStyle w:val="ListBullet"/>
      </w:pPr>
      <w:r>
        <w:rPr>
          <w:rFonts w:ascii="Calibri" w:hAnsi="Calibri"/>
          <w:color w:val="1F2937"/>
          <w:sz w:val="22"/>
        </w:rPr>
        <w:t>Búsqueda por tripleta, ficha predial y resaltado del predio.</w:t>
      </w:r>
    </w:p>
    <w:p>
      <w:pPr>
        <w:pStyle w:val="ListBullet"/>
      </w:pPr>
      <w:r>
        <w:rPr>
          <w:rFonts w:ascii="Calibri" w:hAnsi="Calibri"/>
          <w:color w:val="1F2937"/>
          <w:sz w:val="22"/>
        </w:rPr>
        <w:t>Croquis SVG imprimible con geometría planar, barra gráfica, norte de cuadrícula, SRID y fecha de Bolivia.</w:t>
      </w:r>
    </w:p>
    <w:p>
      <w:pPr>
        <w:pStyle w:val="ListBullet"/>
      </w:pPr>
      <w:r>
        <w:rPr>
          <w:rFonts w:ascii="Calibri" w:hAnsi="Calibri"/>
          <w:color w:val="1F2937"/>
          <w:sz w:val="22"/>
        </w:rPr>
        <w:t>Capacidades del visor derivadas del esquema municipal: Caranavi puede mostrar capas sin inventar ficha predial.</w:t>
      </w:r>
    </w:p>
    <w:p>
      <w:pPr>
        <w:pStyle w:val="Heading2"/>
      </w:pPr>
      <w:r>
        <w:t>4.6 Datos reales y control de calidad</w:t>
      </w:r>
    </w:p>
    <w:p>
      <w:pPr>
        <w:pStyle w:val="ListBullet"/>
      </w:pPr>
      <w:r>
        <w:rPr>
          <w:rFonts w:ascii="Calibri" w:hAnsi="Calibri"/>
          <w:color w:val="1F2937"/>
          <w:sz w:val="22"/>
        </w:rPr>
        <w:t>Uyuni: siete capas, 35.013 objetos y 11.985 parcelas activas.</w:t>
      </w:r>
    </w:p>
    <w:p>
      <w:pPr>
        <w:pStyle w:val="ListBullet"/>
      </w:pPr>
      <w:r>
        <w:rPr>
          <w:rFonts w:ascii="Calibri" w:hAnsi="Calibri"/>
          <w:color w:val="1F2937"/>
          <w:sz w:val="22"/>
        </w:rPr>
        <w:t>Recuperación de 32 geometrías inválidas crudas; separación O1 de nulos genuinos O4.</w:t>
      </w:r>
    </w:p>
    <w:p>
      <w:pPr>
        <w:pStyle w:val="ListBullet"/>
      </w:pPr>
      <w:r>
        <w:rPr>
          <w:rFonts w:ascii="Calibri" w:hAnsi="Calibri"/>
          <w:color w:val="1F2937"/>
          <w:sz w:val="22"/>
        </w:rPr>
        <w:t>Informes GAM de calidad para Uyuni v1/v2 y Caranavi v1.</w:t>
      </w:r>
    </w:p>
    <w:p>
      <w:pPr>
        <w:pStyle w:val="ListBullet"/>
      </w:pPr>
      <w:r>
        <w:rPr>
          <w:rFonts w:ascii="Calibri" w:hAnsi="Calibri"/>
          <w:color w:val="1F2937"/>
          <w:sz w:val="22"/>
        </w:rPr>
        <w:t>Caranavi: manzanas, áreas urbanas y puntos geodésicos activos.</w:t>
      </w:r>
    </w:p>
    <w:p>
      <w:pPr>
        <w:pStyle w:val="ListBullet"/>
      </w:pPr>
      <w:r>
        <w:rPr>
          <w:rFonts w:ascii="Calibri" w:hAnsi="Calibri"/>
          <w:color w:val="1F2937"/>
          <w:sz w:val="22"/>
        </w:rPr>
        <w:t>Reglas DGN/GDAL cosechadas en AGENTS.md 17-ter con cadena de custodia de artefactos.</w:t>
      </w:r>
    </w:p>
    <w:p>
      <w:pPr>
        <w:pStyle w:val="Heading2"/>
      </w:pPr>
      <w:r>
        <w:t>4.7 Releases e hitos</w:t>
      </w:r>
    </w:p>
    <w:p>
      <w:pPr>
        <w:spacing w:before="80" w:after="80"/>
      </w:pPr>
      <w:r>
        <w:rPr>
          <w:rFonts w:ascii="Calibri" w:hAnsi="Calibri"/>
          <w:b/>
          <w:color w:val="0B2545"/>
          <w:sz w:val="19"/>
        </w:rPr>
        <w:t>Tabla 3. Releases y fase de datos</w:t>
      </w:r>
    </w:p>
    <w:tbl>
      <w:tblPr>
        <w:tblStyle w:val="TableGrid"/>
        <w:tblW w:type="dxa" w:w="9360"/>
        <w:jc w:val="left"/>
        <w:tblLayout w:type="fixed"/>
        <w:tblLook w:firstColumn="1" w:firstRow="1" w:lastColumn="0" w:lastRow="0" w:noHBand="0" w:noVBand="1" w:val="04A0"/>
        <w:tblInd w:w="120" w:type="dxa"/>
      </w:tblPr>
      <w:tblGrid>
        <w:gridCol w:w="2100"/>
        <w:gridCol w:w="5560"/>
        <w:gridCol w:w="1700"/>
      </w:tblGrid>
      <w:tr>
        <w:trPr>
          <w:tblHeader w:val="true"/>
        </w:trPr>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Tag/hito</w:t>
            </w:r>
          </w:p>
        </w:tc>
        <w:tc>
          <w:tcPr>
            <w:tcW w:type="dxa" w:w="5560"/>
            <w:shd w:fill="F2F4F7"/>
            <w:tcMar>
              <w:top w:w="80" w:type="dxa"/>
              <w:start w:w="120" w:type="dxa"/>
              <w:bottom w:w="80" w:type="dxa"/>
              <w:end w:w="120" w:type="dxa"/>
            </w:tcMar>
            <w:vAlign w:val="center"/>
          </w:tcPr>
          <w:p>
            <w:pPr>
              <w:jc w:val="left"/>
            </w:pPr>
            <w:r>
              <w:rPr>
                <w:rFonts w:ascii="Calibri" w:hAnsi="Calibri"/>
                <w:b/>
                <w:color w:val="0B2545"/>
                <w:sz w:val="18"/>
              </w:rPr>
              <w:t>Contenido principal</w:t>
            </w:r>
          </w:p>
        </w:tc>
        <w:tc>
          <w:tcPr>
            <w:tcW w:type="dxa" w:w="1700"/>
            <w:shd w:fill="F2F4F7"/>
            <w:tcMar>
              <w:top w:w="80" w:type="dxa"/>
              <w:start w:w="120" w:type="dxa"/>
              <w:bottom w:w="80" w:type="dxa"/>
              <w:end w:w="120" w:type="dxa"/>
            </w:tcMar>
            <w:vAlign w:val="center"/>
          </w:tcPr>
          <w:p>
            <w:pPr>
              <w:jc w:val="center"/>
            </w:pPr>
            <w:r>
              <w:rPr>
                <w:rFonts w:ascii="Calibri" w:hAnsi="Calibri"/>
                <w:b/>
                <w:color w:val="0B2545"/>
                <w:sz w:val="18"/>
              </w:rPr>
              <w:t>Estado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v0.1.0-mvp-backend</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Esqueleto backend y base operativa</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v0.1.2 / v0.1.3</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Checkpoints de identidad, seguridad y pruebas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v0.2.0-catastro-base</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Dominio catastral y API</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v0.3.0-importacion-shapefile</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Importación configurable SHP</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v0.4.0-fase1-nucleo-versionado</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DatasetVersion, async, preview y activación</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v0.5.0-fase2-visor</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MVT, visor, búsqueda, ficha y croquis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v0.6.0-fase3a-multimunicipio</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INE, esquemas municipales y hot-swap</w:t>
            </w:r>
          </w:p>
        </w:tc>
        <w:tc>
          <w:tcPr>
            <w:tcW w:type="dxa" w:w="1700"/>
            <w:tcMar>
              <w:top w:w="80" w:type="dxa"/>
              <w:start w:w="120" w:type="dxa"/>
              <w:bottom w:w="80" w:type="dxa"/>
              <w:end w:w="120" w:type="dxa"/>
            </w:tcMar>
            <w:vAlign w:val="center"/>
          </w:tcPr>
          <w:p>
            <w:pPr>
              <w:jc w:val="center"/>
            </w:pPr>
            <w:r>
              <w:rPr>
                <w:rFonts w:ascii="Calibri" w:hAnsi="Calibri"/>
                <w:b/>
                <w:color w:val="2F7D32"/>
                <w:sz w:val="18"/>
              </w:rPr>
              <w:t>Cerrado</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Fase 3.B.1–3.B.6</w:t>
            </w:r>
          </w:p>
        </w:tc>
        <w:tc>
          <w:tcPr>
            <w:tcW w:type="dxa" w:w="5560"/>
            <w:shd w:fill="FAFBFC"/>
            <w:tcMar>
              <w:top w:w="80" w:type="dxa"/>
              <w:start w:w="120" w:type="dxa"/>
              <w:bottom w:w="80" w:type="dxa"/>
              <w:end w:w="120" w:type="dxa"/>
            </w:tcMar>
            <w:vAlign w:val="center"/>
          </w:tcPr>
          <w:p>
            <w:pPr>
              <w:jc w:val="left"/>
            </w:pPr>
            <w:r>
              <w:rPr>
                <w:rFonts w:ascii="Calibri" w:hAnsi="Calibri"/>
                <w:b w:val="0"/>
                <w:color w:val="1F2937"/>
                <w:sz w:val="18"/>
              </w:rPr>
              <w:t>Padrón predial Caranavi desde DGN</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Fase 3.B.7</w:t>
            </w:r>
          </w:p>
        </w:tc>
        <w:tc>
          <w:tcPr>
            <w:tcW w:type="dxa" w:w="5560"/>
            <w:tcMar>
              <w:top w:w="80" w:type="dxa"/>
              <w:start w:w="120" w:type="dxa"/>
              <w:bottom w:w="80" w:type="dxa"/>
              <w:end w:w="120" w:type="dxa"/>
            </w:tcMar>
            <w:vAlign w:val="center"/>
          </w:tcPr>
          <w:p>
            <w:pPr>
              <w:jc w:val="left"/>
            </w:pPr>
            <w:r>
              <w:rPr>
                <w:rFonts w:ascii="Calibri" w:hAnsi="Calibri"/>
                <w:b w:val="0"/>
                <w:color w:val="1F2937"/>
                <w:sz w:val="18"/>
              </w:rPr>
              <w:t>Importación y activación segura del padrón</w:t>
            </w:r>
          </w:p>
        </w:tc>
        <w:tc>
          <w:tcPr>
            <w:tcW w:type="dxa" w:w="1700"/>
            <w:tcMar>
              <w:top w:w="80" w:type="dxa"/>
              <w:start w:w="120" w:type="dxa"/>
              <w:bottom w:w="80" w:type="dxa"/>
              <w:end w:w="120" w:type="dxa"/>
            </w:tcMar>
            <w:vAlign w:val="center"/>
          </w:tcPr>
          <w:p>
            <w:pPr>
              <w:jc w:val="center"/>
            </w:pPr>
            <w:r>
              <w:rPr>
                <w:rFonts w:ascii="Calibri" w:hAnsi="Calibri"/>
                <w:b/>
                <w:color w:val="9B1C1C"/>
                <w:sz w:val="18"/>
              </w:rPr>
              <w:t>Bloqueado</w:t>
            </w:r>
          </w:p>
        </w:tc>
      </w:tr>
    </w:tbl>
    <w:p>
      <w:pPr>
        <w:spacing w:before="80" w:after="80"/>
      </w:pPr>
      <w:r>
        <w:rPr>
          <w:rFonts w:ascii="Calibri" w:hAnsi="Calibri"/>
          <w:i/>
          <w:color w:val="5F6B7A"/>
          <w:sz w:val="17"/>
        </w:rPr>
        <w:t>Fuente: git tag, git log y documentos de cierre.</w:t>
      </w:r>
    </w:p>
    <w:p>
      <w:pPr>
        <w:pStyle w:val="Heading1"/>
      </w:pPr>
      <w:r>
        <w:t>5. Situación exacta al 24 de julio de 2026</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18"/>
              </w:rPr>
              <w:t>PUNTO ACTUAL</w:t>
            </w:r>
          </w:p>
          <w:p>
            <w:pPr>
              <w:spacing w:after="0"/>
            </w:pPr>
            <w:r>
              <w:rPr>
                <w:rFonts w:ascii="Calibri" w:hAnsi="Calibri"/>
                <w:color w:val="1F2937"/>
                <w:sz w:val="21"/>
              </w:rPr>
              <w:t>La plataforma base y el visor multimunicipio están construidos. El trabajo de datos de Caranavi 3.B.1–3.B.6 está cerrado. Falta definir y ejecutar 3.B.7 sin romper la semántica de versión completa ni ocultar las capas base activas.</w:t>
            </w:r>
          </w:p>
        </w:tc>
      </w:tr>
    </w:tbl>
    <w:p>
      <w:pPr>
        <w:spacing w:after="0"/>
      </w:pPr>
    </w:p>
    <w:p>
      <w:pPr>
        <w:pStyle w:val="Heading2"/>
      </w:pPr>
      <w:r>
        <w:t>5.1 Estado operativo de la base local</w:t>
      </w:r>
    </w:p>
    <w:p>
      <w:pPr>
        <w:spacing w:before="80" w:after="80"/>
      </w:pPr>
      <w:r>
        <w:rPr>
          <w:rFonts w:ascii="Calibri" w:hAnsi="Calibri"/>
          <w:b/>
          <w:color w:val="0B2545"/>
          <w:sz w:val="19"/>
        </w:rPr>
        <w:t>Tabla 4. DatasetVersion activa por municipio</w:t>
      </w:r>
    </w:p>
    <w:tbl>
      <w:tblPr>
        <w:tblStyle w:val="TableGrid"/>
        <w:tblW w:type="dxa" w:w="9360"/>
        <w:jc w:val="left"/>
        <w:tblLayout w:type="fixed"/>
        <w:tblLook w:firstColumn="1" w:firstRow="1" w:lastColumn="0" w:lastRow="0" w:noHBand="0" w:noVBand="1" w:val="04A0"/>
        <w:tblInd w:w="120" w:type="dxa"/>
      </w:tblPr>
      <w:tblGrid>
        <w:gridCol w:w="2050"/>
        <w:gridCol w:w="2600"/>
        <w:gridCol w:w="4710"/>
      </w:tblGrid>
      <w:tr>
        <w:trPr>
          <w:tblHeader w:val="true"/>
        </w:trPr>
        <w:tc>
          <w:tcPr>
            <w:tcW w:type="dxa" w:w="2050"/>
            <w:shd w:fill="F2F4F7"/>
            <w:tcMar>
              <w:top w:w="80" w:type="dxa"/>
              <w:start w:w="120" w:type="dxa"/>
              <w:bottom w:w="80" w:type="dxa"/>
              <w:end w:w="120" w:type="dxa"/>
            </w:tcMar>
            <w:vAlign w:val="center"/>
          </w:tcPr>
          <w:p>
            <w:pPr>
              <w:jc w:val="center"/>
            </w:pPr>
            <w:r>
              <w:rPr>
                <w:rFonts w:ascii="Calibri" w:hAnsi="Calibri"/>
                <w:b/>
                <w:color w:val="0B2545"/>
                <w:sz w:val="18"/>
              </w:rPr>
              <w:t>Municipio</w:t>
            </w:r>
          </w:p>
        </w:tc>
        <w:tc>
          <w:tcPr>
            <w:tcW w:type="dxa" w:w="2600"/>
            <w:shd w:fill="F2F4F7"/>
            <w:tcMar>
              <w:top w:w="80" w:type="dxa"/>
              <w:start w:w="120" w:type="dxa"/>
              <w:bottom w:w="80" w:type="dxa"/>
              <w:end w:w="120" w:type="dxa"/>
            </w:tcMar>
            <w:vAlign w:val="center"/>
          </w:tcPr>
          <w:p>
            <w:pPr>
              <w:jc w:val="center"/>
            </w:pPr>
            <w:r>
              <w:rPr>
                <w:rFonts w:ascii="Calibri" w:hAnsi="Calibri"/>
                <w:b/>
                <w:color w:val="0B2545"/>
                <w:sz w:val="18"/>
              </w:rPr>
              <w:t>Versión activa</w:t>
            </w:r>
          </w:p>
        </w:tc>
        <w:tc>
          <w:tcPr>
            <w:tcW w:type="dxa" w:w="4710"/>
            <w:shd w:fill="F2F4F7"/>
            <w:tcMar>
              <w:top w:w="80" w:type="dxa"/>
              <w:start w:w="120" w:type="dxa"/>
              <w:bottom w:w="80" w:type="dxa"/>
              <w:end w:w="120" w:type="dxa"/>
            </w:tcMar>
            <w:vAlign w:val="center"/>
          </w:tcPr>
          <w:p>
            <w:pPr>
              <w:jc w:val="center"/>
            </w:pPr>
            <w:r>
              <w:rPr>
                <w:rFonts w:ascii="Calibri" w:hAnsi="Calibri"/>
                <w:b/>
                <w:color w:val="0B2545"/>
                <w:sz w:val="18"/>
              </w:rPr>
              <w:t>Capas y conteos</w:t>
            </w:r>
          </w:p>
        </w:tc>
      </w:tr>
      <w:tr>
        <w:tc>
          <w:tcPr>
            <w:tcW w:type="dxa" w:w="2050"/>
            <w:tcMar>
              <w:top w:w="80" w:type="dxa"/>
              <w:start w:w="120" w:type="dxa"/>
              <w:bottom w:w="80" w:type="dxa"/>
              <w:end w:w="120" w:type="dxa"/>
            </w:tcMar>
            <w:vAlign w:val="center"/>
          </w:tcPr>
          <w:p>
            <w:pPr>
              <w:jc w:val="left"/>
            </w:pPr>
            <w:r>
              <w:rPr>
                <w:rFonts w:ascii="Calibri" w:hAnsi="Calibri"/>
                <w:b w:val="0"/>
                <w:color w:val="1F2937"/>
                <w:sz w:val="18"/>
              </w:rPr>
              <w:t>Caranavi (022001)</w:t>
            </w:r>
          </w:p>
        </w:tc>
        <w:tc>
          <w:tcPr>
            <w:tcW w:type="dxa" w:w="2600"/>
            <w:tcMar>
              <w:top w:w="80" w:type="dxa"/>
              <w:start w:w="120" w:type="dxa"/>
              <w:bottom w:w="80" w:type="dxa"/>
              <w:end w:w="120" w:type="dxa"/>
            </w:tcMar>
            <w:vAlign w:val="center"/>
          </w:tcPr>
          <w:p>
            <w:pPr>
              <w:jc w:val="left"/>
            </w:pPr>
            <w:r>
              <w:rPr>
                <w:rFonts w:ascii="Calibri" w:hAnsi="Calibri"/>
                <w:b w:val="0"/>
                <w:color w:val="1F2937"/>
                <w:sz w:val="18"/>
              </w:rPr>
              <w:t>v2 · 04685793… · 17/07/2026</w:t>
            </w:r>
          </w:p>
        </w:tc>
        <w:tc>
          <w:tcPr>
            <w:tcW w:type="dxa" w:w="4710"/>
            <w:tcMar>
              <w:top w:w="80" w:type="dxa"/>
              <w:start w:w="120" w:type="dxa"/>
              <w:bottom w:w="80" w:type="dxa"/>
              <w:end w:w="120" w:type="dxa"/>
            </w:tcMar>
            <w:vAlign w:val="center"/>
          </w:tcPr>
          <w:p>
            <w:pPr>
              <w:jc w:val="left"/>
            </w:pPr>
            <w:r>
              <w:rPr>
                <w:rFonts w:ascii="Calibri" w:hAnsi="Calibri"/>
                <w:b w:val="0"/>
                <w:color w:val="1F2937"/>
                <w:sz w:val="18"/>
              </w:rPr>
              <w:t>637 manzanas · 17 áreas urbanas · 33 puntos geodésicos · 0 predios</w:t>
            </w:r>
          </w:p>
        </w:tc>
      </w:tr>
      <w:tr>
        <w:tc>
          <w:tcPr>
            <w:tcW w:type="dxa" w:w="2050"/>
            <w:shd w:fill="FAFBFC"/>
            <w:tcMar>
              <w:top w:w="80" w:type="dxa"/>
              <w:start w:w="120" w:type="dxa"/>
              <w:bottom w:w="80" w:type="dxa"/>
              <w:end w:w="120" w:type="dxa"/>
            </w:tcMar>
            <w:vAlign w:val="center"/>
          </w:tcPr>
          <w:p>
            <w:pPr>
              <w:jc w:val="left"/>
            </w:pPr>
            <w:r>
              <w:rPr>
                <w:rFonts w:ascii="Calibri" w:hAnsi="Calibri"/>
                <w:b w:val="0"/>
                <w:color w:val="1F2937"/>
                <w:sz w:val="18"/>
              </w:rPr>
              <w:t>Uyuni (051201)</w:t>
            </w:r>
          </w:p>
        </w:tc>
        <w:tc>
          <w:tcPr>
            <w:tcW w:type="dxa" w:w="2600"/>
            <w:shd w:fill="FAFBFC"/>
            <w:tcMar>
              <w:top w:w="80" w:type="dxa"/>
              <w:start w:w="120" w:type="dxa"/>
              <w:bottom w:w="80" w:type="dxa"/>
              <w:end w:w="120" w:type="dxa"/>
            </w:tcMar>
            <w:vAlign w:val="center"/>
          </w:tcPr>
          <w:p>
            <w:pPr>
              <w:jc w:val="left"/>
            </w:pPr>
            <w:r>
              <w:rPr>
                <w:rFonts w:ascii="Calibri" w:hAnsi="Calibri"/>
                <w:b w:val="0"/>
                <w:color w:val="1F2937"/>
                <w:sz w:val="18"/>
              </w:rPr>
              <w:t>v3 · b6934919… · 14/07/2026</w:t>
            </w:r>
          </w:p>
        </w:tc>
        <w:tc>
          <w:tcPr>
            <w:tcW w:type="dxa" w:w="4710"/>
            <w:shd w:fill="FAFBFC"/>
            <w:tcMar>
              <w:top w:w="80" w:type="dxa"/>
              <w:start w:w="120" w:type="dxa"/>
              <w:bottom w:w="80" w:type="dxa"/>
              <w:end w:w="120" w:type="dxa"/>
            </w:tcMar>
            <w:vAlign w:val="center"/>
          </w:tcPr>
          <w:p>
            <w:pPr>
              <w:jc w:val="left"/>
            </w:pPr>
            <w:r>
              <w:rPr>
                <w:rFonts w:ascii="Calibri" w:hAnsi="Calibri"/>
                <w:b w:val="0"/>
                <w:color w:val="1F2937"/>
                <w:sz w:val="18"/>
              </w:rPr>
              <w:t>11.985 parcelas · 18.484 edificaciones · 2.352 no fotografiados · 684 manzanas · 6 distritos · 9 zonas · 1.493 vías</w:t>
            </w:r>
          </w:p>
        </w:tc>
      </w:tr>
    </w:tbl>
    <w:p>
      <w:pPr>
        <w:spacing w:before="80" w:after="80"/>
      </w:pPr>
      <w:r>
        <w:rPr>
          <w:rFonts w:ascii="Calibri" w:hAnsi="Calibri"/>
          <w:i/>
          <w:color w:val="5F6B7A"/>
          <w:sz w:val="17"/>
        </w:rPr>
        <w:t>Fuente: consulta SQL de solo lectura ejecutada mediante scripts/sql.ps1.</w:t>
      </w:r>
    </w:p>
    <w:p>
      <w:pPr>
        <w:pStyle w:val="Heading2"/>
      </w:pPr>
      <w:r>
        <w:t>5.2 Fase 3.B: resultados</w:t>
      </w:r>
    </w:p>
    <w:p>
      <w:pPr>
        <w:jc w:val="center"/>
      </w:pPr>
      <w:r>
        <w:drawing>
          <wp:inline xmlns:a="http://schemas.openxmlformats.org/drawingml/2006/main" xmlns:pic="http://schemas.openxmlformats.org/drawingml/2006/picture">
            <wp:extent cx="5715000" cy="3111500"/>
            <wp:docPr id="3" name="Picture 3" descr="Flujo DGN a shapefile con conteos y bloqueo actual." title="Figura 3. Linaje y conteos canónicos de 3.B."/>
            <wp:cNvGraphicFramePr>
              <a:graphicFrameLocks noChangeAspect="1"/>
            </wp:cNvGraphicFramePr>
            <a:graphic>
              <a:graphicData uri="http://schemas.openxmlformats.org/drawingml/2006/picture">
                <pic:pic>
                  <pic:nvPicPr>
                    <pic:cNvPr id="0" name="fase3b.png"/>
                    <pic:cNvPicPr/>
                  </pic:nvPicPr>
                  <pic:blipFill>
                    <a:blip r:embed="rId13"/>
                    <a:stretch>
                      <a:fillRect/>
                    </a:stretch>
                  </pic:blipFill>
                  <pic:spPr>
                    <a:xfrm>
                      <a:off x="0" y="0"/>
                      <a:ext cx="5715000" cy="3111500"/>
                    </a:xfrm>
                    <a:prstGeom prst="rect"/>
                  </pic:spPr>
                </pic:pic>
              </a:graphicData>
            </a:graphic>
          </wp:inline>
        </w:drawing>
      </w:r>
    </w:p>
    <w:p>
      <w:pPr>
        <w:spacing w:before="40" w:after="160"/>
        <w:jc w:val="center"/>
      </w:pPr>
      <w:r>
        <w:rPr>
          <w:rFonts w:ascii="Calibri" w:hAnsi="Calibri"/>
          <w:i/>
          <w:color w:val="5F6B7A"/>
          <w:sz w:val="18"/>
        </w:rPr>
        <w:t>Figura 3. Linaje y conteos canónicos de 3.B.</w:t>
      </w:r>
    </w:p>
    <w:p>
      <w:pPr>
        <w:spacing w:before="80" w:after="80"/>
      </w:pPr>
      <w:r>
        <w:rPr>
          <w:rFonts w:ascii="Calibri" w:hAnsi="Calibri"/>
          <w:b/>
          <w:color w:val="0B2545"/>
          <w:sz w:val="19"/>
        </w:rPr>
        <w:t>Tabla 5. Estado detallado de la fase 3.B</w:t>
      </w:r>
    </w:p>
    <w:tbl>
      <w:tblPr>
        <w:tblStyle w:val="TableGrid"/>
        <w:tblW w:type="dxa" w:w="9360"/>
        <w:jc w:val="left"/>
        <w:tblLayout w:type="fixed"/>
        <w:tblLook w:firstColumn="1" w:firstRow="1" w:lastColumn="0" w:lastRow="0" w:noHBand="0" w:noVBand="1" w:val="04A0"/>
        <w:tblInd w:w="120" w:type="dxa"/>
      </w:tblPr>
      <w:tblGrid>
        <w:gridCol w:w="1900"/>
        <w:gridCol w:w="5760"/>
        <w:gridCol w:w="1700"/>
      </w:tblGrid>
      <w:tr>
        <w:trPr>
          <w:tblHeader w:val="true"/>
        </w:trPr>
        <w:tc>
          <w:tcPr>
            <w:tcW w:type="dxa" w:w="1900"/>
            <w:shd w:fill="F2F4F7"/>
            <w:tcMar>
              <w:top w:w="80" w:type="dxa"/>
              <w:start w:w="120" w:type="dxa"/>
              <w:bottom w:w="80" w:type="dxa"/>
              <w:end w:w="120" w:type="dxa"/>
            </w:tcMar>
            <w:vAlign w:val="center"/>
          </w:tcPr>
          <w:p>
            <w:pPr>
              <w:jc w:val="center"/>
            </w:pPr>
            <w:r>
              <w:rPr>
                <w:rFonts w:ascii="Calibri" w:hAnsi="Calibri"/>
                <w:b/>
                <w:color w:val="0B2545"/>
                <w:sz w:val="18"/>
              </w:rPr>
              <w:t>Subetapa</w:t>
            </w:r>
          </w:p>
        </w:tc>
        <w:tc>
          <w:tcPr>
            <w:tcW w:type="dxa" w:w="5760"/>
            <w:shd w:fill="F2F4F7"/>
            <w:tcMar>
              <w:top w:w="80" w:type="dxa"/>
              <w:start w:w="120" w:type="dxa"/>
              <w:bottom w:w="80" w:type="dxa"/>
              <w:end w:w="120" w:type="dxa"/>
            </w:tcMar>
            <w:vAlign w:val="center"/>
          </w:tcPr>
          <w:p>
            <w:pPr>
              <w:jc w:val="left"/>
            </w:pPr>
            <w:r>
              <w:rPr>
                <w:rFonts w:ascii="Calibri" w:hAnsi="Calibri"/>
                <w:b/>
                <w:color w:val="0B2545"/>
                <w:sz w:val="18"/>
              </w:rPr>
              <w:t>Resultado verificable</w:t>
            </w:r>
          </w:p>
        </w:tc>
        <w:tc>
          <w:tcPr>
            <w:tcW w:type="dxa" w:w="1700"/>
            <w:shd w:fill="F2F4F7"/>
            <w:tcMar>
              <w:top w:w="80" w:type="dxa"/>
              <w:start w:w="120" w:type="dxa"/>
              <w:bottom w:w="80" w:type="dxa"/>
              <w:end w:w="120" w:type="dxa"/>
            </w:tcMar>
            <w:vAlign w:val="center"/>
          </w:tcPr>
          <w:p>
            <w:pPr>
              <w:jc w:val="center"/>
            </w:pPr>
            <w:r>
              <w:rPr>
                <w:rFonts w:ascii="Calibri" w:hAnsi="Calibri"/>
                <w:b/>
                <w:color w:val="0B2545"/>
                <w:sz w:val="18"/>
              </w:rPr>
              <w:t>Estado</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3.B.1 Extracción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122.073 elementos DGN → 126.165 features; siete niveles materializados</w:t>
            </w:r>
          </w:p>
        </w:tc>
        <w:tc>
          <w:tcPr>
            <w:tcW w:type="dxa" w:w="1700"/>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3.B.2 Saneo</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6.950 polígonos → 6.946; 4 degenerados excluidos; 0 inválidas</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3.B.3 Numeración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6.573 predios únicos; 4.504 con un texto; 742 textos huérfanos</w:t>
            </w:r>
          </w:p>
        </w:tc>
        <w:tc>
          <w:tcPr>
            <w:tcW w:type="dxa" w:w="1700"/>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3.B.4 Tripleta parcial</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4.486 cod_pred (68,2 %); cod_man/cod_uv = NULL; colisión máxima 478</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3.B.5 Level 34</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Diferible; no necesario para primer padrón</w:t>
            </w:r>
          </w:p>
        </w:tc>
        <w:tc>
          <w:tcPr>
            <w:tcW w:type="dxa" w:w="1700"/>
            <w:tcMar>
              <w:top w:w="80" w:type="dxa"/>
              <w:start w:w="120" w:type="dxa"/>
              <w:bottom w:w="80" w:type="dxa"/>
              <w:end w:w="120" w:type="dxa"/>
            </w:tcMar>
            <w:vAlign w:val="center"/>
          </w:tcPr>
          <w:p>
            <w:pPr>
              <w:jc w:val="center"/>
            </w:pPr>
            <w:r>
              <w:rPr>
                <w:rFonts w:ascii="Calibri" w:hAnsi="Calibri"/>
                <w:b/>
                <w:color w:val="1F2937"/>
                <w:sz w:val="18"/>
              </w:rPr>
              <w:t>Pendiente diferido</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3.B.6 Shapefile</w:t>
            </w:r>
          </w:p>
        </w:tc>
        <w:tc>
          <w:tcPr>
            <w:tcW w:type="dxa" w:w="5760"/>
            <w:shd w:fill="FAFBFC"/>
            <w:tcMar>
              <w:top w:w="80" w:type="dxa"/>
              <w:start w:w="120" w:type="dxa"/>
              <w:bottom w:w="80" w:type="dxa"/>
              <w:end w:w="120" w:type="dxa"/>
            </w:tcMar>
            <w:vAlign w:val="center"/>
          </w:tcPr>
          <w:p>
            <w:pPr>
              <w:jc w:val="left"/>
            </w:pPr>
            <w:r>
              <w:rPr>
                <w:rFonts w:ascii="Calibri" w:hAnsi="Calibri"/>
                <w:b w:val="0"/>
                <w:color w:val="1F2937"/>
                <w:sz w:val="18"/>
              </w:rPr>
              <w:t>PRE_NOF_CAR: 6.573; cod_pred 4.486; cod_geo 022001; EPSG:32719</w:t>
            </w:r>
          </w:p>
        </w:tc>
        <w:tc>
          <w:tcPr>
            <w:tcW w:type="dxa" w:w="1700"/>
            <w:shd w:fill="FAFBFC"/>
            <w:tcMar>
              <w:top w:w="80" w:type="dxa"/>
              <w:start w:w="120" w:type="dxa"/>
              <w:bottom w:w="80" w:type="dxa"/>
              <w:end w:w="120" w:type="dxa"/>
            </w:tcMar>
            <w:vAlign w:val="center"/>
          </w:tcPr>
          <w:p>
            <w:pPr>
              <w:jc w:val="center"/>
            </w:pPr>
            <w:r>
              <w:rPr>
                <w:rFonts w:ascii="Calibri" w:hAnsi="Calibri"/>
                <w:b/>
                <w:color w:val="2F7D32"/>
                <w:sz w:val="18"/>
              </w:rPr>
              <w:t>Completado</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3.B.7 Importación</w:t>
            </w:r>
          </w:p>
        </w:tc>
        <w:tc>
          <w:tcPr>
            <w:tcW w:type="dxa" w:w="5760"/>
            <w:tcMar>
              <w:top w:w="80" w:type="dxa"/>
              <w:start w:w="120" w:type="dxa"/>
              <w:bottom w:w="80" w:type="dxa"/>
              <w:end w:w="120" w:type="dxa"/>
            </w:tcMar>
            <w:vAlign w:val="center"/>
          </w:tcPr>
          <w:p>
            <w:pPr>
              <w:jc w:val="left"/>
            </w:pPr>
            <w:r>
              <w:rPr>
                <w:rFonts w:ascii="Calibri" w:hAnsi="Calibri"/>
                <w:b w:val="0"/>
                <w:color w:val="1F2937"/>
                <w:sz w:val="18"/>
              </w:rPr>
              <w:t>No ejecutada; requiere decisión de composición de versión</w:t>
            </w:r>
          </w:p>
        </w:tc>
        <w:tc>
          <w:tcPr>
            <w:tcW w:type="dxa" w:w="1700"/>
            <w:tcMar>
              <w:top w:w="80" w:type="dxa"/>
              <w:start w:w="120" w:type="dxa"/>
              <w:bottom w:w="80" w:type="dxa"/>
              <w:end w:w="120" w:type="dxa"/>
            </w:tcMar>
            <w:vAlign w:val="center"/>
          </w:tcPr>
          <w:p>
            <w:pPr>
              <w:jc w:val="center"/>
            </w:pPr>
            <w:r>
              <w:rPr>
                <w:rFonts w:ascii="Calibri" w:hAnsi="Calibri"/>
                <w:b/>
                <w:color w:val="9B1C1C"/>
                <w:sz w:val="18"/>
              </w:rPr>
              <w:t>Bloqueado</w:t>
            </w:r>
          </w:p>
        </w:tc>
      </w:tr>
    </w:tbl>
    <w:p>
      <w:pPr>
        <w:spacing w:before="80" w:after="80"/>
      </w:pPr>
      <w:r>
        <w:rPr>
          <w:rFonts w:ascii="Calibri" w:hAnsi="Calibri"/>
          <w:i/>
          <w:color w:val="5F6B7A"/>
          <w:sz w:val="17"/>
        </w:rPr>
        <w:t>Fuente: EXTRACCION_CANONICA_3B1, SANEO_PADRON_3B2, ASOCIACION_NUMERACION_3B3, TRIPLETA_PARCIAL_3B4 y GENERACION_SHAPEFILE_3B6.</w:t>
      </w:r>
    </w:p>
    <w:p>
      <w:pPr>
        <w:pStyle w:val="Heading2"/>
      </w:pPr>
      <w:r>
        <w:t>5.3 Calidad e identidad del padrón de Caranavi</w:t>
      </w:r>
    </w:p>
    <w:p>
      <w:pPr>
        <w:pStyle w:val="ListBullet"/>
      </w:pPr>
      <w:r>
        <w:rPr>
          <w:rFonts w:ascii="Calibri" w:hAnsi="Calibri"/>
          <w:color w:val="1F2937"/>
          <w:sz w:val="22"/>
        </w:rPr>
        <w:t>El padrón final contiene 6.573 geometrías únicas y saneadas.</w:t>
      </w:r>
    </w:p>
    <w:p>
      <w:pPr>
        <w:pStyle w:val="ListBullet"/>
      </w:pPr>
      <w:r>
        <w:rPr>
          <w:rFonts w:ascii="Calibri" w:hAnsi="Calibri"/>
          <w:color w:val="1F2937"/>
          <w:sz w:val="22"/>
        </w:rPr>
        <w:t>4.486 predios tienen cod_pred recuperado; 2.087 no lo tienen.</w:t>
      </w:r>
    </w:p>
    <w:p>
      <w:pPr>
        <w:pStyle w:val="ListBullet"/>
      </w:pPr>
      <w:r>
        <w:rPr>
          <w:rFonts w:ascii="Calibri" w:hAnsi="Calibri"/>
          <w:color w:val="1F2937"/>
          <w:sz w:val="22"/>
        </w:rPr>
        <w:t>cod_man y cod_uv no existen en la fuente y no deben inventarse.</w:t>
      </w:r>
    </w:p>
    <w:p>
      <w:pPr>
        <w:pStyle w:val="ListBullet"/>
      </w:pPr>
      <w:r>
        <w:rPr>
          <w:rFonts w:ascii="Calibri" w:hAnsi="Calibri"/>
          <w:color w:val="1F2937"/>
          <w:sz w:val="22"/>
        </w:rPr>
        <w:t>Solo hay 96 valores distintos de cod_pred; 82 se repiten y el valor 1 aparece en 478 predios.</w:t>
      </w:r>
    </w:p>
    <w:p>
      <w:pPr>
        <w:pStyle w:val="ListBullet"/>
      </w:pPr>
      <w:r>
        <w:rPr>
          <w:rFonts w:ascii="Calibri" w:hAnsi="Calibri"/>
          <w:color w:val="1F2937"/>
          <w:sz w:val="22"/>
        </w:rPr>
        <w:t>La capa predios_no_fotografiados tolera tripleta incompleta y es adecuada como staging cartográfico, no como identidad maestra definitiva.</w:t>
      </w:r>
    </w:p>
    <w:p>
      <w:pPr>
        <w:pStyle w:val="ListBullet"/>
      </w:pPr>
      <w:r>
        <w:rPr>
          <w:rFonts w:ascii="Calibri" w:hAnsi="Calibri"/>
          <w:color w:val="1F2937"/>
          <w:sz w:val="22"/>
        </w:rPr>
        <w:t>El sufijo de subdivisión quedó fuera del shapefile porque el modelo CapaPredioNoFotografiado no tiene campo; permanece en la evidencia temporal.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E9E9"/>
          </w:tcPr>
          <w:p>
            <w:pPr>
              <w:spacing w:after="40"/>
            </w:pPr>
            <w:r>
              <w:rPr>
                <w:rFonts w:ascii="Calibri" w:hAnsi="Calibri"/>
                <w:b/>
                <w:color w:val="9B1C1C"/>
                <w:sz w:val="18"/>
              </w:rPr>
              <w:t>RIESGO DE IDENTIDAD</w:t>
            </w:r>
          </w:p>
          <w:p>
            <w:pPr>
              <w:spacing w:after="0"/>
            </w:pPr>
            <w:r>
              <w:rPr>
                <w:rFonts w:ascii="Calibri" w:hAnsi="Calibri"/>
                <w:color w:val="1F2937"/>
                <w:sz w:val="21"/>
              </w:rPr>
              <w:t>No se debe promover este padrón al maestro predial ni habilitar búsqueda/ficha por tripleta hasta completar cod_uv y cod_man o aprobar un modelo de identidad provisional con discriminador estable y trazable.</w:t>
            </w:r>
          </w:p>
        </w:tc>
      </w:tr>
    </w:tbl>
    <w:p>
      <w:pPr>
        <w:spacing w:after="0"/>
      </w:pPr>
    </w:p>
    <w:p>
      <w:pPr>
        <w:pStyle w:val="Heading1"/>
      </w:pPr>
      <w:r>
        <w:t>6. Diagnóstico corregido de 3.B.7</w:t>
      </w:r>
    </w:p>
    <w:p>
      <w:pPr>
        <w:jc w:val="center"/>
      </w:pPr>
      <w:r>
        <w:drawing>
          <wp:inline xmlns:a="http://schemas.openxmlformats.org/drawingml/2006/main" xmlns:pic="http://schemas.openxmlformats.org/drawingml/2006/picture">
            <wp:extent cx="5715000" cy="3333750"/>
            <wp:docPr id="4" name="Picture 4" descr="Flujo del endpoint, inspector, carga, DatasetVersion y activación." title="Figura 4. Pipeline actual y decisión faltante."/>
            <wp:cNvGraphicFramePr>
              <a:graphicFrameLocks noChangeAspect="1"/>
            </wp:cNvGraphicFramePr>
            <a:graphic>
              <a:graphicData uri="http://schemas.openxmlformats.org/drawingml/2006/picture">
                <pic:pic>
                  <pic:nvPicPr>
                    <pic:cNvPr id="0" name="pipeline_gap.png"/>
                    <pic:cNvPicPr/>
                  </pic:nvPicPr>
                  <pic:blipFill>
                    <a:blip r:embed="rId14"/>
                    <a:stretch>
                      <a:fillRect/>
                    </a:stretch>
                  </pic:blipFill>
                  <pic:spPr>
                    <a:xfrm>
                      <a:off x="0" y="0"/>
                      <a:ext cx="5715000" cy="3333750"/>
                    </a:xfrm>
                    <a:prstGeom prst="rect"/>
                  </pic:spPr>
                </pic:pic>
              </a:graphicData>
            </a:graphic>
          </wp:inline>
        </w:drawing>
      </w:r>
    </w:p>
    <w:p>
      <w:pPr>
        <w:spacing w:before="40" w:after="160"/>
        <w:jc w:val="center"/>
      </w:pPr>
      <w:r>
        <w:rPr>
          <w:rFonts w:ascii="Calibri" w:hAnsi="Calibri"/>
          <w:i/>
          <w:color w:val="5F6B7A"/>
          <w:sz w:val="18"/>
        </w:rPr>
        <w:t>Figura 4. Pipeline actual y decisión faltante.</w:t>
      </w:r>
    </w:p>
    <w:p>
      <w:pPr>
        <w:pStyle w:val="Heading2"/>
      </w:pPr>
      <w:r>
        <w:t>6.1 Qué sí está verificado en código</w:t>
      </w:r>
    </w:p>
    <w:p>
      <w:pPr>
        <w:pStyle w:val="ListBullet"/>
      </w:pPr>
      <w:r>
        <w:rPr>
          <w:rFonts w:ascii="Calibri" w:hAnsi="Calibri"/>
          <w:color w:val="1F2937"/>
          <w:sz w:val="22"/>
        </w:rPr>
        <w:t>El endpoint recibe municipio_codigo y paquete; no recibe perfil_codigo.</w:t>
      </w:r>
    </w:p>
    <w:p>
      <w:pPr>
        <w:pStyle w:val="ListBullet"/>
      </w:pPr>
      <w:r>
        <w:rPr>
          <w:rFonts w:ascii="Calibri" w:hAnsi="Calibri"/>
          <w:color w:val="1F2937"/>
          <w:sz w:val="22"/>
        </w:rPr>
        <w:t>El handler obtiene el esquema municipal completo y resuelve cada perfil por NombrePerfil.</w:t>
      </w:r>
    </w:p>
    <w:p>
      <w:pPr>
        <w:pStyle w:val="ListBullet"/>
      </w:pPr>
      <w:r>
        <w:rPr>
          <w:rFonts w:ascii="Calibri" w:hAnsi="Calibri"/>
          <w:color w:val="1F2937"/>
          <w:sz w:val="22"/>
        </w:rPr>
        <w:t>El inspector permite omitir una capa Obligatoria=false cuando no aparece ningún componente.</w:t>
      </w:r>
    </w:p>
    <w:p>
      <w:pPr>
        <w:pStyle w:val="ListBullet"/>
      </w:pPr>
      <w:r>
        <w:rPr>
          <w:rFonts w:ascii="Calibri" w:hAnsi="Calibri"/>
          <w:color w:val="1F2937"/>
          <w:sz w:val="22"/>
        </w:rPr>
        <w:t>Si una capa opcional aparece, exige SHP/DBF/SHX/PRJ coherentes.</w:t>
      </w:r>
    </w:p>
    <w:p>
      <w:pPr>
        <w:pStyle w:val="ListBullet"/>
      </w:pPr>
      <w:r>
        <w:rPr>
          <w:rFonts w:ascii="Calibri" w:hAnsi="Calibri"/>
          <w:color w:val="1F2937"/>
          <w:sz w:val="22"/>
        </w:rPr>
        <w:t>CargaVersionadaServicio consume dinámicamente los perfiles del esquema y tiene un case explícito para TipoCapa.PrediosNoFotografiados.</w:t>
      </w:r>
    </w:p>
    <w:p>
      <w:pPr>
        <w:pStyle w:val="ListBullet"/>
      </w:pPr>
      <w:r>
        <w:rPr>
          <w:rFonts w:ascii="Calibri" w:hAnsi="Calibri"/>
          <w:color w:val="1F2937"/>
          <w:sz w:val="22"/>
        </w:rPr>
        <w:t>La activación archiva la DatasetVersion activa anterior y activa la nueva; no es aditiva.</w:t>
      </w:r>
    </w:p>
    <w:p>
      <w:pPr>
        <w:pStyle w:val="Heading2"/>
      </w:pPr>
      <w:r>
        <w:t>6.2 Correcciones necesarias al archivo staged HALLAZGO_PIPELINE_3B7.md</w:t>
      </w:r>
    </w:p>
    <w:p>
      <w:pPr>
        <w:spacing w:before="80" w:after="80"/>
      </w:pPr>
      <w:r>
        <w:rPr>
          <w:rFonts w:ascii="Calibri" w:hAnsi="Calibri"/>
          <w:b/>
          <w:color w:val="0B2545"/>
          <w:sz w:val="19"/>
        </w:rPr>
        <w:t>Tabla 6. Observaciones que deben corregirse antes de commitear el hallazgo</w:t>
      </w:r>
    </w:p>
    <w:tbl>
      <w:tblPr>
        <w:tblStyle w:val="TableGrid"/>
        <w:tblW w:type="dxa" w:w="9360"/>
        <w:jc w:val="left"/>
        <w:tblLayout w:type="fixed"/>
        <w:tblLook w:firstColumn="1" w:firstRow="1" w:lastColumn="0" w:lastRow="0" w:noHBand="0" w:noVBand="1" w:val="04A0"/>
        <w:tblInd w:w="120" w:type="dxa"/>
      </w:tblPr>
      <w:tblGrid>
        <w:gridCol w:w="2650"/>
        <w:gridCol w:w="3800"/>
        <w:gridCol w:w="2910"/>
      </w:tblGrid>
      <w:tr>
        <w:trPr>
          <w:tblHeader w:val="true"/>
        </w:trPr>
        <w:tc>
          <w:tcPr>
            <w:tcW w:type="dxa" w:w="2650"/>
            <w:shd w:fill="F2F4F7"/>
            <w:tcMar>
              <w:top w:w="80" w:type="dxa"/>
              <w:start w:w="120" w:type="dxa"/>
              <w:bottom w:w="80" w:type="dxa"/>
              <w:end w:w="120" w:type="dxa"/>
            </w:tcMar>
            <w:vAlign w:val="center"/>
          </w:tcPr>
          <w:p>
            <w:pPr>
              <w:jc w:val="left"/>
            </w:pPr>
            <w:r>
              <w:rPr>
                <w:rFonts w:ascii="Calibri" w:hAnsi="Calibri"/>
                <w:b/>
                <w:color w:val="0B2545"/>
                <w:sz w:val="18"/>
              </w:rPr>
              <w:t>Afirmación staged</w:t>
            </w:r>
          </w:p>
        </w:tc>
        <w:tc>
          <w:tcPr>
            <w:tcW w:type="dxa" w:w="3800"/>
            <w:shd w:fill="F2F4F7"/>
            <w:tcMar>
              <w:top w:w="80" w:type="dxa"/>
              <w:start w:w="120" w:type="dxa"/>
              <w:bottom w:w="80" w:type="dxa"/>
              <w:end w:w="120" w:type="dxa"/>
            </w:tcMar>
            <w:vAlign w:val="center"/>
          </w:tcPr>
          <w:p>
            <w:pPr>
              <w:jc w:val="left"/>
            </w:pPr>
            <w:r>
              <w:rPr>
                <w:rFonts w:ascii="Calibri" w:hAnsi="Calibri"/>
                <w:b/>
                <w:color w:val="0B2545"/>
                <w:sz w:val="18"/>
              </w:rPr>
              <w:t>Hecho observable</w:t>
            </w:r>
          </w:p>
        </w:tc>
        <w:tc>
          <w:tcPr>
            <w:tcW w:type="dxa" w:w="2910"/>
            <w:shd w:fill="F2F4F7"/>
            <w:tcMar>
              <w:top w:w="80" w:type="dxa"/>
              <w:start w:w="120" w:type="dxa"/>
              <w:bottom w:w="80" w:type="dxa"/>
              <w:end w:w="120" w:type="dxa"/>
            </w:tcMar>
            <w:vAlign w:val="center"/>
          </w:tcPr>
          <w:p>
            <w:pPr>
              <w:jc w:val="center"/>
            </w:pPr>
            <w:r>
              <w:rPr>
                <w:rFonts w:ascii="Calibri" w:hAnsi="Calibri"/>
                <w:b/>
                <w:color w:val="0B2545"/>
                <w:sz w:val="18"/>
              </w:rPr>
              <w:t>Corrección</w:t>
            </w:r>
          </w:p>
        </w:tc>
      </w:tr>
      <w:tr>
        <w:tc>
          <w:tcPr>
            <w:tcW w:type="dxa" w:w="2650"/>
            <w:tcMar>
              <w:top w:w="80" w:type="dxa"/>
              <w:start w:w="120" w:type="dxa"/>
              <w:bottom w:w="80" w:type="dxa"/>
              <w:end w:w="120" w:type="dxa"/>
            </w:tcMar>
            <w:vAlign w:val="center"/>
          </w:tcPr>
          <w:p>
            <w:pPr>
              <w:jc w:val="left"/>
            </w:pPr>
            <w:r>
              <w:rPr>
                <w:rFonts w:ascii="Calibri" w:hAnsi="Calibri"/>
                <w:b w:val="0"/>
                <w:color w:val="1F2937"/>
                <w:sz w:val="18"/>
              </w:rPr>
              <w:t>“Perfil default de tres capas”</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El handler carga el esquema municipal; Caranavi tiene cuatro definiciones, tres obligatorias y una opcional</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Hablar de esquema municipal, no de perfil default de paquete</w:t>
            </w:r>
          </w:p>
        </w:tc>
      </w:tr>
      <w:tr>
        <w:tc>
          <w:tcPr>
            <w:tcW w:type="dxa" w:w="2650"/>
            <w:shd w:fill="FAFBFC"/>
            <w:tcMar>
              <w:top w:w="80" w:type="dxa"/>
              <w:start w:w="120" w:type="dxa"/>
              <w:bottom w:w="80" w:type="dxa"/>
              <w:end w:w="120" w:type="dxa"/>
            </w:tcMar>
            <w:vAlign w:val="center"/>
          </w:tcPr>
          <w:p>
            <w:pPr>
              <w:jc w:val="left"/>
            </w:pPr>
            <w:r>
              <w:rPr>
                <w:rFonts w:ascii="Calibri" w:hAnsi="Calibri"/>
                <w:b w:val="0"/>
                <w:color w:val="1F2937"/>
                <w:sz w:val="18"/>
              </w:rPr>
              <w:t>“No filtra por Obligatoria”</w:t>
            </w:r>
          </w:p>
        </w:tc>
        <w:tc>
          <w:tcPr>
            <w:tcW w:type="dxa" w:w="3800"/>
            <w:shd w:fill="FAFBFC"/>
            <w:tcMar>
              <w:top w:w="80" w:type="dxa"/>
              <w:start w:w="120" w:type="dxa"/>
              <w:bottom w:w="80" w:type="dxa"/>
              <w:end w:w="120" w:type="dxa"/>
            </w:tcMar>
            <w:vAlign w:val="center"/>
          </w:tcPr>
          <w:p>
            <w:pPr>
              <w:jc w:val="left"/>
            </w:pPr>
            <w:r>
              <w:rPr>
                <w:rFonts w:ascii="Calibri" w:hAnsi="Calibri"/>
                <w:b w:val="0"/>
                <w:color w:val="1F2937"/>
                <w:sz w:val="18"/>
              </w:rPr>
              <w:t>InspectorPaqueteVersionado omite una definición no obligatoria ausente</w:t>
            </w:r>
          </w:p>
        </w:tc>
        <w:tc>
          <w:tcPr>
            <w:tcW w:type="dxa" w:w="2910"/>
            <w:shd w:fill="FAFBFC"/>
            <w:tcMar>
              <w:top w:w="80" w:type="dxa"/>
              <w:start w:w="120" w:type="dxa"/>
              <w:bottom w:w="80" w:type="dxa"/>
              <w:end w:w="120" w:type="dxa"/>
            </w:tcMar>
            <w:vAlign w:val="center"/>
          </w:tcPr>
          <w:p>
            <w:pPr>
              <w:jc w:val="left"/>
            </w:pPr>
            <w:r>
              <w:rPr>
                <w:rFonts w:ascii="Calibri" w:hAnsi="Calibri"/>
                <w:b w:val="0"/>
                <w:color w:val="1F2937"/>
                <w:sz w:val="18"/>
              </w:rPr>
              <w:t>Eliminar esa afirmación</w:t>
            </w:r>
          </w:p>
        </w:tc>
      </w:tr>
      <w:tr>
        <w:tc>
          <w:tcPr>
            <w:tcW w:type="dxa" w:w="2650"/>
            <w:tcMar>
              <w:top w:w="80" w:type="dxa"/>
              <w:start w:w="120" w:type="dxa"/>
              <w:bottom w:w="80" w:type="dxa"/>
              <w:end w:w="120" w:type="dxa"/>
            </w:tcMar>
            <w:vAlign w:val="center"/>
          </w:tcPr>
          <w:p>
            <w:pPr>
              <w:jc w:val="left"/>
            </w:pPr>
            <w:r>
              <w:rPr>
                <w:rFonts w:ascii="Calibri" w:hAnsi="Calibri"/>
                <w:b w:val="0"/>
                <w:color w:val="1F2937"/>
                <w:sz w:val="18"/>
              </w:rPr>
              <w:t>“Perfil sin consumidor”</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Handler y loader resuelven NombrePerfil; loader implementa PrediosNoFotografiados</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Registrar que el perfil sí está conectado</w:t>
            </w:r>
          </w:p>
        </w:tc>
      </w:tr>
      <w:tr>
        <w:tc>
          <w:tcPr>
            <w:tcW w:type="dxa" w:w="2650"/>
            <w:shd w:fill="FAFBFC"/>
            <w:tcMar>
              <w:top w:w="80" w:type="dxa"/>
              <w:start w:w="120" w:type="dxa"/>
              <w:bottom w:w="80" w:type="dxa"/>
              <w:end w:w="120" w:type="dxa"/>
            </w:tcMar>
            <w:vAlign w:val="center"/>
          </w:tcPr>
          <w:p>
            <w:pPr>
              <w:jc w:val="left"/>
            </w:pPr>
            <w:r>
              <w:rPr>
                <w:rFonts w:ascii="Calibri" w:hAnsi="Calibri"/>
                <w:b w:val="0"/>
                <w:color w:val="1F2937"/>
                <w:sz w:val="18"/>
              </w:rPr>
              <w:t>“Activación aditiva confirmada”</w:t>
            </w:r>
          </w:p>
        </w:tc>
        <w:tc>
          <w:tcPr>
            <w:tcW w:type="dxa" w:w="3800"/>
            <w:shd w:fill="FAFBFC"/>
            <w:tcMar>
              <w:top w:w="80" w:type="dxa"/>
              <w:start w:w="120" w:type="dxa"/>
              <w:bottom w:w="80" w:type="dxa"/>
              <w:end w:w="120" w:type="dxa"/>
            </w:tcMar>
            <w:vAlign w:val="center"/>
          </w:tcPr>
          <w:p>
            <w:pPr>
              <w:jc w:val="left"/>
            </w:pPr>
            <w:r>
              <w:rPr>
                <w:rFonts w:ascii="Calibri" w:hAnsi="Calibri"/>
                <w:b w:val="0"/>
                <w:color w:val="1F2937"/>
                <w:sz w:val="18"/>
              </w:rPr>
              <w:t>ActivaActual.Archivar() y version.Activar()</w:t>
            </w:r>
          </w:p>
        </w:tc>
        <w:tc>
          <w:tcPr>
            <w:tcW w:type="dxa" w:w="2910"/>
            <w:shd w:fill="FAFBFC"/>
            <w:tcMar>
              <w:top w:w="80" w:type="dxa"/>
              <w:start w:w="120" w:type="dxa"/>
              <w:bottom w:w="80" w:type="dxa"/>
              <w:end w:w="120" w:type="dxa"/>
            </w:tcMar>
            <w:vAlign w:val="center"/>
          </w:tcPr>
          <w:p>
            <w:pPr>
              <w:jc w:val="left"/>
            </w:pPr>
            <w:r>
              <w:rPr>
                <w:rFonts w:ascii="Calibri" w:hAnsi="Calibri"/>
                <w:b w:val="0"/>
                <w:color w:val="1F2937"/>
                <w:sz w:val="18"/>
              </w:rPr>
              <w:t>Declarar reemplazo de versión activa</w:t>
            </w:r>
          </w:p>
        </w:tc>
      </w:tr>
      <w:tr>
        <w:tc>
          <w:tcPr>
            <w:tcW w:type="dxa" w:w="2650"/>
            <w:tcMar>
              <w:top w:w="80" w:type="dxa"/>
              <w:start w:w="120" w:type="dxa"/>
              <w:bottom w:w="80" w:type="dxa"/>
              <w:end w:w="120" w:type="dxa"/>
            </w:tcMar>
            <w:vAlign w:val="center"/>
          </w:tcPr>
          <w:p>
            <w:pPr>
              <w:jc w:val="left"/>
            </w:pPr>
            <w:r>
              <w:rPr>
                <w:rFonts w:ascii="Calibri" w:hAnsi="Calibri"/>
                <w:b w:val="0"/>
                <w:color w:val="1F2937"/>
                <w:sz w:val="18"/>
              </w:rPr>
              <w:t>“Solo handler/comando/worker”</w:t>
            </w:r>
          </w:p>
        </w:tc>
        <w:tc>
          <w:tcPr>
            <w:tcW w:type="dxa" w:w="3800"/>
            <w:tcMar>
              <w:top w:w="80" w:type="dxa"/>
              <w:start w:w="120" w:type="dxa"/>
              <w:bottom w:w="80" w:type="dxa"/>
              <w:end w:w="120" w:type="dxa"/>
            </w:tcMar>
            <w:vAlign w:val="center"/>
          </w:tcPr>
          <w:p>
            <w:pPr>
              <w:jc w:val="left"/>
            </w:pPr>
            <w:r>
              <w:rPr>
                <w:rFonts w:ascii="Calibri" w:hAnsi="Calibri"/>
                <w:b w:val="0"/>
                <w:color w:val="1F2937"/>
                <w:sz w:val="18"/>
              </w:rPr>
              <w:t>El problema toca el contrato de snapshot completo de ADR 0049</w:t>
            </w:r>
          </w:p>
        </w:tc>
        <w:tc>
          <w:tcPr>
            <w:tcW w:type="dxa" w:w="2910"/>
            <w:tcMar>
              <w:top w:w="80" w:type="dxa"/>
              <w:start w:w="120" w:type="dxa"/>
              <w:bottom w:w="80" w:type="dxa"/>
              <w:end w:w="120" w:type="dxa"/>
            </w:tcMar>
            <w:vAlign w:val="center"/>
          </w:tcPr>
          <w:p>
            <w:pPr>
              <w:jc w:val="left"/>
            </w:pPr>
            <w:r>
              <w:rPr>
                <w:rFonts w:ascii="Calibri" w:hAnsi="Calibri"/>
                <w:b w:val="0"/>
                <w:color w:val="1F2937"/>
                <w:sz w:val="18"/>
              </w:rPr>
              <w:t>Requiere ADR de composición e impacto de linaje</w:t>
            </w:r>
          </w:p>
        </w:tc>
      </w:tr>
    </w:tbl>
    <w:p>
      <w:pPr>
        <w:spacing w:before="80" w:after="80"/>
      </w:pPr>
      <w:r>
        <w:rPr>
          <w:rFonts w:ascii="Calibri" w:hAnsi="Calibri"/>
          <w:i/>
          <w:color w:val="5F6B7A"/>
          <w:sz w:val="17"/>
        </w:rPr>
        <w:t>Fuente: CrearVersionImportacionHandler, InspectorPaqueteVersionado, CargaVersionadaServicio y ActivacionVersionServicio.</w:t>
      </w:r>
    </w:p>
    <w:p>
      <w:pPr>
        <w:pStyle w:val="Heading2"/>
      </w:pPr>
      <w:r>
        <w:t>6.3 Causa raíz real</w:t>
      </w:r>
    </w:p>
    <w:p>
      <w:pPr/>
      <w:r>
        <w:rPr>
          <w:rFonts w:ascii="Calibri" w:hAnsi="Calibri"/>
          <w:i w:val="0"/>
          <w:color w:val="1F2937"/>
          <w:sz w:val="22"/>
        </w:rPr>
        <w:t>PRE_NOF_CAR es una capa opcional dentro del esquema municipal de Caranavi. Un ZIP que contiene solo esa capa sigue omitiendo las tres capas obligatorias, por lo que el inspector lo rechaza correctamente según el contrato actual. El conflicto no es que el perfil no exista ni que la opcional sea ignorada: es que la importación vigente representa un snapshot municipal y las capas base son obligatorias para crear ese snapshot.</w:t>
      </w:r>
    </w:p>
    <w:p>
      <w:pPr/>
      <w:r>
        <w:rPr>
          <w:rFonts w:ascii="Calibri" w:hAnsi="Calibri"/>
          <w:i w:val="0"/>
          <w:color w:val="1F2937"/>
          <w:sz w:val="22"/>
        </w:rPr>
        <w:t>Aun si el endpoint aceptara perfil_codigo y cargara solo PRE_NOF_CAR, la activación de esa DatasetVersion archivaría la versión activa que contiene manzanas, áreas y puntos. El visor, los tiles y las capacidades consultan la versión activa; por tanto, la solución parcial introduciría una pérdida funcional visible.</w:t>
      </w:r>
    </w:p>
    <w:p>
      <w:pPr>
        <w:pStyle w:val="Heading2"/>
      </w:pPr>
      <w:r>
        <w:t>6.4 Opciones de diseño</w:t>
      </w:r>
    </w:p>
    <w:p>
      <w:pPr>
        <w:spacing w:before="80" w:after="80"/>
      </w:pPr>
      <w:r>
        <w:rPr>
          <w:rFonts w:ascii="Calibri" w:hAnsi="Calibri"/>
          <w:b/>
          <w:color w:val="0B2545"/>
          <w:sz w:val="19"/>
        </w:rPr>
        <w:t>Tabla 7. Alternativas para importaciones parciales</w:t>
      </w:r>
    </w:p>
    <w:tbl>
      <w:tblPr>
        <w:tblStyle w:val="TableGrid"/>
        <w:tblW w:type="dxa" w:w="9360"/>
        <w:jc w:val="left"/>
        <w:tblLayout w:type="fixed"/>
        <w:tblLook w:firstColumn="1" w:firstRow="1" w:lastColumn="0" w:lastRow="0" w:noHBand="0" w:noVBand="1" w:val="04A0"/>
        <w:tblInd w:w="120" w:type="dxa"/>
      </w:tblPr>
      <w:tblGrid>
        <w:gridCol w:w="2100"/>
        <w:gridCol w:w="2300"/>
        <w:gridCol w:w="2900"/>
        <w:gridCol w:w="2060"/>
      </w:tblGrid>
      <w:tr>
        <w:trPr>
          <w:tblHeader w:val="true"/>
        </w:trPr>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Opción</w:t>
            </w:r>
          </w:p>
        </w:tc>
        <w:tc>
          <w:tcPr>
            <w:tcW w:type="dxa" w:w="2300"/>
            <w:shd w:fill="F2F4F7"/>
            <w:tcMar>
              <w:top w:w="80" w:type="dxa"/>
              <w:start w:w="120" w:type="dxa"/>
              <w:bottom w:w="80" w:type="dxa"/>
              <w:end w:w="120" w:type="dxa"/>
            </w:tcMar>
            <w:vAlign w:val="center"/>
          </w:tcPr>
          <w:p>
            <w:pPr>
              <w:jc w:val="center"/>
            </w:pPr>
            <w:r>
              <w:rPr>
                <w:rFonts w:ascii="Calibri" w:hAnsi="Calibri"/>
                <w:b/>
                <w:color w:val="0B2545"/>
                <w:sz w:val="18"/>
              </w:rPr>
              <w:t>Ventajas</w:t>
            </w:r>
          </w:p>
        </w:tc>
        <w:tc>
          <w:tcPr>
            <w:tcW w:type="dxa" w:w="2900"/>
            <w:shd w:fill="F2F4F7"/>
            <w:tcMar>
              <w:top w:w="80" w:type="dxa"/>
              <w:start w:w="120" w:type="dxa"/>
              <w:bottom w:w="80" w:type="dxa"/>
              <w:end w:w="120" w:type="dxa"/>
            </w:tcMar>
            <w:vAlign w:val="center"/>
          </w:tcPr>
          <w:p>
            <w:pPr>
              <w:jc w:val="center"/>
            </w:pPr>
            <w:r>
              <w:rPr>
                <w:rFonts w:ascii="Calibri" w:hAnsi="Calibri"/>
                <w:b/>
                <w:color w:val="0B2545"/>
                <w:sz w:val="18"/>
              </w:rPr>
              <w:t>Riesgos</w:t>
            </w:r>
          </w:p>
        </w:tc>
        <w:tc>
          <w:tcPr>
            <w:tcW w:type="dxa" w:w="2060"/>
            <w:shd w:fill="F2F4F7"/>
            <w:tcMar>
              <w:top w:w="80" w:type="dxa"/>
              <w:start w:w="120" w:type="dxa"/>
              <w:bottom w:w="80" w:type="dxa"/>
              <w:end w:w="120" w:type="dxa"/>
            </w:tcMar>
            <w:vAlign w:val="center"/>
          </w:tcPr>
          <w:p>
            <w:pPr>
              <w:jc w:val="center"/>
            </w:pPr>
            <w:r>
              <w:rPr>
                <w:rFonts w:ascii="Calibri" w:hAnsi="Calibri"/>
                <w:b/>
                <w:color w:val="0B2545"/>
                <w:sz w:val="18"/>
              </w:rPr>
              <w:t>Veredicto</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Exigir ZIP completo de 4 capas</w:t>
            </w:r>
          </w:p>
        </w:tc>
        <w:tc>
          <w:tcPr>
            <w:tcW w:type="dxa" w:w="2300"/>
            <w:tcMar>
              <w:top w:w="80" w:type="dxa"/>
              <w:start w:w="120" w:type="dxa"/>
              <w:bottom w:w="80" w:type="dxa"/>
              <w:end w:w="120" w:type="dxa"/>
            </w:tcMar>
            <w:vAlign w:val="center"/>
          </w:tcPr>
          <w:p>
            <w:pPr>
              <w:jc w:val="left"/>
            </w:pPr>
            <w:r>
              <w:rPr>
                <w:rFonts w:ascii="Calibri" w:hAnsi="Calibri"/>
                <w:b w:val="0"/>
                <w:color w:val="1F2937"/>
                <w:sz w:val="18"/>
              </w:rPr>
              <w:t>Sin cambio de backend; respeta snapshot</w:t>
            </w:r>
          </w:p>
        </w:tc>
        <w:tc>
          <w:tcPr>
            <w:tcW w:type="dxa" w:w="2900"/>
            <w:tcMar>
              <w:top w:w="80" w:type="dxa"/>
              <w:start w:w="120" w:type="dxa"/>
              <w:bottom w:w="80" w:type="dxa"/>
              <w:end w:w="120" w:type="dxa"/>
            </w:tcMar>
            <w:vAlign w:val="center"/>
          </w:tcPr>
          <w:p>
            <w:pPr>
              <w:jc w:val="left"/>
            </w:pPr>
            <w:r>
              <w:rPr>
                <w:rFonts w:ascii="Calibri" w:hAnsi="Calibri"/>
                <w:b w:val="0"/>
                <w:color w:val="1F2937"/>
                <w:sz w:val="18"/>
              </w:rPr>
              <w:t>Duplica archivos; operación manual; no escala a cambios puntuales</w:t>
            </w:r>
          </w:p>
        </w:tc>
        <w:tc>
          <w:tcPr>
            <w:tcW w:type="dxa" w:w="2060"/>
            <w:tcMar>
              <w:top w:w="80" w:type="dxa"/>
              <w:start w:w="120" w:type="dxa"/>
              <w:bottom w:w="80" w:type="dxa"/>
              <w:end w:w="120" w:type="dxa"/>
            </w:tcMar>
            <w:vAlign w:val="center"/>
          </w:tcPr>
          <w:p>
            <w:pPr>
              <w:jc w:val="center"/>
            </w:pPr>
            <w:r>
              <w:rPr>
                <w:rFonts w:ascii="Calibri" w:hAnsi="Calibri"/>
                <w:b/>
                <w:color w:val="1F2937"/>
                <w:sz w:val="18"/>
              </w:rPr>
              <w:t>Válida como contingencia</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Permitir versión de una sola capa</w:t>
            </w:r>
          </w:p>
        </w:tc>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Cambio aparente pequeño</w:t>
            </w:r>
          </w:p>
        </w:tc>
        <w:tc>
          <w:tcPr>
            <w:tcW w:type="dxa" w:w="2900"/>
            <w:shd w:fill="FAFBFC"/>
            <w:tcMar>
              <w:top w:w="80" w:type="dxa"/>
              <w:start w:w="120" w:type="dxa"/>
              <w:bottom w:w="80" w:type="dxa"/>
              <w:end w:w="120" w:type="dxa"/>
            </w:tcMar>
            <w:vAlign w:val="center"/>
          </w:tcPr>
          <w:p>
            <w:pPr>
              <w:jc w:val="left"/>
            </w:pPr>
            <w:r>
              <w:rPr>
                <w:rFonts w:ascii="Calibri" w:hAnsi="Calibri"/>
                <w:b w:val="0"/>
                <w:color w:val="1F2937"/>
                <w:sz w:val="18"/>
              </w:rPr>
              <w:t>Rompe snapshot, oculta capas activas y contradice ADR 0049</w:t>
            </w:r>
          </w:p>
        </w:tc>
        <w:tc>
          <w:tcPr>
            <w:tcW w:type="dxa" w:w="2060"/>
            <w:shd w:fill="FAFBFC"/>
            <w:tcMar>
              <w:top w:w="80" w:type="dxa"/>
              <w:start w:w="120" w:type="dxa"/>
              <w:bottom w:w="80" w:type="dxa"/>
              <w:end w:w="120" w:type="dxa"/>
            </w:tcMar>
            <w:vAlign w:val="center"/>
          </w:tcPr>
          <w:p>
            <w:pPr>
              <w:jc w:val="center"/>
            </w:pPr>
            <w:r>
              <w:rPr>
                <w:rFonts w:ascii="Calibri" w:hAnsi="Calibri"/>
                <w:b/>
                <w:color w:val="1F2937"/>
                <w:sz w:val="18"/>
              </w:rPr>
              <w:t>No recomendada</w:t>
            </w:r>
          </w:p>
        </w:tc>
      </w:tr>
      <w:tr>
        <w:tc>
          <w:tcPr>
            <w:tcW w:type="dxa" w:w="2100"/>
            <w:tcMar>
              <w:top w:w="80" w:type="dxa"/>
              <w:start w:w="120" w:type="dxa"/>
              <w:bottom w:w="80" w:type="dxa"/>
              <w:end w:w="120" w:type="dxa"/>
            </w:tcMar>
            <w:vAlign w:val="center"/>
          </w:tcPr>
          <w:p>
            <w:pPr>
              <w:jc w:val="left"/>
            </w:pPr>
            <w:r>
              <w:rPr>
                <w:rFonts w:ascii="Calibri" w:hAnsi="Calibri"/>
                <w:b w:val="0"/>
                <w:color w:val="1F2937"/>
                <w:sz w:val="18"/>
              </w:rPr>
              <w:t>Composición/copy-forward N+1</w:t>
            </w:r>
          </w:p>
        </w:tc>
        <w:tc>
          <w:tcPr>
            <w:tcW w:type="dxa" w:w="2300"/>
            <w:tcMar>
              <w:top w:w="80" w:type="dxa"/>
              <w:start w:w="120" w:type="dxa"/>
              <w:bottom w:w="80" w:type="dxa"/>
              <w:end w:w="120" w:type="dxa"/>
            </w:tcMar>
            <w:vAlign w:val="center"/>
          </w:tcPr>
          <w:p>
            <w:pPr>
              <w:jc w:val="left"/>
            </w:pPr>
            <w:r>
              <w:rPr>
                <w:rFonts w:ascii="Calibri" w:hAnsi="Calibri"/>
                <w:b w:val="0"/>
                <w:color w:val="1F2937"/>
                <w:sz w:val="18"/>
              </w:rPr>
              <w:t>Preserva snapshot, permite cambios por capa y mantiene visor consistente</w:t>
            </w:r>
          </w:p>
        </w:tc>
        <w:tc>
          <w:tcPr>
            <w:tcW w:type="dxa" w:w="2900"/>
            <w:tcMar>
              <w:top w:w="80" w:type="dxa"/>
              <w:start w:w="120" w:type="dxa"/>
              <w:bottom w:w="80" w:type="dxa"/>
              <w:end w:w="120" w:type="dxa"/>
            </w:tcMar>
            <w:vAlign w:val="center"/>
          </w:tcPr>
          <w:p>
            <w:pPr>
              <w:jc w:val="left"/>
            </w:pPr>
            <w:r>
              <w:rPr>
                <w:rFonts w:ascii="Calibri" w:hAnsi="Calibri"/>
                <w:b w:val="0"/>
                <w:color w:val="1F2937"/>
                <w:sz w:val="18"/>
              </w:rPr>
              <w:t>Requiere ADR, copia transaccional, linaje y tests</w:t>
            </w:r>
          </w:p>
        </w:tc>
        <w:tc>
          <w:tcPr>
            <w:tcW w:type="dxa" w:w="2060"/>
            <w:tcMar>
              <w:top w:w="80" w:type="dxa"/>
              <w:start w:w="120" w:type="dxa"/>
              <w:bottom w:w="80" w:type="dxa"/>
              <w:end w:w="120" w:type="dxa"/>
            </w:tcMar>
            <w:vAlign w:val="center"/>
          </w:tcPr>
          <w:p>
            <w:pPr>
              <w:jc w:val="center"/>
            </w:pPr>
            <w:r>
              <w:rPr>
                <w:rFonts w:ascii="Calibri" w:hAnsi="Calibri"/>
                <w:b/>
                <w:color w:val="1F2937"/>
                <w:sz w:val="18"/>
              </w:rPr>
              <w:t>Recomendada</w:t>
            </w:r>
          </w:p>
        </w:tc>
      </w:tr>
      <w:tr>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Versionado independiente por capa</w:t>
            </w:r>
          </w:p>
        </w:tc>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Máxima flexibilidad</w:t>
            </w:r>
          </w:p>
        </w:tc>
        <w:tc>
          <w:tcPr>
            <w:tcW w:type="dxa" w:w="2900"/>
            <w:shd w:fill="FAFBFC"/>
            <w:tcMar>
              <w:top w:w="80" w:type="dxa"/>
              <w:start w:w="120" w:type="dxa"/>
              <w:bottom w:w="80" w:type="dxa"/>
              <w:end w:w="120" w:type="dxa"/>
            </w:tcMar>
            <w:vAlign w:val="center"/>
          </w:tcPr>
          <w:p>
            <w:pPr>
              <w:jc w:val="left"/>
            </w:pPr>
            <w:r>
              <w:rPr>
                <w:rFonts w:ascii="Calibri" w:hAnsi="Calibri"/>
                <w:b w:val="0"/>
                <w:color w:val="1F2937"/>
                <w:sz w:val="18"/>
              </w:rPr>
              <w:t>Rediseño profundo de consultas, activación y coherencia temporal</w:t>
            </w:r>
          </w:p>
        </w:tc>
        <w:tc>
          <w:tcPr>
            <w:tcW w:type="dxa" w:w="2060"/>
            <w:shd w:fill="FAFBFC"/>
            <w:tcMar>
              <w:top w:w="80" w:type="dxa"/>
              <w:start w:w="120" w:type="dxa"/>
              <w:bottom w:w="80" w:type="dxa"/>
              <w:end w:w="120" w:type="dxa"/>
            </w:tcMar>
            <w:vAlign w:val="center"/>
          </w:tcPr>
          <w:p>
            <w:pPr>
              <w:jc w:val="center"/>
            </w:pPr>
            <w:r>
              <w:rPr>
                <w:rFonts w:ascii="Calibri" w:hAnsi="Calibri"/>
                <w:b/>
                <w:color w:val="1F2937"/>
                <w:sz w:val="18"/>
              </w:rPr>
              <w:t>Futuro, no MVP</w:t>
            </w:r>
          </w:p>
        </w:tc>
      </w:tr>
    </w:tbl>
    <w:p>
      <w:pPr>
        <w:spacing w:before="80" w:after="80"/>
      </w:pPr>
      <w:r>
        <w:rPr>
          <w:rFonts w:ascii="Calibri" w:hAnsi="Calibri"/>
          <w:i/>
          <w:color w:val="5F6B7A"/>
          <w:sz w:val="17"/>
        </w:rPr>
        <w:t>Fuente: análisis del contrato de DatasetVersion y activación.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4EA"/>
          </w:tcPr>
          <w:p>
            <w:pPr>
              <w:spacing w:after="40"/>
            </w:pPr>
            <w:r>
              <w:rPr>
                <w:rFonts w:ascii="Calibri" w:hAnsi="Calibri"/>
                <w:b/>
                <w:color w:val="2F7D32"/>
                <w:sz w:val="18"/>
              </w:rPr>
              <w:t>RECOMENDACIÓN DE ARQUITECTURA</w:t>
            </w:r>
          </w:p>
          <w:p>
            <w:pPr>
              <w:spacing w:after="0"/>
            </w:pPr>
            <w:r>
              <w:rPr>
                <w:rFonts w:ascii="Calibri" w:hAnsi="Calibri"/>
                <w:color w:val="1F2937"/>
                <w:sz w:val="21"/>
              </w:rPr>
              <w:t>Agregar una operación de actualización de capas que reciba municipio, base_version_id implícita o explícita y paquete parcial. El sistema crea una DatasetVersion N+1 completa: copia las filas de capas no modificadas, carga las nuevas, ejecuta preview sobre el resultado compuesto, registra linaje por capa y solo entonces permite activar.</w:t>
            </w:r>
          </w:p>
        </w:tc>
      </w:tr>
    </w:tbl>
    <w:p>
      <w:pPr>
        <w:spacing w:after="0"/>
      </w:pPr>
    </w:p>
    <w:p>
      <w:pPr>
        <w:pStyle w:val="Heading2"/>
      </w:pPr>
      <w:r>
        <w:t>6.5 Gate de aceptación propuesto para 3.B.7</w:t>
      </w:r>
    </w:p>
    <w:p>
      <w:pPr>
        <w:pStyle w:val="ListNumber"/>
      </w:pPr>
      <w:r>
        <w:rPr>
          <w:rFonts w:ascii="Calibri" w:hAnsi="Calibri"/>
          <w:color w:val="1F2937"/>
          <w:sz w:val="22"/>
        </w:rPr>
        <w:t>Corregir y revisar HALLAZGO_PIPELINE_3B7.md; eliminar las cinco afirmaciones inexactas.</w:t>
      </w:r>
    </w:p>
    <w:p>
      <w:pPr>
        <w:pStyle w:val="ListNumber"/>
      </w:pPr>
      <w:r>
        <w:rPr>
          <w:rFonts w:ascii="Calibri" w:hAnsi="Calibri"/>
          <w:color w:val="1F2937"/>
          <w:sz w:val="22"/>
        </w:rPr>
        <w:t>Aprobar ADR de snapshot compuesto: semántica, linaje, rollback, idempotencia y costos.</w:t>
      </w:r>
    </w:p>
    <w:p>
      <w:pPr>
        <w:pStyle w:val="ListNumber"/>
      </w:pPr>
      <w:r>
        <w:rPr>
          <w:rFonts w:ascii="Calibri" w:hAnsi="Calibri"/>
          <w:color w:val="1F2937"/>
          <w:sz w:val="22"/>
        </w:rPr>
        <w:t>Implementar composición transaccional sin tocar la versión activa.</w:t>
      </w:r>
    </w:p>
    <w:p>
      <w:pPr>
        <w:pStyle w:val="ListNumber"/>
      </w:pPr>
      <w:r>
        <w:rPr>
          <w:rFonts w:ascii="Calibri" w:hAnsi="Calibri"/>
          <w:color w:val="1F2937"/>
          <w:sz w:val="22"/>
        </w:rPr>
        <w:t>Tests: positivo PRE_NOF_CAR; negativo perfil/capa ajena; capa obligatoria parcial; rollback; activación; conservación de tres capas base.</w:t>
      </w:r>
    </w:p>
    <w:p>
      <w:pPr>
        <w:pStyle w:val="ListNumber"/>
      </w:pPr>
      <w:r>
        <w:rPr>
          <w:rFonts w:ascii="Calibri" w:hAnsi="Calibri"/>
          <w:color w:val="1F2937"/>
          <w:sz w:val="22"/>
        </w:rPr>
        <w:t>Suite 325+ en verde con build limpio y SG.Web.E2E pertinente.</w:t>
      </w:r>
    </w:p>
    <w:p>
      <w:pPr>
        <w:pStyle w:val="ListNumber"/>
      </w:pPr>
      <w:r>
        <w:rPr>
          <w:rFonts w:ascii="Calibri" w:hAnsi="Calibri"/>
          <w:color w:val="1F2937"/>
          <w:sz w:val="22"/>
        </w:rPr>
        <w:t>Importar el ZIP real, hacer polling hasta PreviewListo y revisar los 6.573 registros.</w:t>
      </w:r>
    </w:p>
    <w:p>
      <w:pPr>
        <w:pStyle w:val="ListNumber"/>
      </w:pPr>
      <w:r>
        <w:rPr>
          <w:rFonts w:ascii="Calibri" w:hAnsi="Calibri"/>
          <w:color w:val="1F2937"/>
          <w:sz w:val="22"/>
        </w:rPr>
        <w:t>Activar y confirmar por SQL que Caranavi mantiene 637 manzanas, 17 áreas, 33 puntos y suma 6.573 predios no fotografiados.</w:t>
      </w:r>
    </w:p>
    <w:p>
      <w:pPr>
        <w:pStyle w:val="ListNumber"/>
      </w:pPr>
      <w:r>
        <w:rPr>
          <w:rFonts w:ascii="Calibri" w:hAnsi="Calibri"/>
          <w:color w:val="1F2937"/>
          <w:sz w:val="22"/>
        </w:rPr>
        <w:t>Verificar visor, tiles y configuración de capacidades; búsqueda/ficha debe permanecer deshabilitada mientras no exista parcela maestra con tripleta completa.</w:t>
      </w:r>
    </w:p>
    <w:p>
      <w:pPr>
        <w:pStyle w:val="ListNumber"/>
      </w:pPr>
      <w:r>
        <w:rPr>
          <w:rFonts w:ascii="Calibri" w:hAnsi="Calibri"/>
          <w:color w:val="1F2937"/>
          <w:sz w:val="22"/>
        </w:rPr>
        <w:t>Probar rollback a la versión anterior y documentar evidencia.</w:t>
      </w:r>
    </w:p>
    <w:p>
      <w:pPr>
        <w:pStyle w:val="Heading1"/>
      </w:pPr>
      <w:r>
        <w:t>7. Matriz funcional consolidada</w:t>
      </w:r>
    </w:p>
    <w:p>
      <w:pPr>
        <w:spacing w:before="80" w:after="80"/>
      </w:pPr>
      <w:r>
        <w:rPr>
          <w:rFonts w:ascii="Calibri" w:hAnsi="Calibri"/>
          <w:b/>
          <w:color w:val="0B2545"/>
          <w:sz w:val="19"/>
        </w:rPr>
        <w:t>Tabla 8. Estado por capacidad</w:t>
      </w:r>
    </w:p>
    <w:tbl>
      <w:tblPr>
        <w:tblStyle w:val="TableGrid"/>
        <w:tblW w:type="dxa" w:w="9360"/>
        <w:jc w:val="left"/>
        <w:tblLayout w:type="fixed"/>
        <w:tblLook w:firstColumn="1" w:firstRow="1" w:lastColumn="0" w:lastRow="0" w:noHBand="0" w:noVBand="1" w:val="04A0"/>
        <w:tblInd w:w="120" w:type="dxa"/>
      </w:tblPr>
      <w:tblGrid>
        <w:gridCol w:w="1900"/>
        <w:gridCol w:w="1550"/>
        <w:gridCol w:w="2820"/>
        <w:gridCol w:w="3090"/>
      </w:tblGrid>
      <w:tr>
        <w:trPr>
          <w:tblHeader w:val="true"/>
        </w:trPr>
        <w:tc>
          <w:tcPr>
            <w:tcW w:type="dxa" w:w="1900"/>
            <w:shd w:fill="F2F4F7"/>
            <w:tcMar>
              <w:top w:w="80" w:type="dxa"/>
              <w:start w:w="120" w:type="dxa"/>
              <w:bottom w:w="80" w:type="dxa"/>
              <w:end w:w="120" w:type="dxa"/>
            </w:tcMar>
            <w:vAlign w:val="center"/>
          </w:tcPr>
          <w:p>
            <w:pPr>
              <w:jc w:val="center"/>
            </w:pPr>
            <w:r>
              <w:rPr>
                <w:rFonts w:ascii="Calibri" w:hAnsi="Calibri"/>
                <w:b/>
                <w:color w:val="0B2545"/>
                <w:sz w:val="18"/>
              </w:rPr>
              <w:t>Área</w:t>
            </w:r>
          </w:p>
        </w:tc>
        <w:tc>
          <w:tcPr>
            <w:tcW w:type="dxa" w:w="1550"/>
            <w:shd w:fill="F2F4F7"/>
            <w:tcMar>
              <w:top w:w="80" w:type="dxa"/>
              <w:start w:w="120" w:type="dxa"/>
              <w:bottom w:w="80" w:type="dxa"/>
              <w:end w:w="120" w:type="dxa"/>
            </w:tcMar>
            <w:vAlign w:val="center"/>
          </w:tcPr>
          <w:p>
            <w:pPr>
              <w:jc w:val="center"/>
            </w:pPr>
            <w:r>
              <w:rPr>
                <w:rFonts w:ascii="Calibri" w:hAnsi="Calibri"/>
                <w:b/>
                <w:color w:val="0B2545"/>
                <w:sz w:val="18"/>
              </w:rPr>
              <w:t>Estado</w:t>
            </w:r>
          </w:p>
        </w:tc>
        <w:tc>
          <w:tcPr>
            <w:tcW w:type="dxa" w:w="2820"/>
            <w:shd w:fill="F2F4F7"/>
            <w:tcMar>
              <w:top w:w="80" w:type="dxa"/>
              <w:start w:w="120" w:type="dxa"/>
              <w:bottom w:w="80" w:type="dxa"/>
              <w:end w:w="120" w:type="dxa"/>
            </w:tcMar>
            <w:vAlign w:val="center"/>
          </w:tcPr>
          <w:p>
            <w:pPr>
              <w:jc w:val="center"/>
            </w:pPr>
            <w:r>
              <w:rPr>
                <w:rFonts w:ascii="Calibri" w:hAnsi="Calibri"/>
                <w:b/>
                <w:color w:val="0B2545"/>
                <w:sz w:val="18"/>
              </w:rPr>
              <w:t>Qué existe</w:t>
            </w:r>
          </w:p>
        </w:tc>
        <w:tc>
          <w:tcPr>
            <w:tcW w:type="dxa" w:w="3090"/>
            <w:shd w:fill="F2F4F7"/>
            <w:tcMar>
              <w:top w:w="80" w:type="dxa"/>
              <w:start w:w="120" w:type="dxa"/>
              <w:bottom w:w="80" w:type="dxa"/>
              <w:end w:w="120" w:type="dxa"/>
            </w:tcMar>
            <w:vAlign w:val="center"/>
          </w:tcPr>
          <w:p>
            <w:pPr>
              <w:jc w:val="left"/>
            </w:pPr>
            <w:r>
              <w:rPr>
                <w:rFonts w:ascii="Calibri" w:hAnsi="Calibri"/>
                <w:b/>
                <w:color w:val="0B2545"/>
                <w:sz w:val="18"/>
              </w:rPr>
              <w:t>Qué falta para cierre</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Infraestructura local</w:t>
            </w:r>
          </w:p>
        </w:tc>
        <w:tc>
          <w:tcPr>
            <w:tcW w:type="dxa" w:w="1550"/>
            <w:tcMar>
              <w:top w:w="80" w:type="dxa"/>
              <w:start w:w="120" w:type="dxa"/>
              <w:bottom w:w="80" w:type="dxa"/>
              <w:end w:w="120" w:type="dxa"/>
            </w:tcMar>
            <w:vAlign w:val="center"/>
          </w:tcPr>
          <w:p>
            <w:pPr>
              <w:jc w:val="center"/>
            </w:pPr>
            <w:r>
              <w:rPr>
                <w:rFonts w:ascii="Calibri" w:hAnsi="Calibri"/>
                <w:b/>
                <w:color w:val="2F7D32"/>
                <w:sz w:val="18"/>
              </w:rPr>
              <w:t>Completado</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Compose, Caddy, Postgres, MinIO, health</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Runbook producción y restore</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Identidad y acceso</w:t>
            </w:r>
          </w:p>
        </w:tc>
        <w:tc>
          <w:tcPr>
            <w:tcW w:type="dxa" w:w="1550"/>
            <w:shd w:fill="FAFBFC"/>
            <w:tcMar>
              <w:top w:w="80" w:type="dxa"/>
              <w:start w:w="120" w:type="dxa"/>
              <w:bottom w:w="80" w:type="dxa"/>
              <w:end w:w="120" w:type="dxa"/>
            </w:tcMar>
            <w:vAlign w:val="center"/>
          </w:tcPr>
          <w:p>
            <w:pPr>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JWT, refresh, roles, BCrypt</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Administración de usuarios, MFA/SSO evaluado, matriz de permisos final</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Auditoría</w:t>
            </w:r>
          </w:p>
        </w:tc>
        <w:tc>
          <w:tcPr>
            <w:tcW w:type="dxa" w:w="1550"/>
            <w:tcMar>
              <w:top w:w="80" w:type="dxa"/>
              <w:start w:w="120" w:type="dxa"/>
              <w:bottom w:w="80" w:type="dxa"/>
              <w:end w:w="120" w:type="dxa"/>
            </w:tcMar>
            <w:vAlign w:val="center"/>
          </w:tcPr>
          <w:p>
            <w:pPr>
              <w:jc w:val="center"/>
            </w:pPr>
            <w:r>
              <w:rPr>
                <w:rFonts w:ascii="Calibri" w:hAnsi="Calibri"/>
                <w:b/>
                <w:color w:val="2F7D32"/>
                <w:sz w:val="18"/>
              </w:rPr>
              <w:t>Completado</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Interceptor + trigger append-only</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Explotación, retención y reportes</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Dominio predial</w:t>
            </w:r>
          </w:p>
        </w:tc>
        <w:tc>
          <w:tcPr>
            <w:tcW w:type="dxa" w:w="1550"/>
            <w:shd w:fill="FAFBFC"/>
            <w:tcMar>
              <w:top w:w="80" w:type="dxa"/>
              <w:start w:w="120" w:type="dxa"/>
              <w:bottom w:w="80" w:type="dxa"/>
              <w:end w:w="120" w:type="dxa"/>
            </w:tcMar>
            <w:vAlign w:val="center"/>
          </w:tcPr>
          <w:p>
            <w:pPr>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Predio, propietario, historial, documentos</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Mutaciones complejas, colindancias y catálogos oficiales</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Importación</w:t>
            </w:r>
          </w:p>
        </w:tc>
        <w:tc>
          <w:tcPr>
            <w:tcW w:type="dxa" w:w="1550"/>
            <w:tcMar>
              <w:top w:w="80" w:type="dxa"/>
              <w:start w:w="120" w:type="dxa"/>
              <w:bottom w:w="80" w:type="dxa"/>
              <w:end w:w="120" w:type="dxa"/>
            </w:tcMar>
            <w:vAlign w:val="center"/>
          </w:tcPr>
          <w:p>
            <w:pPr>
              <w:jc w:val="center"/>
            </w:pPr>
            <w:r>
              <w:rPr>
                <w:rFonts w:ascii="Calibri" w:hAnsi="Calibri"/>
                <w:b/>
                <w:color w:val="A46A00"/>
                <w:sz w:val="18"/>
              </w:rPr>
              <w:t>Parcial</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Async, preview, activación y esquema municipal</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Composición parcial segura y limpieza de artefactos</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Calidad GIS</w:t>
            </w:r>
          </w:p>
        </w:tc>
        <w:tc>
          <w:tcPr>
            <w:tcW w:type="dxa" w:w="1550"/>
            <w:shd w:fill="FAFBFC"/>
            <w:tcMar>
              <w:top w:w="80" w:type="dxa"/>
              <w:start w:w="120" w:type="dxa"/>
              <w:bottom w:w="80" w:type="dxa"/>
              <w:end w:w="120" w:type="dxa"/>
            </w:tcMar>
            <w:vAlign w:val="center"/>
          </w:tcPr>
          <w:p>
            <w:pPr>
              <w:jc w:val="center"/>
            </w:pPr>
            <w:r>
              <w:rPr>
                <w:rFonts w:ascii="Calibri" w:hAnsi="Calibri"/>
                <w:b/>
                <w:color w:val="A46A00"/>
                <w:sz w:val="18"/>
              </w:rPr>
              <w:t>Parcial</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O1/O4, M-LECTOR, PostGIS</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Métricas institucionales y política DBF encoding</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Visor</w:t>
            </w:r>
          </w:p>
        </w:tc>
        <w:tc>
          <w:tcPr>
            <w:tcW w:type="dxa" w:w="1550"/>
            <w:tcMar>
              <w:top w:w="80" w:type="dxa"/>
              <w:start w:w="120" w:type="dxa"/>
              <w:bottom w:w="80" w:type="dxa"/>
              <w:end w:w="120" w:type="dxa"/>
            </w:tcMar>
            <w:vAlign w:val="center"/>
          </w:tcPr>
          <w:p>
            <w:pPr>
              <w:jc w:val="center"/>
            </w:pPr>
            <w:r>
              <w:rPr>
                <w:rFonts w:ascii="Calibri" w:hAnsi="Calibri"/>
                <w:b/>
                <w:color w:val="2F7D32"/>
                <w:sz w:val="18"/>
              </w:rPr>
              <w:t>Completado MVP</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MVT, MapLibre, capas, hot-swap</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Accesibilidad, performance y UX operativa</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Búsqueda/ficha</w:t>
            </w:r>
          </w:p>
        </w:tc>
        <w:tc>
          <w:tcPr>
            <w:tcW w:type="dxa" w:w="1550"/>
            <w:shd w:fill="FAFBFC"/>
            <w:tcMar>
              <w:top w:w="80" w:type="dxa"/>
              <w:start w:w="120" w:type="dxa"/>
              <w:bottom w:w="80" w:type="dxa"/>
              <w:end w:w="120" w:type="dxa"/>
            </w:tcMar>
            <w:vAlign w:val="center"/>
          </w:tcPr>
          <w:p>
            <w:pPr>
              <w:jc w:val="center"/>
            </w:pPr>
            <w:r>
              <w:rPr>
                <w:rFonts w:ascii="Calibri" w:hAnsi="Calibri"/>
                <w:b/>
                <w:color w:val="2F7D32"/>
                <w:sz w:val="18"/>
              </w:rPr>
              <w:t>Completado MVP</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Tripleta y versión activa</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Más criterios, privacidad y datos oficiales</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Croquis</w:t>
            </w:r>
          </w:p>
        </w:tc>
        <w:tc>
          <w:tcPr>
            <w:tcW w:type="dxa" w:w="1550"/>
            <w:tcMar>
              <w:top w:w="80" w:type="dxa"/>
              <w:start w:w="120" w:type="dxa"/>
              <w:bottom w:w="80" w:type="dxa"/>
              <w:end w:w="120" w:type="dxa"/>
            </w:tcMar>
            <w:vAlign w:val="center"/>
          </w:tcPr>
          <w:p>
            <w:pPr>
              <w:jc w:val="center"/>
            </w:pPr>
            <w:r>
              <w:rPr>
                <w:rFonts w:ascii="Calibri" w:hAnsi="Calibri"/>
                <w:b/>
                <w:color w:val="2F7D32"/>
                <w:sz w:val="18"/>
              </w:rPr>
              <w:t>Completado MVP</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SVG, escala, norte, fecha</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Integración en certificado</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Multimunicipio</w:t>
            </w:r>
          </w:p>
        </w:tc>
        <w:tc>
          <w:tcPr>
            <w:tcW w:type="dxa" w:w="1550"/>
            <w:shd w:fill="FAFBFC"/>
            <w:tcMar>
              <w:top w:w="80" w:type="dxa"/>
              <w:start w:w="120" w:type="dxa"/>
              <w:bottom w:w="80" w:type="dxa"/>
              <w:end w:w="120" w:type="dxa"/>
            </w:tcMar>
            <w:vAlign w:val="center"/>
          </w:tcPr>
          <w:p>
            <w:pPr>
              <w:jc w:val="center"/>
            </w:pPr>
            <w:r>
              <w:rPr>
                <w:rFonts w:ascii="Calibri" w:hAnsi="Calibri"/>
                <w:b/>
                <w:color w:val="2F7D32"/>
                <w:sz w:val="18"/>
              </w:rPr>
              <w:t>Completado base</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INE, esquemas y dos municipios</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Automatizar provisión por instancia</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Caranavi predial</w:t>
            </w:r>
          </w:p>
        </w:tc>
        <w:tc>
          <w:tcPr>
            <w:tcW w:type="dxa" w:w="1550"/>
            <w:tcMar>
              <w:top w:w="80" w:type="dxa"/>
              <w:start w:w="120" w:type="dxa"/>
              <w:bottom w:w="80" w:type="dxa"/>
              <w:end w:w="120" w:type="dxa"/>
            </w:tcMar>
            <w:vAlign w:val="center"/>
          </w:tcPr>
          <w:p>
            <w:pPr>
              <w:jc w:val="center"/>
            </w:pPr>
            <w:r>
              <w:rPr>
                <w:rFonts w:ascii="Calibri" w:hAnsi="Calibri"/>
                <w:b/>
                <w:color w:val="9B1C1C"/>
                <w:sz w:val="18"/>
              </w:rPr>
              <w:t>Bloqueado</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PRE_NOF_CAR listo</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3.B.7 y estrategia de identidad</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Valuación</w:t>
            </w:r>
          </w:p>
        </w:tc>
        <w:tc>
          <w:tcPr>
            <w:tcW w:type="dxa" w:w="1550"/>
            <w:shd w:fill="FAFBFC"/>
            <w:tcMar>
              <w:top w:w="80" w:type="dxa"/>
              <w:start w:w="120" w:type="dxa"/>
              <w:bottom w:w="80" w:type="dxa"/>
              <w:end w:w="120" w:type="dxa"/>
            </w:tcMar>
            <w:vAlign w:val="center"/>
          </w:tcPr>
          <w:p>
            <w:pPr>
              <w:jc w:val="center"/>
            </w:pPr>
            <w:r>
              <w:rPr>
                <w:rFonts w:ascii="Calibri" w:hAnsi="Calibri"/>
                <w:b/>
                <w:color w:val="A46A00"/>
                <w:sz w:val="18"/>
              </w:rPr>
              <w:t>Diseño parcial</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ADR 0045 y evidencia Uyuni</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Modelo, fórmula versionada y valores oficiales</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Certificados</w:t>
            </w:r>
          </w:p>
        </w:tc>
        <w:tc>
          <w:tcPr>
            <w:tcW w:type="dxa" w:w="1550"/>
            <w:tcMar>
              <w:top w:w="80" w:type="dxa"/>
              <w:start w:w="120" w:type="dxa"/>
              <w:bottom w:w="80" w:type="dxa"/>
              <w:end w:w="120" w:type="dxa"/>
            </w:tcMar>
            <w:vAlign w:val="center"/>
          </w:tcPr>
          <w:p>
            <w:pPr>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Croquis reutilizable</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PDF, folio, QR, emisión</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Trámites</w:t>
            </w:r>
          </w:p>
        </w:tc>
        <w:tc>
          <w:tcPr>
            <w:tcW w:type="dxa" w:w="1550"/>
            <w:shd w:fill="FAFBFC"/>
            <w:tcMar>
              <w:top w:w="80" w:type="dxa"/>
              <w:start w:w="120" w:type="dxa"/>
              <w:bottom w:w="80" w:type="dxa"/>
              <w:end w:w="120" w:type="dxa"/>
            </w:tcMar>
            <w:vAlign w:val="center"/>
          </w:tcPr>
          <w:p>
            <w:pPr>
              <w:jc w:val="center"/>
            </w:pPr>
            <w:r>
              <w:rPr>
                <w:rFonts w:ascii="Calibri" w:hAnsi="Calibri"/>
                <w:b/>
                <w:color w:val="1F2937"/>
                <w:sz w:val="18"/>
              </w:rPr>
              <w:t>Pendiente</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Patrones de estados existentes</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Flujos, bandeja, documentos y mutaciones</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Tributación</w:t>
            </w:r>
          </w:p>
        </w:tc>
        <w:tc>
          <w:tcPr>
            <w:tcW w:type="dxa" w:w="1550"/>
            <w:tcMar>
              <w:top w:w="80" w:type="dxa"/>
              <w:start w:w="120" w:type="dxa"/>
              <w:bottom w:w="80" w:type="dxa"/>
              <w:end w:w="120" w:type="dxa"/>
            </w:tcMar>
            <w:vAlign w:val="center"/>
          </w:tcPr>
          <w:p>
            <w:pPr>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Datos base y diseño</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Decisión RUAT, IPBI y reportes</w:t>
            </w:r>
          </w:p>
        </w:tc>
      </w:tr>
      <w:tr>
        <w:tc>
          <w:tcPr>
            <w:tcW w:type="dxa" w:w="1900"/>
            <w:shd w:fill="FAFBFC"/>
            <w:tcMar>
              <w:top w:w="80" w:type="dxa"/>
              <w:start w:w="120" w:type="dxa"/>
              <w:bottom w:w="80" w:type="dxa"/>
              <w:end w:w="120" w:type="dxa"/>
            </w:tcMar>
            <w:vAlign w:val="center"/>
          </w:tcPr>
          <w:p>
            <w:pPr>
              <w:jc w:val="left"/>
            </w:pPr>
            <w:r>
              <w:rPr>
                <w:rFonts w:ascii="Calibri" w:hAnsi="Calibri"/>
                <w:b w:val="0"/>
                <w:color w:val="1F2937"/>
                <w:sz w:val="18"/>
              </w:rPr>
              <w:t>Portal ciudadano</w:t>
            </w:r>
          </w:p>
        </w:tc>
        <w:tc>
          <w:tcPr>
            <w:tcW w:type="dxa" w:w="1550"/>
            <w:shd w:fill="FAFBFC"/>
            <w:tcMar>
              <w:top w:w="80" w:type="dxa"/>
              <w:start w:w="120" w:type="dxa"/>
              <w:bottom w:w="80" w:type="dxa"/>
              <w:end w:w="120" w:type="dxa"/>
            </w:tcMar>
            <w:vAlign w:val="center"/>
          </w:tcPr>
          <w:p>
            <w:pPr>
              <w:jc w:val="center"/>
            </w:pPr>
            <w:r>
              <w:rPr>
                <w:rFonts w:ascii="Calibri" w:hAnsi="Calibri"/>
                <w:b/>
                <w:color w:val="1F2937"/>
                <w:sz w:val="18"/>
              </w:rPr>
              <w:t>Pendiente</w:t>
            </w:r>
          </w:p>
        </w:tc>
        <w:tc>
          <w:tcPr>
            <w:tcW w:type="dxa" w:w="2820"/>
            <w:shd w:fill="FAFBFC"/>
            <w:tcMar>
              <w:top w:w="80" w:type="dxa"/>
              <w:start w:w="120" w:type="dxa"/>
              <w:bottom w:w="80" w:type="dxa"/>
              <w:end w:w="120" w:type="dxa"/>
            </w:tcMar>
            <w:vAlign w:val="center"/>
          </w:tcPr>
          <w:p>
            <w:pPr>
              <w:jc w:val="left"/>
            </w:pPr>
            <w:r>
              <w:rPr>
                <w:rFonts w:ascii="Calibri" w:hAnsi="Calibri"/>
                <w:b w:val="0"/>
                <w:color w:val="1F2937"/>
                <w:sz w:val="18"/>
              </w:rPr>
              <w:t>Base Blazor y verificación futura</w:t>
            </w:r>
          </w:p>
        </w:tc>
        <w:tc>
          <w:tcPr>
            <w:tcW w:type="dxa" w:w="3090"/>
            <w:shd w:fill="FAFBFC"/>
            <w:tcMar>
              <w:top w:w="80" w:type="dxa"/>
              <w:start w:w="120" w:type="dxa"/>
              <w:bottom w:w="80" w:type="dxa"/>
              <w:end w:w="120" w:type="dxa"/>
            </w:tcMar>
            <w:vAlign w:val="center"/>
          </w:tcPr>
          <w:p>
            <w:pPr>
              <w:jc w:val="left"/>
            </w:pPr>
            <w:r>
              <w:rPr>
                <w:rFonts w:ascii="Calibri" w:hAnsi="Calibri"/>
                <w:b w:val="0"/>
                <w:color w:val="1F2937"/>
                <w:sz w:val="18"/>
              </w:rPr>
              <w:t>Privacidad, rate limit y UX pública</w:t>
            </w:r>
          </w:p>
        </w:tc>
      </w:tr>
      <w:tr>
        <w:tc>
          <w:tcPr>
            <w:tcW w:type="dxa" w:w="1900"/>
            <w:tcMar>
              <w:top w:w="80" w:type="dxa"/>
              <w:start w:w="120" w:type="dxa"/>
              <w:bottom w:w="80" w:type="dxa"/>
              <w:end w:w="120" w:type="dxa"/>
            </w:tcMar>
            <w:vAlign w:val="center"/>
          </w:tcPr>
          <w:p>
            <w:pPr>
              <w:jc w:val="left"/>
            </w:pPr>
            <w:r>
              <w:rPr>
                <w:rFonts w:ascii="Calibri" w:hAnsi="Calibri"/>
                <w:b w:val="0"/>
                <w:color w:val="1F2937"/>
                <w:sz w:val="18"/>
              </w:rPr>
              <w:t>Producción</w:t>
            </w:r>
          </w:p>
        </w:tc>
        <w:tc>
          <w:tcPr>
            <w:tcW w:type="dxa" w:w="1550"/>
            <w:tcMar>
              <w:top w:w="80" w:type="dxa"/>
              <w:start w:w="120" w:type="dxa"/>
              <w:bottom w:w="80" w:type="dxa"/>
              <w:end w:w="120" w:type="dxa"/>
            </w:tcMar>
            <w:vAlign w:val="center"/>
          </w:tcPr>
          <w:p>
            <w:pPr>
              <w:jc w:val="center"/>
            </w:pPr>
            <w:r>
              <w:rPr>
                <w:rFonts w:ascii="Calibri" w:hAnsi="Calibri"/>
                <w:b/>
                <w:color w:val="1F2937"/>
                <w:sz w:val="18"/>
              </w:rPr>
              <w:t>Pendiente</w:t>
            </w:r>
          </w:p>
        </w:tc>
        <w:tc>
          <w:tcPr>
            <w:tcW w:type="dxa" w:w="2820"/>
            <w:tcMar>
              <w:top w:w="80" w:type="dxa"/>
              <w:start w:w="120" w:type="dxa"/>
              <w:bottom w:w="80" w:type="dxa"/>
              <w:end w:w="120" w:type="dxa"/>
            </w:tcMar>
            <w:vAlign w:val="center"/>
          </w:tcPr>
          <w:p>
            <w:pPr>
              <w:jc w:val="left"/>
            </w:pPr>
            <w:r>
              <w:rPr>
                <w:rFonts w:ascii="Calibri" w:hAnsi="Calibri"/>
                <w:b w:val="0"/>
                <w:color w:val="1F2937"/>
                <w:sz w:val="18"/>
              </w:rPr>
              <w:t>Modelo nube-primero decidido</w:t>
            </w:r>
          </w:p>
        </w:tc>
        <w:tc>
          <w:tcPr>
            <w:tcW w:type="dxa" w:w="3090"/>
            <w:tcMar>
              <w:top w:w="80" w:type="dxa"/>
              <w:start w:w="120" w:type="dxa"/>
              <w:bottom w:w="80" w:type="dxa"/>
              <w:end w:w="120" w:type="dxa"/>
            </w:tcMar>
            <w:vAlign w:val="center"/>
          </w:tcPr>
          <w:p>
            <w:pPr>
              <w:jc w:val="left"/>
            </w:pPr>
            <w:r>
              <w:rPr>
                <w:rFonts w:ascii="Calibri" w:hAnsi="Calibri"/>
                <w:b w:val="0"/>
                <w:color w:val="1F2937"/>
                <w:sz w:val="18"/>
              </w:rPr>
              <w:t>VPS, TLS, backup/restore, monitoreo y SLA</w:t>
            </w:r>
          </w:p>
        </w:tc>
      </w:tr>
    </w:tbl>
    <w:p>
      <w:pPr>
        <w:spacing w:before="80" w:after="80"/>
      </w:pPr>
      <w:r>
        <w:rPr>
          <w:rFonts w:ascii="Calibri" w:hAnsi="Calibri"/>
          <w:i/>
          <w:color w:val="5F6B7A"/>
          <w:sz w:val="17"/>
        </w:rPr>
        <w:t>Fuente: código, ADR y PLAN_MAESTRO contrastados con evidencia actual.</w:t>
      </w:r>
    </w:p>
    <w:p>
      <w:pPr>
        <w:pStyle w:val="Heading1"/>
      </w:pPr>
      <w:r>
        <w:t>8. Observaciones para consolidar el mejor referente catastral posible</w:t>
      </w:r>
    </w:p>
    <w:p>
      <w:pPr/>
      <w:r>
        <w:rPr>
          <w:rFonts w:ascii="Calibri" w:hAnsi="Calibri"/>
          <w:i w:val="0"/>
          <w:color w:val="1F2937"/>
          <w:sz w:val="22"/>
        </w:rPr>
        <w:t>Las siguientes observaciones no son críticas decorativas. Son condiciones para pasar de un sistema técnicamente prometedor a un producto institucional confiable, operable y replicable.</w:t>
      </w:r>
    </w:p>
    <w:p>
      <w:pPr>
        <w:spacing w:before="80" w:after="80"/>
      </w:pPr>
      <w:r>
        <w:rPr>
          <w:rFonts w:ascii="Calibri" w:hAnsi="Calibri"/>
          <w:b/>
          <w:color w:val="0B2545"/>
          <w:sz w:val="19"/>
        </w:rPr>
        <w:t>Tabla 9. Registro consolidado de observaciones</w:t>
      </w:r>
    </w:p>
    <w:tbl>
      <w:tblPr>
        <w:tblStyle w:val="TableGrid"/>
        <w:tblW w:type="dxa" w:w="9360"/>
        <w:jc w:val="left"/>
        <w:tblLayout w:type="fixed"/>
        <w:tblLook w:firstColumn="1" w:firstRow="1" w:lastColumn="0" w:lastRow="0" w:noHBand="0" w:noVBand="1" w:val="04A0"/>
        <w:tblInd w:w="120" w:type="dxa"/>
      </w:tblPr>
      <w:tblGrid>
        <w:gridCol w:w="2450"/>
        <w:gridCol w:w="5410"/>
        <w:gridCol w:w="1500"/>
      </w:tblGrid>
      <w:tr>
        <w:trPr>
          <w:tblHeader w:val="true"/>
        </w:trPr>
        <w:tc>
          <w:tcPr>
            <w:tcW w:type="dxa" w:w="2450"/>
            <w:shd w:fill="F2F4F7"/>
            <w:tcMar>
              <w:top w:w="80" w:type="dxa"/>
              <w:start w:w="120" w:type="dxa"/>
              <w:bottom w:w="80" w:type="dxa"/>
              <w:end w:w="120" w:type="dxa"/>
            </w:tcMar>
            <w:vAlign w:val="center"/>
          </w:tcPr>
          <w:p>
            <w:pPr>
              <w:jc w:val="left"/>
            </w:pPr>
            <w:r>
              <w:rPr>
                <w:rFonts w:ascii="Calibri" w:hAnsi="Calibri"/>
                <w:b/>
                <w:color w:val="0B2545"/>
                <w:sz w:val="18"/>
              </w:rPr>
              <w:t>ID / observación</w:t>
            </w:r>
          </w:p>
        </w:tc>
        <w:tc>
          <w:tcPr>
            <w:tcW w:type="dxa" w:w="5410"/>
            <w:shd w:fill="F2F4F7"/>
            <w:tcMar>
              <w:top w:w="80" w:type="dxa"/>
              <w:start w:w="120" w:type="dxa"/>
              <w:bottom w:w="80" w:type="dxa"/>
              <w:end w:w="120" w:type="dxa"/>
            </w:tcMar>
            <w:vAlign w:val="center"/>
          </w:tcPr>
          <w:p>
            <w:pPr>
              <w:jc w:val="left"/>
            </w:pPr>
            <w:r>
              <w:rPr>
                <w:rFonts w:ascii="Calibri" w:hAnsi="Calibri"/>
                <w:b/>
                <w:color w:val="0B2545"/>
                <w:sz w:val="18"/>
              </w:rPr>
              <w:t>Acción correctiva</w:t>
            </w:r>
          </w:p>
        </w:tc>
        <w:tc>
          <w:tcPr>
            <w:tcW w:type="dxa" w:w="1500"/>
            <w:shd w:fill="F2F4F7"/>
            <w:tcMar>
              <w:top w:w="80" w:type="dxa"/>
              <w:start w:w="120" w:type="dxa"/>
              <w:bottom w:w="80" w:type="dxa"/>
              <w:end w:w="120" w:type="dxa"/>
            </w:tcMar>
            <w:vAlign w:val="center"/>
          </w:tcPr>
          <w:p>
            <w:pPr>
              <w:jc w:val="center"/>
            </w:pPr>
            <w:r>
              <w:rPr>
                <w:rFonts w:ascii="Calibri" w:hAnsi="Calibri"/>
                <w:b/>
                <w:color w:val="0B2545"/>
                <w:sz w:val="18"/>
              </w:rPr>
              <w:t>Prioridad</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O-01 · Fuente de verdad desalineada</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AGENTS.md aún declara React mientras el producto usa Blazor WASM. Corregir antes de nuevas tareas frontend.</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O-02 · PLAN_MAESTRO desactualizado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Su siguiente acción todavía apunta a Fase 0 y DP-05, aunque Fases 0–2 y 3.A ya cerraron y el DGN fue obtenido.</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O-03 · Hallazgo 3.B.7 inexacto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El archivo staged contradice el código en obligatoriedad, consumo de perfiles y activación.</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O-04 · Semántica de importación parcial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Definir composición N+1 o mantener snapshots completos; no introducir un bypass por perfil.</w:t>
            </w:r>
          </w:p>
        </w:tc>
        <w:tc>
          <w:tcPr>
            <w:tcW w:type="dxa" w:w="1500"/>
            <w:shd w:fill="FAFBFC"/>
            <w:tcMar>
              <w:top w:w="80" w:type="dxa"/>
              <w:start w:w="120" w:type="dxa"/>
              <w:bottom w:w="80" w:type="dxa"/>
              <w:end w:w="120" w:type="dxa"/>
            </w:tcMar>
            <w:vAlign w:val="center"/>
          </w:tcPr>
          <w:p>
            <w:pPr>
              <w:jc w:val="center"/>
            </w:pPr>
            <w:r>
              <w:rPr>
                <w:rFonts w:ascii="Calibri" w:hAnsi="Calibri"/>
                <w:b/>
                <w:color w:val="9B1C1C"/>
                <w:sz w:val="18"/>
              </w:rPr>
              <w:t>Crítica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O-05 · Identidad provisional Caranavi</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cod_pred sin cod_uv/cod_man no identifica; mantener staging y trazabilidad hasta decisión con el GAM.</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O-06 · ADR 0045 no consolidado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Sigue Propuesta, reconstruido y con decisiones numeradas por verificar; dividir y ratificar antes del motor.</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O-07 · Integración no exigida en CI</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Los 63 tests PostGIS pasan localmente, pero el plan registra que CI no los ejecuta.</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O-08 · Build interferido por API local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Formalizar un gate que detecte/prohíba binarios bloqueados o use directorios de salida aislados.</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O-09 · SG.Web.E2E fuera de suite</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Mantenerlo independiente es válido, pero cada release de visor debe aportar evidencia E2E y revisión visual.</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O-10 · Seeder solo aditivo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No reconcilia configuraciones divergentes; crear verificación fail-closed o migración de configuración.</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O-11 · Encoding DBF</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Cerrar DT-LECTOR-2 antes de incorporar fuentes de nuevas codepages.</w:t>
            </w:r>
          </w:p>
        </w:tc>
        <w:tc>
          <w:tcPr>
            <w:tcW w:type="dxa" w:w="1500"/>
            <w:tcMar>
              <w:top w:w="80" w:type="dxa"/>
              <w:start w:w="120" w:type="dxa"/>
              <w:bottom w:w="80" w:type="dxa"/>
              <w:end w:w="120" w:type="dxa"/>
            </w:tcMar>
            <w:vAlign w:val="center"/>
          </w:tcPr>
          <w:p>
            <w:pPr>
              <w:jc w:val="center"/>
            </w:pPr>
            <w:r>
              <w:rPr>
                <w:rFonts w:ascii="Calibri" w:hAnsi="Calibri"/>
                <w:b/>
                <w:color w:val="1F2937"/>
                <w:sz w:val="18"/>
              </w:rPr>
              <w:t>Media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O-12 · Ciclo de artefactos MinIO</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Implementar retención/limpieza de paquetes fallidos y previews huérfanos con auditoría.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Media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O-13 · Linaje por capa</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Una DatasetVersion compuesta debe registrar de qué versión/paquete provino cada capa.</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O-14 · Calidad medible</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Definir indicadores por municipio: completitud, validez, unicidad, cobertura, actualidad y precisión.</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O-15 · Privacidad</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Aprobar DP-04 y una clasificación de datos antes de portal, QR o reportes públicos.</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O-16 · Catálogos oficiales</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Separar claramente provisional, municipal aprobado y nacional; versionar vigencia y fuente.</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O-17 · Respaldo no probado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No declarar producción hasta demostrar restore completo de Postgres + MinIO.</w:t>
            </w:r>
          </w:p>
        </w:tc>
        <w:tc>
          <w:tcPr>
            <w:tcW w:type="dxa" w:w="1500"/>
            <w:tcMar>
              <w:top w:w="80" w:type="dxa"/>
              <w:start w:w="120" w:type="dxa"/>
              <w:bottom w:w="80" w:type="dxa"/>
              <w:end w:w="120" w:type="dxa"/>
            </w:tcMar>
            <w:vAlign w:val="center"/>
          </w:tcPr>
          <w:p>
            <w:pPr>
              <w:jc w:val="center"/>
            </w:pPr>
            <w:r>
              <w:rPr>
                <w:rFonts w:ascii="Calibri" w:hAnsi="Calibri"/>
                <w:b/>
                <w:color w:val="9B1C1C"/>
                <w:sz w:val="18"/>
              </w:rPr>
              <w:t>Crítica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O-18 · Observabilidad</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Añadir métricas, alertas, correlación y tableros operativos por instancia.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O-19 · Seguridad de suministro</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Automatizar dependencias vulnerables, SBOM, imágenes firmadas y parcheo.</w:t>
            </w:r>
          </w:p>
        </w:tc>
        <w:tc>
          <w:tcPr>
            <w:tcW w:type="dxa" w:w="1500"/>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O-20 · Continuidad del mantenedor</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Manual de arquitectura, runbooks, onboarding y soporte deben reducir dependencia de una persona.</w:t>
            </w:r>
          </w:p>
        </w:tc>
        <w:tc>
          <w:tcPr>
            <w:tcW w:type="dxa" w:w="1500"/>
            <w:shd w:fill="FAFBFC"/>
            <w:tcMar>
              <w:top w:w="80" w:type="dxa"/>
              <w:start w:w="120" w:type="dxa"/>
              <w:bottom w:w="80" w:type="dxa"/>
              <w:end w:w="120" w:type="dxa"/>
            </w:tcMar>
            <w:vAlign w:val="center"/>
          </w:tcPr>
          <w:p>
            <w:pPr>
              <w:jc w:val="center"/>
            </w:pPr>
            <w:r>
              <w:rPr>
                <w:rFonts w:ascii="Calibri" w:hAnsi="Calibri"/>
                <w:b/>
                <w:color w:val="1F2937"/>
                <w:sz w:val="18"/>
              </w:rPr>
              <w:t>Alta</w:t>
            </w:r>
          </w:p>
        </w:tc>
      </w:tr>
      <w:tr>
        <w:tc>
          <w:tcPr>
            <w:tcW w:type="dxa" w:w="2450"/>
            <w:tcMar>
              <w:top w:w="80" w:type="dxa"/>
              <w:start w:w="120" w:type="dxa"/>
              <w:bottom w:w="80" w:type="dxa"/>
              <w:end w:w="120" w:type="dxa"/>
            </w:tcMar>
            <w:vAlign w:val="center"/>
          </w:tcPr>
          <w:p>
            <w:pPr>
              <w:jc w:val="left"/>
            </w:pPr>
            <w:r>
              <w:rPr>
                <w:rFonts w:ascii="Calibri" w:hAnsi="Calibri"/>
                <w:b w:val="0"/>
                <w:color w:val="1F2937"/>
                <w:sz w:val="18"/>
              </w:rPr>
              <w:t>O-21 · Accesibilidad y conectividad</w:t>
            </w:r>
          </w:p>
        </w:tc>
        <w:tc>
          <w:tcPr>
            <w:tcW w:type="dxa" w:w="5410"/>
            <w:tcMar>
              <w:top w:w="80" w:type="dxa"/>
              <w:start w:w="120" w:type="dxa"/>
              <w:bottom w:w="80" w:type="dxa"/>
              <w:end w:w="120" w:type="dxa"/>
            </w:tcMar>
            <w:vAlign w:val="center"/>
          </w:tcPr>
          <w:p>
            <w:pPr>
              <w:jc w:val="left"/>
            </w:pPr>
            <w:r>
              <w:rPr>
                <w:rFonts w:ascii="Calibri" w:hAnsi="Calibri"/>
                <w:b w:val="0"/>
                <w:color w:val="1F2937"/>
                <w:sz w:val="18"/>
              </w:rPr>
              <w:t>Diseñar para teclado, contraste, baja conectividad y equipos modestos municipales.</w:t>
            </w:r>
          </w:p>
        </w:tc>
        <w:tc>
          <w:tcPr>
            <w:tcW w:type="dxa" w:w="1500"/>
            <w:tcMar>
              <w:top w:w="80" w:type="dxa"/>
              <w:start w:w="120" w:type="dxa"/>
              <w:bottom w:w="80" w:type="dxa"/>
              <w:end w:w="120" w:type="dxa"/>
            </w:tcMar>
            <w:vAlign w:val="center"/>
          </w:tcPr>
          <w:p>
            <w:pPr>
              <w:jc w:val="center"/>
            </w:pPr>
            <w:r>
              <w:rPr>
                <w:rFonts w:ascii="Calibri" w:hAnsi="Calibri"/>
                <w:b/>
                <w:color w:val="1F2937"/>
                <w:sz w:val="18"/>
              </w:rPr>
              <w:t>Media</w:t>
            </w:r>
          </w:p>
        </w:tc>
      </w:tr>
      <w:tr>
        <w:tc>
          <w:tcPr>
            <w:tcW w:type="dxa" w:w="2450"/>
            <w:shd w:fill="FAFBFC"/>
            <w:tcMar>
              <w:top w:w="80" w:type="dxa"/>
              <w:start w:w="120" w:type="dxa"/>
              <w:bottom w:w="80" w:type="dxa"/>
              <w:end w:w="120" w:type="dxa"/>
            </w:tcMar>
            <w:vAlign w:val="center"/>
          </w:tcPr>
          <w:p>
            <w:pPr>
              <w:jc w:val="left"/>
            </w:pPr>
            <w:r>
              <w:rPr>
                <w:rFonts w:ascii="Calibri" w:hAnsi="Calibri"/>
                <w:b w:val="0"/>
                <w:color w:val="1F2937"/>
                <w:sz w:val="18"/>
              </w:rPr>
              <w:t>O-22 · Prueba institucional</w:t>
            </w:r>
          </w:p>
        </w:tc>
        <w:tc>
          <w:tcPr>
            <w:tcW w:type="dxa" w:w="5410"/>
            <w:shd w:fill="FAFBFC"/>
            <w:tcMar>
              <w:top w:w="80" w:type="dxa"/>
              <w:start w:w="120" w:type="dxa"/>
              <w:bottom w:w="80" w:type="dxa"/>
              <w:end w:w="120" w:type="dxa"/>
            </w:tcMar>
            <w:vAlign w:val="center"/>
          </w:tcPr>
          <w:p>
            <w:pPr>
              <w:jc w:val="left"/>
            </w:pPr>
            <w:r>
              <w:rPr>
                <w:rFonts w:ascii="Calibri" w:hAnsi="Calibri"/>
                <w:b w:val="0"/>
                <w:color w:val="1F2937"/>
                <w:sz w:val="18"/>
              </w:rPr>
              <w:t>El éxito final exige usuarios reales, procedimientos aprobados, convenio, capacitación y soporte.</w:t>
            </w:r>
          </w:p>
        </w:tc>
        <w:tc>
          <w:tcPr>
            <w:tcW w:type="dxa" w:w="1500"/>
            <w:shd w:fill="FAFBFC"/>
            <w:tcMar>
              <w:top w:w="80" w:type="dxa"/>
              <w:start w:w="120" w:type="dxa"/>
              <w:bottom w:w="80" w:type="dxa"/>
              <w:end w:w="120" w:type="dxa"/>
            </w:tcMar>
            <w:vAlign w:val="center"/>
          </w:tcPr>
          <w:p>
            <w:pPr>
              <w:jc w:val="center"/>
            </w:pPr>
            <w:r>
              <w:rPr>
                <w:rFonts w:ascii="Calibri" w:hAnsi="Calibri"/>
                <w:b/>
                <w:color w:val="9B1C1C"/>
                <w:sz w:val="18"/>
              </w:rPr>
              <w:t>Crítica</w:t>
            </w:r>
          </w:p>
        </w:tc>
      </w:tr>
    </w:tbl>
    <w:p>
      <w:pPr>
        <w:spacing w:before="80" w:after="80"/>
      </w:pPr>
      <w:r>
        <w:rPr>
          <w:rFonts w:ascii="Calibri" w:hAnsi="Calibri"/>
          <w:i/>
          <w:color w:val="5F6B7A"/>
          <w:sz w:val="17"/>
        </w:rPr>
        <w:t>Fuente: auditoría técnica de documentación, código, pruebas y operación.</w:t>
      </w:r>
    </w:p>
    <w:p>
      <w:pPr>
        <w:pStyle w:val="Heading1"/>
      </w:pPr>
      <w:r>
        <w:t>9. Estándar de excelencia propuesto</w:t>
      </w:r>
    </w:p>
    <w:p>
      <w:pPr/>
      <w:r>
        <w:rPr>
          <w:rFonts w:ascii="Calibri" w:hAnsi="Calibri"/>
          <w:i w:val="0"/>
          <w:color w:val="1F2937"/>
          <w:sz w:val="22"/>
        </w:rPr>
        <w:t>Para aspirar a ser el mejor sistema catastral municipal de Bolivia, la comparación debe basarse en resultados auditables, no en cantidad de pantallas. Se propone ratificar los siguientes principios como política de producto.</w:t>
      </w:r>
    </w:p>
    <w:p>
      <w:pPr>
        <w:spacing w:before="80" w:after="80"/>
      </w:pPr>
      <w:r>
        <w:rPr>
          <w:rFonts w:ascii="Calibri" w:hAnsi="Calibri"/>
          <w:b/>
          <w:color w:val="0B2545"/>
          <w:sz w:val="19"/>
        </w:rPr>
        <w:t>Tabla 10. Doce principios de excelencia institucional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Principio</w:t>
            </w:r>
          </w:p>
        </w:tc>
        <w:tc>
          <w:tcPr>
            <w:tcW w:type="dxa" w:w="6660"/>
            <w:shd w:fill="F2F4F7"/>
            <w:tcMar>
              <w:top w:w="80" w:type="dxa"/>
              <w:start w:w="120" w:type="dxa"/>
              <w:bottom w:w="80" w:type="dxa"/>
              <w:end w:w="120" w:type="dxa"/>
            </w:tcMar>
            <w:vAlign w:val="center"/>
          </w:tcPr>
          <w:p>
            <w:pPr>
              <w:jc w:val="center"/>
            </w:pPr>
            <w:r>
              <w:rPr>
                <w:rFonts w:ascii="Calibri" w:hAnsi="Calibri"/>
                <w:b/>
                <w:color w:val="0B2545"/>
                <w:sz w:val="18"/>
              </w:rPr>
              <w:t>Criterio</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1. Identidad inequívoca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Municipio + tripleta o identificador provisional formal; cero identidades inventadas.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2. Linaje completo</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Cada geometría, atributo y transformación conoce fuente, versión, comando y responsable.</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3. Calidad visible</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Los defectos se miden, clasifican y exponen; no se corrigen silenciosamente.</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4. Norma versionada</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Fórmulas, catálogos y valores tienen vigencia, fuente y aprobación.</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5. Auditoría independiente</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Toda operación relevante deja evidencia inmutable.</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6. Seguridad por defecto</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Mínimo privilegio, secretos fuera de Git, TLS, parches y revisión adversarial.</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7. Recuperabilidad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Backup + restore probado con RPO/RTO aprobados.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8. Operabilidad municipal</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Flujos simples, baja conectividad, manuales y capacitación.</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9. Replicabilidad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Nueva instancia municipal en menos de un día, sin forks de código.</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10. Interoperabilidad</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Exportaciones documentadas y salida contractual de datos.</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11. Privacidad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Datos públicos definidos; titulares y documentos protegidos.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12. Evolución controlada</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ADRs, migraciones, tests y releases reproducibles.</w:t>
            </w:r>
          </w:p>
        </w:tc>
      </w:tr>
    </w:tbl>
    <w:p>
      <w:pPr>
        <w:spacing w:before="80" w:after="80"/>
      </w:pPr>
      <w:r>
        <w:rPr>
          <w:rFonts w:ascii="Calibri" w:hAnsi="Calibri"/>
          <w:i/>
          <w:color w:val="5F6B7A"/>
          <w:sz w:val="17"/>
        </w:rPr>
        <w:t>Fuente: síntesis de las decisiones vigentes y brechas observadas.</w:t>
      </w:r>
    </w:p>
    <w:p>
      <w:pPr>
        <w:pStyle w:val="Heading2"/>
      </w:pPr>
      <w:r>
        <w:t>9.1 Metas de servicio sugeridas para ratificación</w:t>
      </w:r>
    </w:p>
    <w:p>
      <w:pPr>
        <w:spacing w:before="80" w:after="80"/>
      </w:pPr>
      <w:r>
        <w:rPr>
          <w:rFonts w:ascii="Calibri" w:hAnsi="Calibri"/>
          <w:b/>
          <w:color w:val="0B2545"/>
          <w:sz w:val="19"/>
        </w:rPr>
        <w:t>Tabla 11. Objetivos operativos propuestos, aún no contractuales</w:t>
      </w:r>
    </w:p>
    <w:tbl>
      <w:tblPr>
        <w:tblStyle w:val="TableGrid"/>
        <w:tblW w:type="dxa" w:w="9360"/>
        <w:jc w:val="left"/>
        <w:tblLayout w:type="fixed"/>
        <w:tblLook w:firstColumn="1" w:firstRow="1" w:lastColumn="0" w:lastRow="0" w:noHBand="0" w:noVBand="1" w:val="04A0"/>
        <w:tblInd w:w="120" w:type="dxa"/>
      </w:tblPr>
      <w:tblGrid>
        <w:gridCol w:w="2400"/>
        <w:gridCol w:w="2500"/>
        <w:gridCol w:w="4460"/>
      </w:tblGrid>
      <w:tr>
        <w:trPr>
          <w:tblHeader w:val="true"/>
        </w:trPr>
        <w:tc>
          <w:tcPr>
            <w:tcW w:type="dxa" w:w="2400"/>
            <w:shd w:fill="F2F4F7"/>
            <w:tcMar>
              <w:top w:w="80" w:type="dxa"/>
              <w:start w:w="120" w:type="dxa"/>
              <w:bottom w:w="80" w:type="dxa"/>
              <w:end w:w="120" w:type="dxa"/>
            </w:tcMar>
            <w:vAlign w:val="center"/>
          </w:tcPr>
          <w:p>
            <w:pPr>
              <w:jc w:val="center"/>
            </w:pPr>
            <w:r>
              <w:rPr>
                <w:rFonts w:ascii="Calibri" w:hAnsi="Calibri"/>
                <w:b/>
                <w:color w:val="0B2545"/>
                <w:sz w:val="18"/>
              </w:rPr>
              <w:t>Dimensión</w:t>
            </w:r>
          </w:p>
        </w:tc>
        <w:tc>
          <w:tcPr>
            <w:tcW w:type="dxa" w:w="2500"/>
            <w:shd w:fill="F2F4F7"/>
            <w:tcMar>
              <w:top w:w="80" w:type="dxa"/>
              <w:start w:w="120" w:type="dxa"/>
              <w:bottom w:w="80" w:type="dxa"/>
              <w:end w:w="120" w:type="dxa"/>
            </w:tcMar>
            <w:vAlign w:val="center"/>
          </w:tcPr>
          <w:p>
            <w:pPr>
              <w:jc w:val="center"/>
            </w:pPr>
            <w:r>
              <w:rPr>
                <w:rFonts w:ascii="Calibri" w:hAnsi="Calibri"/>
                <w:b/>
                <w:color w:val="0B2545"/>
                <w:sz w:val="18"/>
              </w:rPr>
              <w:t>Meta sugerida</w:t>
            </w:r>
          </w:p>
        </w:tc>
        <w:tc>
          <w:tcPr>
            <w:tcW w:type="dxa" w:w="4460"/>
            <w:shd w:fill="F2F4F7"/>
            <w:tcMar>
              <w:top w:w="80" w:type="dxa"/>
              <w:start w:w="120" w:type="dxa"/>
              <w:bottom w:w="80" w:type="dxa"/>
              <w:end w:w="120" w:type="dxa"/>
            </w:tcMar>
            <w:vAlign w:val="center"/>
          </w:tcPr>
          <w:p>
            <w:pPr>
              <w:jc w:val="left"/>
            </w:pPr>
            <w:r>
              <w:rPr>
                <w:rFonts w:ascii="Calibri" w:hAnsi="Calibri"/>
                <w:b/>
                <w:color w:val="0B2545"/>
                <w:sz w:val="18"/>
              </w:rPr>
              <w:t>Evidencia requerida</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Disponibilidad piloto</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 99,5 % mensual</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Monitoreo externo y registro de incidentes</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Recuperación</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RPO ≤ 24 h; RTO ≤ 4 h</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Restore trimestral en entorno limpio</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Importación</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100 % con linaje y preview</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Reporte persistido y hash de paquete</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Integridad</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0 activaciones parciales no declaradas</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Tests + constraints + auditoría</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Seguridad</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0 vulnerabilidades críticas conocidas</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Scan de paquetes e imágenes por release</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Calidad geométrica</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100 % clasificada</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O1/O4 y métricas por capa</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Despliegue</w:t>
            </w:r>
          </w:p>
        </w:tc>
        <w:tc>
          <w:tcPr>
            <w:tcW w:type="dxa" w:w="2500"/>
            <w:tcMar>
              <w:top w:w="80" w:type="dxa"/>
              <w:start w:w="120" w:type="dxa"/>
              <w:bottom w:w="80" w:type="dxa"/>
              <w:end w:w="120" w:type="dxa"/>
            </w:tcMar>
            <w:vAlign w:val="center"/>
          </w:tcPr>
          <w:p>
            <w:pPr>
              <w:jc w:val="left"/>
            </w:pPr>
            <w:r>
              <w:rPr>
                <w:rFonts w:ascii="Calibri" w:hAnsi="Calibri"/>
                <w:b w:val="0"/>
                <w:color w:val="1F2937"/>
                <w:sz w:val="18"/>
              </w:rPr>
              <w:t>Nuevo GAM &lt; 1 día</w:t>
            </w:r>
          </w:p>
        </w:tc>
        <w:tc>
          <w:tcPr>
            <w:tcW w:type="dxa" w:w="4460"/>
            <w:tcMar>
              <w:top w:w="80" w:type="dxa"/>
              <w:start w:w="120" w:type="dxa"/>
              <w:bottom w:w="80" w:type="dxa"/>
              <w:end w:w="120" w:type="dxa"/>
            </w:tcMar>
            <w:vAlign w:val="center"/>
          </w:tcPr>
          <w:p>
            <w:pPr>
              <w:jc w:val="left"/>
            </w:pPr>
            <w:r>
              <w:rPr>
                <w:rFonts w:ascii="Calibri" w:hAnsi="Calibri"/>
                <w:b w:val="0"/>
                <w:color w:val="1F2937"/>
                <w:sz w:val="18"/>
              </w:rPr>
              <w:t>Runbook cronometrado</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Soporte</w:t>
            </w:r>
          </w:p>
        </w:tc>
        <w:tc>
          <w:tcPr>
            <w:tcW w:type="dxa" w:w="2500"/>
            <w:shd w:fill="FAFBFC"/>
            <w:tcMar>
              <w:top w:w="80" w:type="dxa"/>
              <w:start w:w="120" w:type="dxa"/>
              <w:bottom w:w="80" w:type="dxa"/>
              <w:end w:w="120" w:type="dxa"/>
            </w:tcMar>
            <w:vAlign w:val="center"/>
          </w:tcPr>
          <w:p>
            <w:pPr>
              <w:jc w:val="left"/>
            </w:pPr>
            <w:r>
              <w:rPr>
                <w:rFonts w:ascii="Calibri" w:hAnsi="Calibri"/>
                <w:b w:val="0"/>
                <w:color w:val="1F2937"/>
                <w:sz w:val="18"/>
              </w:rPr>
              <w:t>Incidentes clasificados y trazables</w:t>
            </w:r>
          </w:p>
        </w:tc>
        <w:tc>
          <w:tcPr>
            <w:tcW w:type="dxa" w:w="4460"/>
            <w:shd w:fill="FAFBFC"/>
            <w:tcMar>
              <w:top w:w="80" w:type="dxa"/>
              <w:start w:w="120" w:type="dxa"/>
              <w:bottom w:w="80" w:type="dxa"/>
              <w:end w:w="120" w:type="dxa"/>
            </w:tcMar>
            <w:vAlign w:val="center"/>
          </w:tcPr>
          <w:p>
            <w:pPr>
              <w:jc w:val="left"/>
            </w:pPr>
            <w:r>
              <w:rPr>
                <w:rFonts w:ascii="Calibri" w:hAnsi="Calibri"/>
                <w:b w:val="0"/>
                <w:color w:val="1F2937"/>
                <w:sz w:val="18"/>
              </w:rPr>
              <w:t>Canal, SLA y postmortem</w:t>
            </w:r>
          </w:p>
        </w:tc>
      </w:tr>
    </w:tbl>
    <w:p>
      <w:pPr>
        <w:spacing w:before="80" w:after="80"/>
      </w:pPr>
      <w:r>
        <w:rPr>
          <w:rFonts w:ascii="Calibri" w:hAnsi="Calibri"/>
          <w:i/>
          <w:color w:val="5F6B7A"/>
          <w:sz w:val="17"/>
        </w:rPr>
        <w:t>Fuente: recomendación de consolidación; requiere aprobación institucional y comercial.</w:t>
      </w:r>
    </w:p>
    <w:p>
      <w:pPr>
        <w:pStyle w:val="Heading1"/>
      </w:pPr>
      <w:r>
        <w:t>10. Todo lo que falta hasta terminar el proyecto</w:t>
      </w:r>
    </w:p>
    <w:p>
      <w:pPr>
        <w:jc w:val="center"/>
      </w:pPr>
      <w:r>
        <w:drawing>
          <wp:inline xmlns:a="http://schemas.openxmlformats.org/drawingml/2006/main" xmlns:pic="http://schemas.openxmlformats.org/drawingml/2006/picture">
            <wp:extent cx="5715000" cy="3746500"/>
            <wp:docPr id="5" name="Picture 5" descr="Roadmap desde 3.B.7 hasta piloto, soporte y escala." title="Figura 5. Ruta consolidada hasta operación completa."/>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5715000" cy="3746500"/>
                    </a:xfrm>
                    <a:prstGeom prst="rect"/>
                  </pic:spPr>
                </pic:pic>
              </a:graphicData>
            </a:graphic>
          </wp:inline>
        </w:drawing>
      </w:r>
    </w:p>
    <w:p>
      <w:pPr>
        <w:spacing w:before="40" w:after="160"/>
        <w:jc w:val="center"/>
      </w:pPr>
      <w:r>
        <w:rPr>
          <w:rFonts w:ascii="Calibri" w:hAnsi="Calibri"/>
          <w:i/>
          <w:color w:val="5F6B7A"/>
          <w:sz w:val="18"/>
        </w:rPr>
        <w:t>Figura 5. Ruta consolidada hasta operación completa.</w:t>
      </w:r>
    </w:p>
    <w:p>
      <w:pPr>
        <w:pStyle w:val="Heading2"/>
      </w:pPr>
      <w:r>
        <w:t>10.1 Tramo inmediato: cerrar 3.B.7</w:t>
      </w:r>
    </w:p>
    <w:p>
      <w:pPr>
        <w:pStyle w:val="ListBullet"/>
      </w:pPr>
      <w:r>
        <w:rPr>
          <w:rFonts w:ascii="Calibri" w:hAnsi="Calibri"/>
          <w:color w:val="1F2937"/>
          <w:sz w:val="22"/>
        </w:rPr>
        <w:t>Corregir el hallazgo documental antes de commit.</w:t>
      </w:r>
    </w:p>
    <w:p>
      <w:pPr>
        <w:pStyle w:val="ListBullet"/>
      </w:pPr>
      <w:r>
        <w:rPr>
          <w:rFonts w:ascii="Calibri" w:hAnsi="Calibri"/>
          <w:color w:val="1F2937"/>
          <w:sz w:val="22"/>
        </w:rPr>
        <w:t>ADR de composición de DatasetVersion y actualización parcial de capas.</w:t>
      </w:r>
    </w:p>
    <w:p>
      <w:pPr>
        <w:pStyle w:val="ListBullet"/>
      </w:pPr>
      <w:r>
        <w:rPr>
          <w:rFonts w:ascii="Calibri" w:hAnsi="Calibri"/>
          <w:color w:val="1F2937"/>
          <w:sz w:val="22"/>
        </w:rPr>
        <w:t>Implementación y tests de copy-forward/linaje.</w:t>
      </w:r>
    </w:p>
    <w:p>
      <w:pPr>
        <w:pStyle w:val="ListBullet"/>
      </w:pPr>
      <w:r>
        <w:rPr>
          <w:rFonts w:ascii="Calibri" w:hAnsi="Calibri"/>
          <w:color w:val="1F2937"/>
          <w:sz w:val="22"/>
        </w:rPr>
        <w:t>Importación real de PRE_NOF_CAR y preview de 6.573 predios.</w:t>
      </w:r>
    </w:p>
    <w:p>
      <w:pPr>
        <w:pStyle w:val="ListBullet"/>
      </w:pPr>
      <w:r>
        <w:rPr>
          <w:rFonts w:ascii="Calibri" w:hAnsi="Calibri"/>
          <w:color w:val="1F2937"/>
          <w:sz w:val="22"/>
        </w:rPr>
        <w:t>Activación sin pérdida de 637 manzanas, 17 áreas y 33 puntos.</w:t>
      </w:r>
    </w:p>
    <w:p>
      <w:pPr>
        <w:pStyle w:val="ListBullet"/>
      </w:pPr>
      <w:r>
        <w:rPr>
          <w:rFonts w:ascii="Calibri" w:hAnsi="Calibri"/>
          <w:color w:val="1F2937"/>
          <w:sz w:val="22"/>
        </w:rPr>
        <w:t>Validación de visor, tiles, rollback y auditoría.</w:t>
      </w:r>
    </w:p>
    <w:p>
      <w:pPr>
        <w:pStyle w:val="Heading2"/>
      </w:pPr>
      <w:r>
        <w:t>10.2 Fase 3: motor de valuación</w:t>
      </w:r>
    </w:p>
    <w:p>
      <w:pPr>
        <w:pStyle w:val="ListBullet"/>
      </w:pPr>
      <w:r>
        <w:rPr>
          <w:rFonts w:ascii="Calibri" w:hAnsi="Calibri"/>
          <w:color w:val="1F2937"/>
          <w:sz w:val="22"/>
        </w:rPr>
        <w:t>Ratificar y dividir ADR 0045: identidad/datos, fórmula/valuación y colector.</w:t>
      </w:r>
    </w:p>
    <w:p>
      <w:pPr>
        <w:pStyle w:val="ListBullet"/>
      </w:pPr>
      <w:r>
        <w:rPr>
          <w:rFonts w:ascii="Calibri" w:hAnsi="Calibri"/>
          <w:color w:val="1F2937"/>
          <w:sz w:val="22"/>
        </w:rPr>
        <w:t>Modelo de zonas y valores por gestión fiscal.</w:t>
      </w:r>
    </w:p>
    <w:p>
      <w:pPr>
        <w:pStyle w:val="ListBullet"/>
      </w:pPr>
      <w:r>
        <w:rPr>
          <w:rFonts w:ascii="Calibri" w:hAnsi="Calibri"/>
          <w:color w:val="1F2937"/>
          <w:sz w:val="22"/>
        </w:rPr>
        <w:t>Fórmula de terreno versionada; factores con fuente normativa.</w:t>
      </w:r>
    </w:p>
    <w:p>
      <w:pPr>
        <w:pStyle w:val="ListBullet"/>
      </w:pPr>
      <w:r>
        <w:rPr>
          <w:rFonts w:ascii="Calibri" w:hAnsi="Calibri"/>
          <w:color w:val="1F2937"/>
          <w:sz w:val="22"/>
        </w:rPr>
        <w:t>Tipologías constructivas paramétricas y claramente NO OFICIALES hasta ordenanza.</w:t>
      </w:r>
    </w:p>
    <w:p>
      <w:pPr>
        <w:pStyle w:val="ListBullet"/>
      </w:pPr>
      <w:r>
        <w:rPr>
          <w:rFonts w:ascii="Calibri" w:hAnsi="Calibri"/>
          <w:color w:val="1F2937"/>
          <w:sz w:val="22"/>
        </w:rPr>
        <w:t>Recalculo masivo asíncrono e informe de diferencias.</w:t>
      </w:r>
    </w:p>
    <w:p>
      <w:pPr>
        <w:pStyle w:val="ListBullet"/>
      </w:pPr>
      <w:r>
        <w:rPr>
          <w:rFonts w:ascii="Calibri" w:hAnsi="Calibri"/>
          <w:color w:val="1F2937"/>
          <w:sz w:val="22"/>
        </w:rPr>
        <w:t>Verificación manual de casos y trazabilidad de cada resultado.</w:t>
      </w:r>
    </w:p>
    <w:p>
      <w:pPr>
        <w:pStyle w:val="ListBullet"/>
      </w:pPr>
      <w:r>
        <w:rPr>
          <w:rFonts w:ascii="Calibri" w:hAnsi="Calibri"/>
          <w:color w:val="1F2937"/>
          <w:sz w:val="22"/>
        </w:rPr>
        <w:t>Resolver DP-02 y mantener DP-08 como dependencia externa explícita.</w:t>
      </w:r>
    </w:p>
    <w:p>
      <w:pPr>
        <w:pStyle w:val="Heading2"/>
      </w:pPr>
      <w:r>
        <w:t>10.3 Fase 4: certificados</w:t>
      </w:r>
    </w:p>
    <w:p>
      <w:pPr>
        <w:pStyle w:val="ListBullet"/>
      </w:pPr>
      <w:r>
        <w:rPr>
          <w:rFonts w:ascii="Calibri" w:hAnsi="Calibri"/>
          <w:color w:val="1F2937"/>
          <w:sz w:val="22"/>
        </w:rPr>
        <w:t>Decisión de librería PDF y licencia comercial.</w:t>
      </w:r>
    </w:p>
    <w:p>
      <w:pPr>
        <w:pStyle w:val="ListBullet"/>
      </w:pPr>
      <w:r>
        <w:rPr>
          <w:rFonts w:ascii="Calibri" w:hAnsi="Calibri"/>
          <w:color w:val="1F2937"/>
          <w:sz w:val="22"/>
        </w:rPr>
        <w:t>Plantilla normativa, croquis, valuación, colindancias y metadatos.</w:t>
      </w:r>
    </w:p>
    <w:p>
      <w:pPr>
        <w:pStyle w:val="ListBullet"/>
      </w:pPr>
      <w:r>
        <w:rPr>
          <w:rFonts w:ascii="Calibri" w:hAnsi="Calibri"/>
          <w:color w:val="1F2937"/>
          <w:sz w:val="22"/>
        </w:rPr>
        <w:t>Folio correlativo por municipio/gestión y registro inmutable.</w:t>
      </w:r>
    </w:p>
    <w:p>
      <w:pPr>
        <w:pStyle w:val="ListBullet"/>
      </w:pPr>
      <w:r>
        <w:rPr>
          <w:rFonts w:ascii="Calibri" w:hAnsi="Calibri"/>
          <w:color w:val="1F2937"/>
          <w:sz w:val="22"/>
        </w:rPr>
        <w:t>QR y verificación pública mínima.</w:t>
      </w:r>
    </w:p>
    <w:p>
      <w:pPr>
        <w:pStyle w:val="ListBullet"/>
      </w:pPr>
      <w:r>
        <w:rPr>
          <w:rFonts w:ascii="Calibri" w:hAnsi="Calibri"/>
          <w:color w:val="1F2937"/>
          <w:sz w:val="22"/>
        </w:rPr>
        <w:t>Política de anulación, reimpresión, firma y conservación.</w:t>
      </w:r>
    </w:p>
    <w:p>
      <w:pPr>
        <w:pStyle w:val="ListBullet"/>
      </w:pPr>
      <w:r>
        <w:rPr>
          <w:rFonts w:ascii="Calibri" w:hAnsi="Calibri"/>
          <w:color w:val="1F2937"/>
          <w:sz w:val="22"/>
        </w:rPr>
        <w:t>Control de roles y prueba de emisión real.</w:t>
      </w:r>
    </w:p>
    <w:p>
      <w:pPr>
        <w:pStyle w:val="Heading2"/>
      </w:pPr>
      <w:r>
        <w:t>10.4 Fase 5: trámites y mutaciones</w:t>
      </w:r>
    </w:p>
    <w:p>
      <w:pPr>
        <w:pStyle w:val="ListBullet"/>
      </w:pPr>
      <w:r>
        <w:rPr>
          <w:rFonts w:ascii="Calibri" w:hAnsi="Calibri"/>
          <w:color w:val="1F2937"/>
          <w:sz w:val="22"/>
        </w:rPr>
        <w:t>Máquina de estados general y bandeja por rol.</w:t>
      </w:r>
    </w:p>
    <w:p>
      <w:pPr>
        <w:pStyle w:val="ListBullet"/>
      </w:pPr>
      <w:r>
        <w:rPr>
          <w:rFonts w:ascii="Calibri" w:hAnsi="Calibri"/>
          <w:color w:val="1F2937"/>
          <w:sz w:val="22"/>
        </w:rPr>
        <w:t>Transferencia, mejoras, correcciones, subdivisión y fusión.</w:t>
      </w:r>
    </w:p>
    <w:p>
      <w:pPr>
        <w:pStyle w:val="ListBullet"/>
      </w:pPr>
      <w:r>
        <w:rPr>
          <w:rFonts w:ascii="Calibri" w:hAnsi="Calibri"/>
          <w:color w:val="1F2937"/>
          <w:sz w:val="22"/>
        </w:rPr>
        <w:t>Documentos en MinIO con hash, clasificación, retención y acceso.</w:t>
      </w:r>
    </w:p>
    <w:p>
      <w:pPr>
        <w:pStyle w:val="ListBullet"/>
      </w:pPr>
      <w:r>
        <w:rPr>
          <w:rFonts w:ascii="Calibri" w:hAnsi="Calibri"/>
          <w:color w:val="1F2937"/>
          <w:sz w:val="22"/>
        </w:rPr>
        <w:t>Política municipal de nuevos códigos y preservación de identidad histórica.</w:t>
      </w:r>
    </w:p>
    <w:p>
      <w:pPr>
        <w:pStyle w:val="ListBullet"/>
      </w:pPr>
      <w:r>
        <w:rPr>
          <w:rFonts w:ascii="Calibri" w:hAnsi="Calibri"/>
          <w:color w:val="1F2937"/>
          <w:sz w:val="22"/>
        </w:rPr>
        <w:t>Ningún trámite modifica el maestro antes de aprobación.</w:t>
      </w:r>
    </w:p>
    <w:p>
      <w:pPr>
        <w:pStyle w:val="Heading2"/>
      </w:pPr>
      <w:r>
        <w:t>10.5 Fase 6: integración tributaria</w:t>
      </w:r>
    </w:p>
    <w:p>
      <w:pPr>
        <w:pStyle w:val="ListBullet"/>
      </w:pPr>
      <w:r>
        <w:rPr>
          <w:rFonts w:ascii="Calibri" w:hAnsi="Calibri"/>
          <w:color w:val="1F2937"/>
          <w:sz w:val="22"/>
        </w:rPr>
        <w:t>Resolver RUAT versus liquidación propia.</w:t>
      </w:r>
    </w:p>
    <w:p>
      <w:pPr>
        <w:pStyle w:val="ListBullet"/>
      </w:pPr>
      <w:r>
        <w:rPr>
          <w:rFonts w:ascii="Calibri" w:hAnsi="Calibri"/>
          <w:color w:val="1F2937"/>
          <w:sz w:val="22"/>
        </w:rPr>
        <w:t>Base imponible IPBI por gestión, parámetros y normativa.</w:t>
      </w:r>
    </w:p>
    <w:p>
      <w:pPr>
        <w:pStyle w:val="ListBullet"/>
      </w:pPr>
      <w:r>
        <w:rPr>
          <w:rFonts w:ascii="Calibri" w:hAnsi="Calibri"/>
          <w:color w:val="1F2937"/>
          <w:sz w:val="22"/>
        </w:rPr>
        <w:t>Exportación/interfaz, descuentos y cierre anual.</w:t>
      </w:r>
    </w:p>
    <w:p>
      <w:pPr>
        <w:pStyle w:val="ListBullet"/>
      </w:pPr>
      <w:r>
        <w:rPr>
          <w:rFonts w:ascii="Calibri" w:hAnsi="Calibri"/>
          <w:color w:val="1F2937"/>
          <w:sz w:val="22"/>
        </w:rPr>
        <w:t>Reportes de cobertura, predios sin valuación y conciliación.</w:t>
      </w:r>
    </w:p>
    <w:p>
      <w:pPr>
        <w:pStyle w:val="Heading2"/>
      </w:pPr>
      <w:r>
        <w:t>10.6 Fase 7: portal ciudadano</w:t>
      </w:r>
    </w:p>
    <w:p>
      <w:pPr>
        <w:pStyle w:val="ListBullet"/>
      </w:pPr>
      <w:r>
        <w:rPr>
          <w:rFonts w:ascii="Calibri" w:hAnsi="Calibri"/>
          <w:color w:val="1F2937"/>
          <w:sz w:val="22"/>
        </w:rPr>
        <w:t>Clasificación pública/privada aprobada por el GAM.</w:t>
      </w:r>
    </w:p>
    <w:p>
      <w:pPr>
        <w:pStyle w:val="ListBullet"/>
      </w:pPr>
      <w:r>
        <w:rPr>
          <w:rFonts w:ascii="Calibri" w:hAnsi="Calibri"/>
          <w:color w:val="1F2937"/>
          <w:sz w:val="22"/>
        </w:rPr>
        <w:t>Consulta mínima sin exponer titulares ni documentos.</w:t>
      </w:r>
    </w:p>
    <w:p>
      <w:pPr>
        <w:pStyle w:val="ListBullet"/>
      </w:pPr>
      <w:r>
        <w:rPr>
          <w:rFonts w:ascii="Calibri" w:hAnsi="Calibri"/>
          <w:color w:val="1F2937"/>
          <w:sz w:val="22"/>
        </w:rPr>
        <w:t>Verificación de certificado y estado de trámite.</w:t>
      </w:r>
    </w:p>
    <w:p>
      <w:pPr>
        <w:pStyle w:val="ListBullet"/>
      </w:pPr>
      <w:r>
        <w:rPr>
          <w:rFonts w:ascii="Calibri" w:hAnsi="Calibri"/>
          <w:color w:val="1F2937"/>
          <w:sz w:val="22"/>
        </w:rPr>
        <w:t>Rate limiting, anti-enumeración, monitoreo y revisión adversarial.</w:t>
      </w:r>
    </w:p>
    <w:p>
      <w:pPr>
        <w:pStyle w:val="ListBullet"/>
      </w:pPr>
      <w:r>
        <w:rPr>
          <w:rFonts w:ascii="Calibri" w:hAnsi="Calibri"/>
          <w:color w:val="1F2937"/>
          <w:sz w:val="22"/>
        </w:rPr>
        <w:t>Accesibilidad, móvil y conectividad limitada.</w:t>
      </w:r>
    </w:p>
    <w:p>
      <w:pPr>
        <w:pStyle w:val="Heading2"/>
      </w:pPr>
      <w:r>
        <w:t>10.7 Fase 9: producción y seguridad</w:t>
      </w:r>
    </w:p>
    <w:p>
      <w:pPr>
        <w:pStyle w:val="ListBullet"/>
      </w:pPr>
      <w:r>
        <w:rPr>
          <w:rFonts w:ascii="Calibri" w:hAnsi="Calibri"/>
          <w:color w:val="1F2937"/>
          <w:sz w:val="22"/>
        </w:rPr>
        <w:t>VPS por municipio según ADR 0047; validar soberanía/localización antes del contrato.</w:t>
      </w:r>
    </w:p>
    <w:p>
      <w:pPr>
        <w:pStyle w:val="ListBullet"/>
      </w:pPr>
      <w:r>
        <w:rPr>
          <w:rFonts w:ascii="Calibri" w:hAnsi="Calibri"/>
          <w:color w:val="1F2937"/>
          <w:sz w:val="22"/>
        </w:rPr>
        <w:t>TLS obligatorio, mínimo privilegio y rotación de secretos.</w:t>
      </w:r>
    </w:p>
    <w:p>
      <w:pPr>
        <w:pStyle w:val="ListBullet"/>
      </w:pPr>
      <w:r>
        <w:rPr>
          <w:rFonts w:ascii="Calibri" w:hAnsi="Calibri"/>
          <w:color w:val="1F2937"/>
          <w:sz w:val="22"/>
        </w:rPr>
        <w:t>Backups PostgreSQL + MinIO y restores probados.</w:t>
      </w:r>
    </w:p>
    <w:p>
      <w:pPr>
        <w:pStyle w:val="ListBullet"/>
      </w:pPr>
      <w:r>
        <w:rPr>
          <w:rFonts w:ascii="Calibri" w:hAnsi="Calibri"/>
          <w:color w:val="1F2937"/>
          <w:sz w:val="22"/>
        </w:rPr>
        <w:t>Métricas, logs, alertas, almacenamiento y capacidad.</w:t>
      </w:r>
    </w:p>
    <w:p>
      <w:pPr>
        <w:pStyle w:val="ListBullet"/>
      </w:pPr>
      <w:r>
        <w:rPr>
          <w:rFonts w:ascii="Calibri" w:hAnsi="Calibri"/>
          <w:color w:val="1F2937"/>
          <w:sz w:val="22"/>
        </w:rPr>
        <w:t>Actualizaciones reproducibles, rollback y ventanas de mantenimiento.</w:t>
      </w:r>
    </w:p>
    <w:p>
      <w:pPr>
        <w:pStyle w:val="ListBullet"/>
      </w:pPr>
      <w:r>
        <w:rPr>
          <w:rFonts w:ascii="Calibri" w:hAnsi="Calibri"/>
          <w:color w:val="1F2937"/>
          <w:sz w:val="22"/>
        </w:rPr>
        <w:t>Manual por rol y capacitación.</w:t>
      </w:r>
    </w:p>
    <w:p>
      <w:pPr>
        <w:pStyle w:val="Heading2"/>
      </w:pPr>
      <w:r>
        <w:t>10.8 Fase 10: operación y crecimiento</w:t>
      </w:r>
    </w:p>
    <w:p>
      <w:pPr>
        <w:pStyle w:val="ListBullet"/>
      </w:pPr>
      <w:r>
        <w:rPr>
          <w:rFonts w:ascii="Calibri" w:hAnsi="Calibri"/>
          <w:color w:val="1F2937"/>
          <w:sz w:val="22"/>
        </w:rPr>
        <w:t>Convenio y piloto real con Uyuni o Caranavi.</w:t>
      </w:r>
    </w:p>
    <w:p>
      <w:pPr>
        <w:pStyle w:val="ListBullet"/>
      </w:pPr>
      <w:r>
        <w:rPr>
          <w:rFonts w:ascii="Calibri" w:hAnsi="Calibri"/>
          <w:color w:val="1F2937"/>
          <w:sz w:val="22"/>
        </w:rPr>
        <w:t>Usuarios, roles y procedimientos institucionales aprobados.</w:t>
      </w:r>
    </w:p>
    <w:p>
      <w:pPr>
        <w:pStyle w:val="ListBullet"/>
      </w:pPr>
      <w:r>
        <w:rPr>
          <w:rFonts w:ascii="Calibri" w:hAnsi="Calibri"/>
          <w:color w:val="1F2937"/>
          <w:sz w:val="22"/>
        </w:rPr>
        <w:t>Soporte, SLA, incidencias y postmortems.</w:t>
      </w:r>
    </w:p>
    <w:p>
      <w:pPr>
        <w:pStyle w:val="ListBullet"/>
      </w:pPr>
      <w:r>
        <w:rPr>
          <w:rFonts w:ascii="Calibri" w:hAnsi="Calibri"/>
          <w:color w:val="1F2937"/>
          <w:sz w:val="22"/>
        </w:rPr>
        <w:t>Onboarding técnico y continuidad del conocimiento.</w:t>
      </w:r>
    </w:p>
    <w:p>
      <w:pPr>
        <w:pStyle w:val="ListBullet"/>
      </w:pPr>
      <w:r>
        <w:rPr>
          <w:rFonts w:ascii="Calibri" w:hAnsi="Calibri"/>
          <w:color w:val="1F2937"/>
          <w:sz w:val="22"/>
        </w:rPr>
        <w:t>Dossier de resultados y despliegue del tercer municipio en menos de un día.</w:t>
      </w:r>
    </w:p>
    <w:p>
      <w:pPr>
        <w:pStyle w:val="Heading1"/>
      </w:pPr>
      <w:r>
        <w:t>11. Secuencia recomendada de ejecución</w:t>
      </w:r>
    </w:p>
    <w:p>
      <w:pPr>
        <w:spacing w:before="80" w:after="80"/>
      </w:pPr>
      <w:r>
        <w:rPr>
          <w:rFonts w:ascii="Calibri" w:hAnsi="Calibri"/>
          <w:b/>
          <w:color w:val="0B2545"/>
          <w:sz w:val="19"/>
        </w:rPr>
        <w:t>Tabla 12. Priorización recomendada</w:t>
      </w:r>
    </w:p>
    <w:tbl>
      <w:tblPr>
        <w:tblStyle w:val="TableGrid"/>
        <w:tblW w:type="dxa" w:w="9360"/>
        <w:jc w:val="left"/>
        <w:tblLayout w:type="fixed"/>
        <w:tblLook w:firstColumn="1" w:firstRow="1" w:lastColumn="0" w:lastRow="0" w:noHBand="0" w:noVBand="1" w:val="04A0"/>
        <w:tblInd w:w="120" w:type="dxa"/>
      </w:tblPr>
      <w:tblGrid>
        <w:gridCol w:w="950"/>
        <w:gridCol w:w="3400"/>
        <w:gridCol w:w="5010"/>
      </w:tblGrid>
      <w:tr>
        <w:trPr>
          <w:tblHeader w:val="true"/>
        </w:trPr>
        <w:tc>
          <w:tcPr>
            <w:tcW w:type="dxa" w:w="950"/>
            <w:shd w:fill="F2F4F7"/>
            <w:tcMar>
              <w:top w:w="80" w:type="dxa"/>
              <w:start w:w="120" w:type="dxa"/>
              <w:bottom w:w="80" w:type="dxa"/>
              <w:end w:w="120" w:type="dxa"/>
            </w:tcMar>
            <w:vAlign w:val="center"/>
          </w:tcPr>
          <w:p>
            <w:pPr>
              <w:jc w:val="center"/>
            </w:pPr>
            <w:r>
              <w:rPr>
                <w:rFonts w:ascii="Calibri" w:hAnsi="Calibri"/>
                <w:b/>
                <w:color w:val="0B2545"/>
                <w:sz w:val="18"/>
              </w:rPr>
              <w:t>Orden</w:t>
            </w:r>
          </w:p>
        </w:tc>
        <w:tc>
          <w:tcPr>
            <w:tcW w:type="dxa" w:w="3400"/>
            <w:shd w:fill="F2F4F7"/>
            <w:tcMar>
              <w:top w:w="80" w:type="dxa"/>
              <w:start w:w="120" w:type="dxa"/>
              <w:bottom w:w="80" w:type="dxa"/>
              <w:end w:w="120" w:type="dxa"/>
            </w:tcMar>
            <w:vAlign w:val="center"/>
          </w:tcPr>
          <w:p>
            <w:pPr>
              <w:jc w:val="left"/>
            </w:pPr>
            <w:r>
              <w:rPr>
                <w:rFonts w:ascii="Calibri" w:hAnsi="Calibri"/>
                <w:b/>
                <w:color w:val="0B2545"/>
                <w:sz w:val="18"/>
              </w:rPr>
              <w:t>Paquete de trabajo</w:t>
            </w:r>
          </w:p>
        </w:tc>
        <w:tc>
          <w:tcPr>
            <w:tcW w:type="dxa" w:w="5010"/>
            <w:shd w:fill="F2F4F7"/>
            <w:tcMar>
              <w:top w:w="80" w:type="dxa"/>
              <w:start w:w="120" w:type="dxa"/>
              <w:bottom w:w="80" w:type="dxa"/>
              <w:end w:w="120" w:type="dxa"/>
            </w:tcMar>
            <w:vAlign w:val="center"/>
          </w:tcPr>
          <w:p>
            <w:pPr>
              <w:jc w:val="left"/>
            </w:pPr>
            <w:r>
              <w:rPr>
                <w:rFonts w:ascii="Calibri" w:hAnsi="Calibri"/>
                <w:b/>
                <w:color w:val="0B2545"/>
                <w:sz w:val="18"/>
              </w:rPr>
              <w:t>Criterio de salida</w:t>
            </w:r>
          </w:p>
        </w:tc>
      </w:tr>
      <w:tr>
        <w:tc>
          <w:tcPr>
            <w:tcW w:type="dxa" w:w="950"/>
            <w:tcMar>
              <w:top w:w="80" w:type="dxa"/>
              <w:start w:w="120" w:type="dxa"/>
              <w:bottom w:w="80" w:type="dxa"/>
              <w:end w:w="120" w:type="dxa"/>
            </w:tcMar>
            <w:vAlign w:val="center"/>
          </w:tcPr>
          <w:p>
            <w:pPr>
              <w:jc w:val="left"/>
            </w:pPr>
            <w:r>
              <w:rPr>
                <w:rFonts w:ascii="Calibri" w:hAnsi="Calibri"/>
                <w:b w:val="0"/>
                <w:color w:val="1F2937"/>
                <w:sz w:val="18"/>
              </w:rPr>
              <w:t>P0</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Corregir documentación crítica</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AGENTS, PLAN_MAESTRO y HALLAZGO alineados con código</w:t>
            </w:r>
          </w:p>
        </w:tc>
      </w:tr>
      <w:t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P1</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ADR + composición 3.B.7</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Snapshot N+1 completo y tests de conservación</w:t>
            </w:r>
          </w:p>
        </w:tc>
      </w:tr>
      <w:tr>
        <w:tc>
          <w:tcPr>
            <w:tcW w:type="dxa" w:w="950"/>
            <w:tcMar>
              <w:top w:w="80" w:type="dxa"/>
              <w:start w:w="120" w:type="dxa"/>
              <w:bottom w:w="80" w:type="dxa"/>
              <w:end w:w="120" w:type="dxa"/>
            </w:tcMar>
            <w:vAlign w:val="center"/>
          </w:tcPr>
          <w:p>
            <w:pPr>
              <w:jc w:val="left"/>
            </w:pPr>
            <w:r>
              <w:rPr>
                <w:rFonts w:ascii="Calibri" w:hAnsi="Calibri"/>
                <w:b w:val="0"/>
                <w:color w:val="1F2937"/>
                <w:sz w:val="18"/>
              </w:rPr>
              <w:t>P2</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Importar Caranavi predial</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6.573 activos junto con tres capas base; rollback probado</w:t>
            </w:r>
          </w:p>
        </w:tc>
      </w:tr>
      <w:t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P3</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Cierre de identidad provisional</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Modelo ratificado; sin falsa unicidad</w:t>
            </w:r>
          </w:p>
        </w:tc>
      </w:tr>
      <w:tr>
        <w:tc>
          <w:tcPr>
            <w:tcW w:type="dxa" w:w="950"/>
            <w:tcMar>
              <w:top w:w="80" w:type="dxa"/>
              <w:start w:w="120" w:type="dxa"/>
              <w:bottom w:w="80" w:type="dxa"/>
              <w:end w:w="120" w:type="dxa"/>
            </w:tcMar>
            <w:vAlign w:val="center"/>
          </w:tcPr>
          <w:p>
            <w:pPr>
              <w:jc w:val="left"/>
            </w:pPr>
            <w:r>
              <w:rPr>
                <w:rFonts w:ascii="Calibri" w:hAnsi="Calibri"/>
                <w:b w:val="0"/>
                <w:color w:val="1F2937"/>
                <w:sz w:val="18"/>
              </w:rPr>
              <w:t>P4</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Valuación Fase A</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11.985 Uyuni calculados y cinco casos manuales</w:t>
            </w:r>
          </w:p>
        </w:tc>
      </w:tr>
      <w:t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P5</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Certificado institucional</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PDF, folio, QR y permisos</w:t>
            </w:r>
          </w:p>
        </w:tc>
      </w:tr>
      <w:tr>
        <w:tc>
          <w:tcPr>
            <w:tcW w:type="dxa" w:w="950"/>
            <w:tcMar>
              <w:top w:w="80" w:type="dxa"/>
              <w:start w:w="120" w:type="dxa"/>
              <w:bottom w:w="80" w:type="dxa"/>
              <w:end w:w="120" w:type="dxa"/>
            </w:tcMar>
            <w:vAlign w:val="center"/>
          </w:tcPr>
          <w:p>
            <w:pPr>
              <w:jc w:val="left"/>
            </w:pPr>
            <w:r>
              <w:rPr>
                <w:rFonts w:ascii="Calibri" w:hAnsi="Calibri"/>
                <w:b w:val="0"/>
                <w:color w:val="1F2937"/>
                <w:sz w:val="18"/>
              </w:rPr>
              <w:t>P6</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Trámites esenciales</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Transferencia y mejoras end-to-end</w:t>
            </w:r>
          </w:p>
        </w:tc>
      </w:tr>
      <w:t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P7</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Producción endurecida</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Restore, monitoreo, TLS y manuales</w:t>
            </w:r>
          </w:p>
        </w:tc>
      </w:tr>
      <w:tr>
        <w:tc>
          <w:tcPr>
            <w:tcW w:type="dxa" w:w="950"/>
            <w:tcMar>
              <w:top w:w="80" w:type="dxa"/>
              <w:start w:w="120" w:type="dxa"/>
              <w:bottom w:w="80" w:type="dxa"/>
              <w:end w:w="120" w:type="dxa"/>
            </w:tcMar>
            <w:vAlign w:val="center"/>
          </w:tcPr>
          <w:p>
            <w:pPr>
              <w:jc w:val="left"/>
            </w:pPr>
            <w:r>
              <w:rPr>
                <w:rFonts w:ascii="Calibri" w:hAnsi="Calibri"/>
                <w:b w:val="0"/>
                <w:color w:val="1F2937"/>
                <w:sz w:val="18"/>
              </w:rPr>
              <w:t>P8</w:t>
            </w:r>
          </w:p>
        </w:tc>
        <w:tc>
          <w:tcPr>
            <w:tcW w:type="dxa" w:w="3400"/>
            <w:tcMar>
              <w:top w:w="80" w:type="dxa"/>
              <w:start w:w="120" w:type="dxa"/>
              <w:bottom w:w="80" w:type="dxa"/>
              <w:end w:w="120" w:type="dxa"/>
            </w:tcMar>
            <w:vAlign w:val="center"/>
          </w:tcPr>
          <w:p>
            <w:pPr>
              <w:jc w:val="left"/>
            </w:pPr>
            <w:r>
              <w:rPr>
                <w:rFonts w:ascii="Calibri" w:hAnsi="Calibri"/>
                <w:b w:val="0"/>
                <w:color w:val="1F2937"/>
                <w:sz w:val="18"/>
              </w:rPr>
              <w:t>Integración tributaria + portal</w:t>
            </w:r>
          </w:p>
        </w:tc>
        <w:tc>
          <w:tcPr>
            <w:tcW w:type="dxa" w:w="5010"/>
            <w:tcMar>
              <w:top w:w="80" w:type="dxa"/>
              <w:start w:w="120" w:type="dxa"/>
              <w:bottom w:w="80" w:type="dxa"/>
              <w:end w:w="120" w:type="dxa"/>
            </w:tcMar>
            <w:vAlign w:val="center"/>
          </w:tcPr>
          <w:p>
            <w:pPr>
              <w:jc w:val="left"/>
            </w:pPr>
            <w:r>
              <w:rPr>
                <w:rFonts w:ascii="Calibri" w:hAnsi="Calibri"/>
                <w:b w:val="0"/>
                <w:color w:val="1F2937"/>
                <w:sz w:val="18"/>
              </w:rPr>
              <w:t>Decisiones GAM y pruebas de privacidad</w:t>
            </w:r>
          </w:p>
        </w:tc>
      </w:tr>
      <w:tr>
        <w:tc>
          <w:tcPr>
            <w:tcW w:type="dxa" w:w="950"/>
            <w:shd w:fill="FAFBFC"/>
            <w:tcMar>
              <w:top w:w="80" w:type="dxa"/>
              <w:start w:w="120" w:type="dxa"/>
              <w:bottom w:w="80" w:type="dxa"/>
              <w:end w:w="120" w:type="dxa"/>
            </w:tcMar>
            <w:vAlign w:val="center"/>
          </w:tcPr>
          <w:p>
            <w:pPr>
              <w:jc w:val="left"/>
            </w:pPr>
            <w:r>
              <w:rPr>
                <w:rFonts w:ascii="Calibri" w:hAnsi="Calibri"/>
                <w:b w:val="0"/>
                <w:color w:val="1F2937"/>
                <w:sz w:val="18"/>
              </w:rPr>
              <w:t>P9</w:t>
            </w:r>
          </w:p>
        </w:tc>
        <w:tc>
          <w:tcPr>
            <w:tcW w:type="dxa" w:w="3400"/>
            <w:shd w:fill="FAFBFC"/>
            <w:tcMar>
              <w:top w:w="80" w:type="dxa"/>
              <w:start w:w="120" w:type="dxa"/>
              <w:bottom w:w="80" w:type="dxa"/>
              <w:end w:w="120" w:type="dxa"/>
            </w:tcMar>
            <w:vAlign w:val="center"/>
          </w:tcPr>
          <w:p>
            <w:pPr>
              <w:jc w:val="left"/>
            </w:pPr>
            <w:r>
              <w:rPr>
                <w:rFonts w:ascii="Calibri" w:hAnsi="Calibri"/>
                <w:b w:val="0"/>
                <w:color w:val="1F2937"/>
                <w:sz w:val="18"/>
              </w:rPr>
              <w:t>Piloto y replicación</w:t>
            </w:r>
          </w:p>
        </w:tc>
        <w:tc>
          <w:tcPr>
            <w:tcW w:type="dxa" w:w="5010"/>
            <w:shd w:fill="FAFBFC"/>
            <w:tcMar>
              <w:top w:w="80" w:type="dxa"/>
              <w:start w:w="120" w:type="dxa"/>
              <w:bottom w:w="80" w:type="dxa"/>
              <w:end w:w="120" w:type="dxa"/>
            </w:tcMar>
            <w:vAlign w:val="center"/>
          </w:tcPr>
          <w:p>
            <w:pPr>
              <w:jc w:val="left"/>
            </w:pPr>
            <w:r>
              <w:rPr>
                <w:rFonts w:ascii="Calibri" w:hAnsi="Calibri"/>
                <w:b w:val="0"/>
                <w:color w:val="1F2937"/>
                <w:sz w:val="18"/>
              </w:rPr>
              <w:t>Operación real + segundo/tercer municipio</w:t>
            </w:r>
          </w:p>
        </w:tc>
      </w:tr>
    </w:tbl>
    <w:p>
      <w:pPr>
        <w:spacing w:before="80" w:after="80"/>
      </w:pPr>
      <w:r>
        <w:rPr>
          <w:rFonts w:ascii="Calibri" w:hAnsi="Calibri"/>
          <w:i/>
          <w:color w:val="5F6B7A"/>
          <w:sz w:val="17"/>
        </w:rPr>
        <w:t>Fuente: dependencias técnicas e institucionales observadas.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A46A00"/>
                <w:sz w:val="18"/>
              </w:rPr>
              <w:t>REGLA DE CIERRE</w:t>
            </w:r>
          </w:p>
          <w:p>
            <w:pPr>
              <w:spacing w:after="0"/>
            </w:pPr>
            <w:r>
              <w:rPr>
                <w:rFonts w:ascii="Calibri" w:hAnsi="Calibri"/>
                <w:color w:val="1F2937"/>
                <w:sz w:val="21"/>
              </w:rPr>
              <w:t>No abrir simultáneamente valuación, certificados, trámites y portal. Cerrar primero 3.B.7 y consolidar documentación; después avanzar por capacidades con evidencia de aceptación y sin debilitar la operación existente.</w:t>
            </w:r>
          </w:p>
        </w:tc>
      </w:tr>
    </w:tbl>
    <w:p>
      <w:pPr>
        <w:spacing w:after="0"/>
      </w:pPr>
    </w:p>
    <w:p>
      <w:pPr>
        <w:pStyle w:val="Heading1"/>
      </w:pPr>
      <w:r>
        <w:t>12. Decisiones institucionales pendientes</w:t>
      </w:r>
    </w:p>
    <w:p>
      <w:pPr>
        <w:spacing w:before="80" w:after="80"/>
      </w:pPr>
      <w:r>
        <w:rPr>
          <w:rFonts w:ascii="Calibri" w:hAnsi="Calibri"/>
          <w:b/>
          <w:color w:val="0B2545"/>
          <w:sz w:val="19"/>
        </w:rPr>
        <w:t>Tabla 13. Decisiones no sustituibles por código</w:t>
      </w:r>
    </w:p>
    <w:tbl>
      <w:tblPr>
        <w:tblStyle w:val="TableGrid"/>
        <w:tblW w:type="dxa" w:w="9360"/>
        <w:jc w:val="left"/>
        <w:tblLayout w:type="fixed"/>
        <w:tblLook w:firstColumn="1" w:firstRow="1" w:lastColumn="0" w:lastRow="0" w:noHBand="0" w:noVBand="1" w:val="04A0"/>
        <w:tblInd w:w="120" w:type="dxa"/>
      </w:tblPr>
      <w:tblGrid>
        <w:gridCol w:w="2400"/>
        <w:gridCol w:w="2100"/>
        <w:gridCol w:w="2000"/>
        <w:gridCol w:w="2860"/>
      </w:tblGrid>
      <w:tr>
        <w:trPr>
          <w:tblHeader w:val="true"/>
        </w:trPr>
        <w:tc>
          <w:tcPr>
            <w:tcW w:type="dxa" w:w="2400"/>
            <w:shd w:fill="F2F4F7"/>
            <w:tcMar>
              <w:top w:w="80" w:type="dxa"/>
              <w:start w:w="120" w:type="dxa"/>
              <w:bottom w:w="80" w:type="dxa"/>
              <w:end w:w="120" w:type="dxa"/>
            </w:tcMar>
            <w:vAlign w:val="center"/>
          </w:tcPr>
          <w:p>
            <w:pPr>
              <w:jc w:val="center"/>
            </w:pPr>
            <w:r>
              <w:rPr>
                <w:rFonts w:ascii="Calibri" w:hAnsi="Calibri"/>
                <w:b/>
                <w:color w:val="0B2545"/>
                <w:sz w:val="18"/>
              </w:rPr>
              <w:t>Decisión</w:t>
            </w:r>
          </w:p>
        </w:tc>
        <w:tc>
          <w:tcPr>
            <w:tcW w:type="dxa" w:w="2100"/>
            <w:shd w:fill="F2F4F7"/>
            <w:tcMar>
              <w:top w:w="80" w:type="dxa"/>
              <w:start w:w="120" w:type="dxa"/>
              <w:bottom w:w="80" w:type="dxa"/>
              <w:end w:w="120" w:type="dxa"/>
            </w:tcMar>
            <w:vAlign w:val="center"/>
          </w:tcPr>
          <w:p>
            <w:pPr>
              <w:jc w:val="center"/>
            </w:pPr>
            <w:r>
              <w:rPr>
                <w:rFonts w:ascii="Calibri" w:hAnsi="Calibri"/>
                <w:b/>
                <w:color w:val="0B2545"/>
                <w:sz w:val="18"/>
              </w:rPr>
              <w:t>Responsable</w:t>
            </w:r>
          </w:p>
        </w:tc>
        <w:tc>
          <w:tcPr>
            <w:tcW w:type="dxa" w:w="2000"/>
            <w:shd w:fill="F2F4F7"/>
            <w:tcMar>
              <w:top w:w="80" w:type="dxa"/>
              <w:start w:w="120" w:type="dxa"/>
              <w:bottom w:w="80" w:type="dxa"/>
              <w:end w:w="120" w:type="dxa"/>
            </w:tcMar>
            <w:vAlign w:val="center"/>
          </w:tcPr>
          <w:p>
            <w:pPr>
              <w:jc w:val="center"/>
            </w:pPr>
            <w:r>
              <w:rPr>
                <w:rFonts w:ascii="Calibri" w:hAnsi="Calibri"/>
                <w:b/>
                <w:color w:val="0B2545"/>
                <w:sz w:val="18"/>
              </w:rPr>
              <w:t>Cuándo</w:t>
            </w:r>
          </w:p>
        </w:tc>
        <w:tc>
          <w:tcPr>
            <w:tcW w:type="dxa" w:w="2860"/>
            <w:shd w:fill="F2F4F7"/>
            <w:tcMar>
              <w:top w:w="80" w:type="dxa"/>
              <w:start w:w="120" w:type="dxa"/>
              <w:bottom w:w="80" w:type="dxa"/>
              <w:end w:w="120" w:type="dxa"/>
            </w:tcMar>
            <w:vAlign w:val="center"/>
          </w:tcPr>
          <w:p>
            <w:pPr>
              <w:jc w:val="center"/>
            </w:pPr>
            <w:r>
              <w:rPr>
                <w:rFonts w:ascii="Calibri" w:hAnsi="Calibri"/>
                <w:b/>
                <w:color w:val="0B2545"/>
                <w:sz w:val="18"/>
              </w:rPr>
              <w:t>Impacto</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Valores zonales vigentes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Inicio valuación</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Fase A</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Tipologías y ordenanza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 / instancia competente</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Antes de activar construcción</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Fase B</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Identidad catastral Caranavi</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 Caranavi</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maestro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Búsqueda, ficha y mutaciones</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RUAT o liquidación propia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 Uyuni</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Inicio Fase 6</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Tributación</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Datos públicos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GAM + revisión jurídica</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portal/QR ampliado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Privacidad</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Códigos en subdivisión/fusión</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Antes de T-5.4</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Mutaciones</w:t>
            </w:r>
          </w:p>
        </w:tc>
      </w:tr>
      <w:tr>
        <w:tc>
          <w:tcPr>
            <w:tcW w:type="dxa" w:w="2400"/>
            <w:tcMar>
              <w:top w:w="80" w:type="dxa"/>
              <w:start w:w="120" w:type="dxa"/>
              <w:bottom w:w="80" w:type="dxa"/>
              <w:end w:w="120" w:type="dxa"/>
            </w:tcMar>
            <w:vAlign w:val="center"/>
          </w:tcPr>
          <w:p>
            <w:pPr>
              <w:jc w:val="left"/>
            </w:pPr>
            <w:r>
              <w:rPr>
                <w:rFonts w:ascii="Calibri" w:hAnsi="Calibri"/>
                <w:b w:val="0"/>
                <w:color w:val="1F2937"/>
                <w:sz w:val="18"/>
              </w:rPr>
              <w:t>Proveedor y localización VPS</w:t>
            </w:r>
          </w:p>
        </w:tc>
        <w:tc>
          <w:tcPr>
            <w:tcW w:type="dxa" w:w="2100"/>
            <w:tcMar>
              <w:top w:w="80" w:type="dxa"/>
              <w:start w:w="120" w:type="dxa"/>
              <w:bottom w:w="80" w:type="dxa"/>
              <w:end w:w="120" w:type="dxa"/>
            </w:tcMar>
            <w:vAlign w:val="center"/>
          </w:tcPr>
          <w:p>
            <w:pPr>
              <w:jc w:val="left"/>
            </w:pPr>
            <w:r>
              <w:rPr>
                <w:rFonts w:ascii="Calibri" w:hAnsi="Calibri"/>
                <w:b w:val="0"/>
                <w:color w:val="1F2937"/>
                <w:sz w:val="18"/>
              </w:rPr>
              <w:t>Saul + GAM</w:t>
            </w:r>
          </w:p>
        </w:tc>
        <w:tc>
          <w:tcPr>
            <w:tcW w:type="dxa" w:w="2000"/>
            <w:tcMar>
              <w:top w:w="80" w:type="dxa"/>
              <w:start w:w="120" w:type="dxa"/>
              <w:bottom w:w="80" w:type="dxa"/>
              <w:end w:w="120" w:type="dxa"/>
            </w:tcMar>
            <w:vAlign w:val="center"/>
          </w:tcPr>
          <w:p>
            <w:pPr>
              <w:jc w:val="left"/>
            </w:pPr>
            <w:r>
              <w:rPr>
                <w:rFonts w:ascii="Calibri" w:hAnsi="Calibri"/>
                <w:b w:val="0"/>
                <w:color w:val="1F2937"/>
                <w:sz w:val="18"/>
              </w:rPr>
              <w:t>Antes del piloto</w:t>
            </w:r>
          </w:p>
        </w:tc>
        <w:tc>
          <w:tcPr>
            <w:tcW w:type="dxa" w:w="2860"/>
            <w:tcMar>
              <w:top w:w="80" w:type="dxa"/>
              <w:start w:w="120" w:type="dxa"/>
              <w:bottom w:w="80" w:type="dxa"/>
              <w:end w:w="120" w:type="dxa"/>
            </w:tcMar>
            <w:vAlign w:val="center"/>
          </w:tcPr>
          <w:p>
            <w:pPr>
              <w:jc w:val="left"/>
            </w:pPr>
            <w:r>
              <w:rPr>
                <w:rFonts w:ascii="Calibri" w:hAnsi="Calibri"/>
                <w:b w:val="0"/>
                <w:color w:val="1F2937"/>
                <w:sz w:val="18"/>
              </w:rPr>
              <w:t>Producción</w:t>
            </w:r>
          </w:p>
        </w:tc>
      </w:tr>
      <w:tr>
        <w:tc>
          <w:tcPr>
            <w:tcW w:type="dxa" w:w="2400"/>
            <w:shd w:fill="FAFBFC"/>
            <w:tcMar>
              <w:top w:w="80" w:type="dxa"/>
              <w:start w:w="120" w:type="dxa"/>
              <w:bottom w:w="80" w:type="dxa"/>
              <w:end w:w="120" w:type="dxa"/>
            </w:tcMar>
            <w:vAlign w:val="center"/>
          </w:tcPr>
          <w:p>
            <w:pPr>
              <w:jc w:val="left"/>
            </w:pPr>
            <w:r>
              <w:rPr>
                <w:rFonts w:ascii="Calibri" w:hAnsi="Calibri"/>
                <w:b w:val="0"/>
                <w:color w:val="1F2937"/>
                <w:sz w:val="18"/>
              </w:rPr>
              <w:t>RPO/RTO y SLA</w:t>
            </w:r>
          </w:p>
        </w:tc>
        <w:tc>
          <w:tcPr>
            <w:tcW w:type="dxa" w:w="2100"/>
            <w:shd w:fill="FAFBFC"/>
            <w:tcMar>
              <w:top w:w="80" w:type="dxa"/>
              <w:start w:w="120" w:type="dxa"/>
              <w:bottom w:w="80" w:type="dxa"/>
              <w:end w:w="120" w:type="dxa"/>
            </w:tcMar>
            <w:vAlign w:val="center"/>
          </w:tcPr>
          <w:p>
            <w:pPr>
              <w:jc w:val="left"/>
            </w:pPr>
            <w:r>
              <w:rPr>
                <w:rFonts w:ascii="Calibri" w:hAnsi="Calibri"/>
                <w:b w:val="0"/>
                <w:color w:val="1F2937"/>
                <w:sz w:val="18"/>
              </w:rPr>
              <w:t>Saul + GAM</w:t>
            </w:r>
          </w:p>
        </w:tc>
        <w:tc>
          <w:tcPr>
            <w:tcW w:type="dxa" w:w="2000"/>
            <w:shd w:fill="FAFBFC"/>
            <w:tcMar>
              <w:top w:w="80" w:type="dxa"/>
              <w:start w:w="120" w:type="dxa"/>
              <w:bottom w:w="80" w:type="dxa"/>
              <w:end w:w="120" w:type="dxa"/>
            </w:tcMar>
            <w:vAlign w:val="center"/>
          </w:tcPr>
          <w:p>
            <w:pPr>
              <w:jc w:val="left"/>
            </w:pPr>
            <w:r>
              <w:rPr>
                <w:rFonts w:ascii="Calibri" w:hAnsi="Calibri"/>
                <w:b w:val="0"/>
                <w:color w:val="1F2937"/>
                <w:sz w:val="18"/>
              </w:rPr>
              <w:t>Contrato</w:t>
            </w:r>
          </w:p>
        </w:tc>
        <w:tc>
          <w:tcPr>
            <w:tcW w:type="dxa" w:w="2860"/>
            <w:shd w:fill="FAFBFC"/>
            <w:tcMar>
              <w:top w:w="80" w:type="dxa"/>
              <w:start w:w="120" w:type="dxa"/>
              <w:bottom w:w="80" w:type="dxa"/>
              <w:end w:w="120" w:type="dxa"/>
            </w:tcMar>
            <w:vAlign w:val="center"/>
          </w:tcPr>
          <w:p>
            <w:pPr>
              <w:jc w:val="left"/>
            </w:pPr>
            <w:r>
              <w:rPr>
                <w:rFonts w:ascii="Calibri" w:hAnsi="Calibri"/>
                <w:b w:val="0"/>
                <w:color w:val="1F2937"/>
                <w:sz w:val="18"/>
              </w:rPr>
              <w:t>Continuidad</w:t>
            </w:r>
          </w:p>
        </w:tc>
      </w:tr>
    </w:tbl>
    <w:p>
      <w:pPr>
        <w:spacing w:before="80" w:after="80"/>
      </w:pPr>
      <w:r>
        <w:rPr>
          <w:rFonts w:ascii="Calibri" w:hAnsi="Calibri"/>
          <w:i/>
          <w:color w:val="5F6B7A"/>
          <w:sz w:val="17"/>
        </w:rPr>
        <w:t>Fuente: PLAN_MAESTRO, ADR 0045/0047 y observaciones de consolidación.</w:t>
      </w:r>
    </w:p>
    <w:p>
      <w:pPr>
        <w:pStyle w:val="Heading1"/>
      </w:pPr>
      <w:r>
        <w:t>13. Riesgos y mitigaciones</w:t>
      </w:r>
    </w:p>
    <w:p>
      <w:pPr>
        <w:spacing w:before="80" w:after="80"/>
      </w:pPr>
      <w:r>
        <w:rPr>
          <w:rFonts w:ascii="Calibri" w:hAnsi="Calibri"/>
          <w:b/>
          <w:color w:val="0B2545"/>
          <w:sz w:val="19"/>
        </w:rPr>
        <w:t>Tabla 14. Riesgos principales</w:t>
      </w:r>
    </w:p>
    <w:tbl>
      <w:tblPr>
        <w:tblStyle w:val="TableGrid"/>
        <w:tblW w:type="dxa" w:w="9360"/>
        <w:jc w:val="left"/>
        <w:tblLayout w:type="fixed"/>
        <w:tblLook w:firstColumn="1" w:firstRow="1" w:lastColumn="0" w:lastRow="0" w:noHBand="0" w:noVBand="1" w:val="04A0"/>
        <w:tblInd w:w="120" w:type="dxa"/>
      </w:tblPr>
      <w:tblGrid>
        <w:gridCol w:w="3200"/>
        <w:gridCol w:w="1000"/>
        <w:gridCol w:w="1250"/>
        <w:gridCol w:w="3910"/>
      </w:tblGrid>
      <w:tr>
        <w:trPr>
          <w:tblHeader w:val="true"/>
        </w:trPr>
        <w:tc>
          <w:tcPr>
            <w:tcW w:type="dxa" w:w="3200"/>
            <w:shd w:fill="F2F4F7"/>
            <w:tcMar>
              <w:top w:w="80" w:type="dxa"/>
              <w:start w:w="120" w:type="dxa"/>
              <w:bottom w:w="80" w:type="dxa"/>
              <w:end w:w="120" w:type="dxa"/>
            </w:tcMar>
            <w:vAlign w:val="center"/>
          </w:tcPr>
          <w:p>
            <w:pPr>
              <w:jc w:val="center"/>
            </w:pPr>
            <w:r>
              <w:rPr>
                <w:rFonts w:ascii="Calibri" w:hAnsi="Calibri"/>
                <w:b/>
                <w:color w:val="0B2545"/>
                <w:sz w:val="18"/>
              </w:rPr>
              <w:t>Riesgo</w:t>
            </w:r>
          </w:p>
        </w:tc>
        <w:tc>
          <w:tcPr>
            <w:tcW w:type="dxa" w:w="1000"/>
            <w:shd w:fill="F2F4F7"/>
            <w:tcMar>
              <w:top w:w="80" w:type="dxa"/>
              <w:start w:w="120" w:type="dxa"/>
              <w:bottom w:w="80" w:type="dxa"/>
              <w:end w:w="120" w:type="dxa"/>
            </w:tcMar>
            <w:vAlign w:val="center"/>
          </w:tcPr>
          <w:p>
            <w:pPr>
              <w:jc w:val="center"/>
            </w:pPr>
            <w:r>
              <w:rPr>
                <w:rFonts w:ascii="Calibri" w:hAnsi="Calibri"/>
                <w:b/>
                <w:color w:val="0B2545"/>
                <w:sz w:val="18"/>
              </w:rPr>
              <w:t>Prob.</w:t>
            </w:r>
          </w:p>
        </w:tc>
        <w:tc>
          <w:tcPr>
            <w:tcW w:type="dxa" w:w="1250"/>
            <w:shd w:fill="F2F4F7"/>
            <w:tcMar>
              <w:top w:w="80" w:type="dxa"/>
              <w:start w:w="120" w:type="dxa"/>
              <w:bottom w:w="80" w:type="dxa"/>
              <w:end w:w="120" w:type="dxa"/>
            </w:tcMar>
            <w:vAlign w:val="center"/>
          </w:tcPr>
          <w:p>
            <w:pPr>
              <w:jc w:val="center"/>
            </w:pPr>
            <w:r>
              <w:rPr>
                <w:rFonts w:ascii="Calibri" w:hAnsi="Calibri"/>
                <w:b/>
                <w:color w:val="0B2545"/>
                <w:sz w:val="18"/>
              </w:rPr>
              <w:t>Impacto</w:t>
            </w:r>
          </w:p>
        </w:tc>
        <w:tc>
          <w:tcPr>
            <w:tcW w:type="dxa" w:w="3910"/>
            <w:shd w:fill="F2F4F7"/>
            <w:tcMar>
              <w:top w:w="80" w:type="dxa"/>
              <w:start w:w="120" w:type="dxa"/>
              <w:bottom w:w="80" w:type="dxa"/>
              <w:end w:w="120" w:type="dxa"/>
            </w:tcMar>
            <w:vAlign w:val="center"/>
          </w:tcPr>
          <w:p>
            <w:pPr>
              <w:jc w:val="left"/>
            </w:pPr>
            <w:r>
              <w:rPr>
                <w:rFonts w:ascii="Calibri" w:hAnsi="Calibri"/>
                <w:b/>
                <w:color w:val="0B2545"/>
                <w:sz w:val="18"/>
              </w:rPr>
              <w:t>Mitigación inmediata</w:t>
            </w:r>
          </w:p>
        </w:tc>
      </w:tr>
      <w:tr>
        <w:tc>
          <w:tcPr>
            <w:tcW w:type="dxa" w:w="3200"/>
            <w:tcMar>
              <w:top w:w="80" w:type="dxa"/>
              <w:start w:w="120" w:type="dxa"/>
              <w:bottom w:w="80" w:type="dxa"/>
              <w:end w:w="120" w:type="dxa"/>
            </w:tcMar>
            <w:vAlign w:val="center"/>
          </w:tcPr>
          <w:p>
            <w:pPr>
              <w:jc w:val="left"/>
            </w:pPr>
            <w:r>
              <w:rPr>
                <w:rFonts w:ascii="Calibri" w:hAnsi="Calibri"/>
                <w:b w:val="0"/>
                <w:color w:val="1F2937"/>
                <w:sz w:val="18"/>
              </w:rPr>
              <w:t>Activar versión parcial y perder capas visibles</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Composición N+1 + test de conservación</w:t>
            </w:r>
          </w:p>
        </w:tc>
      </w:tr>
      <w:t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Identidad ambigua de Caranavi</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Staging; no maestro; acuerdo GAM</w:t>
            </w:r>
          </w:p>
        </w:tc>
      </w:tr>
      <w:tr>
        <w:tc>
          <w:tcPr>
            <w:tcW w:type="dxa" w:w="3200"/>
            <w:tcMar>
              <w:top w:w="80" w:type="dxa"/>
              <w:start w:w="120" w:type="dxa"/>
              <w:bottom w:w="80" w:type="dxa"/>
              <w:end w:w="120" w:type="dxa"/>
            </w:tcMar>
            <w:vAlign w:val="center"/>
          </w:tcPr>
          <w:p>
            <w:pPr>
              <w:jc w:val="left"/>
            </w:pPr>
            <w:r>
              <w:rPr>
                <w:rFonts w:ascii="Calibri" w:hAnsi="Calibri"/>
                <w:b w:val="0"/>
                <w:color w:val="1F2937"/>
                <w:sz w:val="18"/>
              </w:rPr>
              <w:t>Documentación contradice código</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Cosecha de fuentes de verdad</w:t>
            </w:r>
          </w:p>
        </w:tc>
      </w:tr>
      <w:t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Dependencia de una persona</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Runbooks, onboarding, soporte y ADR</w:t>
            </w:r>
          </w:p>
        </w:tc>
      </w:tr>
      <w:tr>
        <w:tc>
          <w:tcPr>
            <w:tcW w:type="dxa" w:w="3200"/>
            <w:tcMar>
              <w:top w:w="80" w:type="dxa"/>
              <w:start w:w="120" w:type="dxa"/>
              <w:bottom w:w="80" w:type="dxa"/>
              <w:end w:w="120" w:type="dxa"/>
            </w:tcMar>
            <w:vAlign w:val="center"/>
          </w:tcPr>
          <w:p>
            <w:pPr>
              <w:jc w:val="left"/>
            </w:pPr>
            <w:r>
              <w:rPr>
                <w:rFonts w:ascii="Calibri" w:hAnsi="Calibri"/>
                <w:b w:val="0"/>
                <w:color w:val="1F2937"/>
                <w:sz w:val="18"/>
              </w:rPr>
              <w:t>Falla de restore</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Simulacro periódico</w:t>
            </w:r>
          </w:p>
        </w:tc>
      </w:tr>
      <w:t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Valores no oficiales usados como tributo</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Flags, vigencia, autorización y UI explícita</w:t>
            </w:r>
          </w:p>
        </w:tc>
      </w:tr>
      <w:tr>
        <w:tc>
          <w:tcPr>
            <w:tcW w:type="dxa" w:w="3200"/>
            <w:tcMar>
              <w:top w:w="80" w:type="dxa"/>
              <w:start w:w="120" w:type="dxa"/>
              <w:bottom w:w="80" w:type="dxa"/>
              <w:end w:w="120" w:type="dxa"/>
            </w:tcMar>
            <w:vAlign w:val="center"/>
          </w:tcPr>
          <w:p>
            <w:pPr>
              <w:jc w:val="left"/>
            </w:pPr>
            <w:r>
              <w:rPr>
                <w:rFonts w:ascii="Calibri" w:hAnsi="Calibri"/>
                <w:b w:val="0"/>
                <w:color w:val="1F2937"/>
                <w:sz w:val="18"/>
              </w:rPr>
              <w:t>Exposición de datos personales</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Crítico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Clasificación, mínimo dato y revisión adversarial</w:t>
            </w:r>
          </w:p>
        </w:tc>
      </w:tr>
      <w:t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Codepage/DBF distinta</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Media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Medio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Política encoding y fixtures</w:t>
            </w:r>
          </w:p>
        </w:tc>
      </w:tr>
      <w:tr>
        <w:tc>
          <w:tcPr>
            <w:tcW w:type="dxa" w:w="3200"/>
            <w:tcMar>
              <w:top w:w="80" w:type="dxa"/>
              <w:start w:w="120" w:type="dxa"/>
              <w:bottom w:w="80" w:type="dxa"/>
              <w:end w:w="120" w:type="dxa"/>
            </w:tcMar>
            <w:vAlign w:val="center"/>
          </w:tcPr>
          <w:p>
            <w:pPr>
              <w:jc w:val="left"/>
            </w:pPr>
            <w:r>
              <w:rPr>
                <w:rFonts w:ascii="Calibri" w:hAnsi="Calibri"/>
                <w:b w:val="0"/>
                <w:color w:val="1F2937"/>
                <w:sz w:val="18"/>
              </w:rPr>
              <w:t>CI sin integración</w:t>
            </w:r>
          </w:p>
        </w:tc>
        <w:tc>
          <w:tcPr>
            <w:tcW w:type="dxa" w:w="1000"/>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tcMar>
              <w:top w:w="80" w:type="dxa"/>
              <w:start w:w="120" w:type="dxa"/>
              <w:bottom w:w="80" w:type="dxa"/>
              <w:end w:w="120" w:type="dxa"/>
            </w:tcMar>
            <w:vAlign w:val="center"/>
          </w:tcPr>
          <w:p>
            <w:pPr>
              <w:jc w:val="left"/>
            </w:pPr>
            <w:r>
              <w:rPr>
                <w:rFonts w:ascii="Calibri" w:hAnsi="Calibri"/>
                <w:b w:val="0"/>
                <w:color w:val="1F2937"/>
                <w:sz w:val="18"/>
              </w:rPr>
              <w:t>Ejecutar Testcontainers en CI</w:t>
            </w:r>
          </w:p>
        </w:tc>
      </w:tr>
      <w:tr>
        <w:tc>
          <w:tcPr>
            <w:tcW w:type="dxa" w:w="3200"/>
            <w:shd w:fill="FAFBFC"/>
            <w:tcMar>
              <w:top w:w="80" w:type="dxa"/>
              <w:start w:w="120" w:type="dxa"/>
              <w:bottom w:w="80" w:type="dxa"/>
              <w:end w:w="120" w:type="dxa"/>
            </w:tcMar>
            <w:vAlign w:val="center"/>
          </w:tcPr>
          <w:p>
            <w:pPr>
              <w:jc w:val="left"/>
            </w:pPr>
            <w:r>
              <w:rPr>
                <w:rFonts w:ascii="Calibri" w:hAnsi="Calibri"/>
                <w:b w:val="0"/>
                <w:color w:val="1F2937"/>
                <w:sz w:val="18"/>
              </w:rPr>
              <w:t>Scope creep</w:t>
            </w:r>
          </w:p>
        </w:tc>
        <w:tc>
          <w:tcPr>
            <w:tcW w:type="dxa" w:w="1000"/>
            <w:shd w:fill="FAFBFC"/>
            <w:tcMar>
              <w:top w:w="80" w:type="dxa"/>
              <w:start w:w="120" w:type="dxa"/>
              <w:bottom w:w="80" w:type="dxa"/>
              <w:end w:w="120" w:type="dxa"/>
            </w:tcMar>
            <w:vAlign w:val="center"/>
          </w:tcPr>
          <w:p>
            <w:pPr>
              <w:jc w:val="left"/>
            </w:pPr>
            <w:r>
              <w:rPr>
                <w:rFonts w:ascii="Calibri" w:hAnsi="Calibri"/>
                <w:b w:val="0"/>
                <w:color w:val="1F2937"/>
                <w:sz w:val="18"/>
              </w:rPr>
              <w:t>Alta</w:t>
            </w:r>
          </w:p>
        </w:tc>
        <w:tc>
          <w:tcPr>
            <w:tcW w:type="dxa" w:w="1250"/>
            <w:shd w:fill="FAFBFC"/>
            <w:tcMar>
              <w:top w:w="80" w:type="dxa"/>
              <w:start w:w="120" w:type="dxa"/>
              <w:bottom w:w="80" w:type="dxa"/>
              <w:end w:w="120" w:type="dxa"/>
            </w:tcMar>
            <w:vAlign w:val="center"/>
          </w:tcPr>
          <w:p>
            <w:pPr>
              <w:jc w:val="left"/>
            </w:pPr>
            <w:r>
              <w:rPr>
                <w:rFonts w:ascii="Calibri" w:hAnsi="Calibri"/>
                <w:b w:val="0"/>
                <w:color w:val="1F2937"/>
                <w:sz w:val="18"/>
              </w:rPr>
              <w:t>Alto</w:t>
            </w:r>
          </w:p>
        </w:tc>
        <w:tc>
          <w:tcPr>
            <w:tcW w:type="dxa" w:w="3910"/>
            <w:shd w:fill="FAFBFC"/>
            <w:tcMar>
              <w:top w:w="80" w:type="dxa"/>
              <w:start w:w="120" w:type="dxa"/>
              <w:bottom w:w="80" w:type="dxa"/>
              <w:end w:w="120" w:type="dxa"/>
            </w:tcMar>
            <w:vAlign w:val="center"/>
          </w:tcPr>
          <w:p>
            <w:pPr>
              <w:jc w:val="left"/>
            </w:pPr>
            <w:r>
              <w:rPr>
                <w:rFonts w:ascii="Calibri" w:hAnsi="Calibri"/>
                <w:b w:val="0"/>
                <w:color w:val="1F2937"/>
                <w:sz w:val="18"/>
              </w:rPr>
              <w:t>Gates secuenciales y backlog priorizado</w:t>
            </w:r>
          </w:p>
        </w:tc>
      </w:tr>
    </w:tbl>
    <w:p>
      <w:pPr>
        <w:spacing w:before="80" w:after="80"/>
      </w:pPr>
      <w:r>
        <w:rPr>
          <w:rFonts w:ascii="Calibri" w:hAnsi="Calibri"/>
          <w:i/>
          <w:color w:val="5F6B7A"/>
          <w:sz w:val="17"/>
        </w:rPr>
        <w:t>Fuente: riesgos de PLAN_MAESTRO ampliados por evidencia actual.</w:t>
      </w:r>
    </w:p>
    <w:p>
      <w:pPr>
        <w:pStyle w:val="Heading1"/>
      </w:pPr>
      <w:r>
        <w:t>14. Definición de proyecto completamente terminado</w:t>
      </w:r>
    </w:p>
    <w:p>
      <w:pPr/>
      <w:r>
        <w:rPr>
          <w:rFonts w:ascii="Calibri" w:hAnsi="Calibri"/>
          <w:i w:val="0"/>
          <w:color w:val="1F2937"/>
          <w:sz w:val="22"/>
        </w:rPr>
        <w:t>El proyecto no estará completamente terminado cuando compile o cuando muestre mapas. Estará consolidado cuando cumpla simultáneamente los siguientes criterios:</w:t>
      </w:r>
    </w:p>
    <w:p>
      <w:pPr>
        <w:ind w:left="259" w:hanging="259"/>
      </w:pPr>
      <w:r>
        <w:rPr>
          <w:rFonts w:ascii="Calibri" w:hAnsi="Calibri"/>
          <w:color w:val="1F2937"/>
          <w:sz w:val="22"/>
        </w:rPr>
        <w:t>1.  Un municipio usa el sistema diariamente para predios, propietarios, trámites, valuación y certificados.</w:t>
      </w:r>
    </w:p>
    <w:p>
      <w:pPr>
        <w:ind w:left="259" w:hanging="259"/>
      </w:pPr>
      <w:r>
        <w:rPr>
          <w:rFonts w:ascii="Calibri" w:hAnsi="Calibri"/>
          <w:color w:val="1F2937"/>
          <w:sz w:val="22"/>
        </w:rPr>
        <w:t>2.  La cartografía y el maestro están versionados, reconciliados y auditables.</w:t>
      </w:r>
    </w:p>
    <w:p>
      <w:pPr>
        <w:ind w:left="259" w:hanging="259"/>
      </w:pPr>
      <w:r>
        <w:rPr>
          <w:rFonts w:ascii="Calibri" w:hAnsi="Calibri"/>
          <w:color w:val="1F2937"/>
          <w:sz w:val="22"/>
        </w:rPr>
        <w:t>3.  Las fórmulas y catálogos aplicados son oficiales, versionados y trazables.</w:t>
      </w:r>
    </w:p>
    <w:p>
      <w:pPr>
        <w:ind w:left="259" w:hanging="259"/>
      </w:pPr>
      <w:r>
        <w:rPr>
          <w:rFonts w:ascii="Calibri" w:hAnsi="Calibri"/>
          <w:color w:val="1F2937"/>
          <w:sz w:val="22"/>
        </w:rPr>
        <w:t>4.  La liquidación o exportación tributaria funciona para todos los predios valuados.</w:t>
      </w:r>
    </w:p>
    <w:p>
      <w:pPr>
        <w:ind w:left="259" w:hanging="259"/>
      </w:pPr>
      <w:r>
        <w:rPr>
          <w:rFonts w:ascii="Calibri" w:hAnsi="Calibri"/>
          <w:color w:val="1F2937"/>
          <w:sz w:val="22"/>
        </w:rPr>
        <w:t>5.  Los ciudadanos pueden verificar certificados y consultar solo datos autorizados.</w:t>
      </w:r>
    </w:p>
    <w:p>
      <w:pPr>
        <w:ind w:left="259" w:hanging="259"/>
      </w:pPr>
      <w:r>
        <w:rPr>
          <w:rFonts w:ascii="Calibri" w:hAnsi="Calibri"/>
          <w:color w:val="1F2937"/>
          <w:sz w:val="22"/>
        </w:rPr>
        <w:t>6.  Backups y restauración se demuestran en entorno limpio.</w:t>
      </w:r>
    </w:p>
    <w:p>
      <w:pPr>
        <w:ind w:left="259" w:hanging="259"/>
      </w:pPr>
      <w:r>
        <w:rPr>
          <w:rFonts w:ascii="Calibri" w:hAnsi="Calibri"/>
          <w:color w:val="1F2937"/>
          <w:sz w:val="22"/>
        </w:rPr>
        <w:t>7.  Seguridad, monitoreo, soporte y actualización tienen responsables y SLA.</w:t>
      </w:r>
    </w:p>
    <w:p>
      <w:pPr>
        <w:ind w:left="259" w:hanging="259"/>
      </w:pPr>
      <w:r>
        <w:rPr>
          <w:rFonts w:ascii="Calibri" w:hAnsi="Calibri"/>
          <w:color w:val="1F2937"/>
          <w:sz w:val="22"/>
        </w:rPr>
        <w:t>8.  Caranavi y Uyuni coexisten con sus propias instancias operativas y datos correctos.</w:t>
      </w:r>
    </w:p>
    <w:p>
      <w:pPr>
        <w:ind w:left="259" w:hanging="259"/>
      </w:pPr>
      <w:r>
        <w:rPr>
          <w:rFonts w:ascii="Calibri" w:hAnsi="Calibri"/>
          <w:color w:val="1F2937"/>
          <w:sz w:val="22"/>
        </w:rPr>
        <w:t>9.  Un tercer municipio puede desplegarse en menos de un día sin cambiar el código.</w:t>
      </w:r>
    </w:p>
    <w:p>
      <w:pPr>
        <w:ind w:left="259" w:hanging="259"/>
      </w:pPr>
      <w:r>
        <w:rPr>
          <w:rFonts w:ascii="Calibri" w:hAnsi="Calibri"/>
          <w:color w:val="1F2937"/>
          <w:sz w:val="22"/>
        </w:rPr>
        <w:t>10.  Otra persona técnica puede operar y mantener el sistema siguiendo la documentación.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4EA"/>
          </w:tcPr>
          <w:p>
            <w:pPr>
              <w:spacing w:after="40"/>
            </w:pPr>
            <w:r>
              <w:rPr>
                <w:rFonts w:ascii="Calibri" w:hAnsi="Calibri"/>
                <w:b/>
                <w:color w:val="2F7D32"/>
                <w:sz w:val="18"/>
              </w:rPr>
              <w:t>RESULTADO ESPERADO</w:t>
            </w:r>
          </w:p>
          <w:p>
            <w:pPr>
              <w:spacing w:after="0"/>
            </w:pPr>
            <w:r>
              <w:rPr>
                <w:rFonts w:ascii="Calibri" w:hAnsi="Calibri"/>
                <w:color w:val="1F2937"/>
                <w:sz w:val="21"/>
              </w:rPr>
              <w:t>Un sistema que une catastro, GIS, calidad, valuación, documentos, auditoría, trámites, certificados, tributación y operación; replicable por municipio y defendible frente a auditoría técnica e institucional.</w:t>
            </w:r>
          </w:p>
        </w:tc>
      </w:tr>
    </w:tbl>
    <w:p>
      <w:pPr>
        <w:spacing w:after="0"/>
      </w:pPr>
    </w:p>
    <w:p>
      <w:pPr>
        <w:pStyle w:val="Heading1"/>
      </w:pPr>
      <w:r>
        <w:t>15. Próximas acciones concretas</w:t>
      </w:r>
    </w:p>
    <w:p>
      <w:pPr>
        <w:spacing w:before="80" w:after="80"/>
      </w:pPr>
      <w:r>
        <w:rPr>
          <w:rFonts w:ascii="Calibri" w:hAnsi="Calibri"/>
          <w:b/>
          <w:color w:val="0B2545"/>
          <w:sz w:val="19"/>
        </w:rPr>
        <w:t>Tabla 15. Lista de actuación inmediata</w:t>
      </w:r>
    </w:p>
    <w:tbl>
      <w:tblPr>
        <w:tblStyle w:val="TableGrid"/>
        <w:tblW w:type="dxa" w:w="9360"/>
        <w:jc w:val="left"/>
        <w:tblLayout w:type="fixed"/>
        <w:tblLook w:firstColumn="1" w:firstRow="1" w:lastColumn="0" w:lastRow="0" w:noHBand="0" w:noVBand="1" w:val="04A0"/>
        <w:tblInd w:w="120" w:type="dxa"/>
      </w:tblPr>
      <w:tblGrid>
        <w:gridCol w:w="600"/>
        <w:gridCol w:w="5100"/>
        <w:gridCol w:w="3660"/>
      </w:tblGrid>
      <w:tr>
        <w:trPr>
          <w:tblHeader w:val="true"/>
        </w:trPr>
        <w:tc>
          <w:tcPr>
            <w:tcW w:type="dxa" w:w="600"/>
            <w:shd w:fill="F2F4F7"/>
            <w:tcMar>
              <w:top w:w="80" w:type="dxa"/>
              <w:start w:w="120" w:type="dxa"/>
              <w:bottom w:w="80" w:type="dxa"/>
              <w:end w:w="120" w:type="dxa"/>
            </w:tcMar>
            <w:vAlign w:val="center"/>
          </w:tcPr>
          <w:p>
            <w:pPr>
              <w:jc w:val="center"/>
            </w:pPr>
            <w:r>
              <w:rPr>
                <w:rFonts w:ascii="Calibri" w:hAnsi="Calibri"/>
                <w:b/>
                <w:color w:val="0B2545"/>
                <w:sz w:val="18"/>
              </w:rPr>
              <w:t>#</w:t>
            </w:r>
          </w:p>
        </w:tc>
        <w:tc>
          <w:tcPr>
            <w:tcW w:type="dxa" w:w="5100"/>
            <w:shd w:fill="F2F4F7"/>
            <w:tcMar>
              <w:top w:w="80" w:type="dxa"/>
              <w:start w:w="120" w:type="dxa"/>
              <w:bottom w:w="80" w:type="dxa"/>
              <w:end w:w="120" w:type="dxa"/>
            </w:tcMar>
            <w:vAlign w:val="center"/>
          </w:tcPr>
          <w:p>
            <w:pPr>
              <w:jc w:val="center"/>
            </w:pPr>
            <w:r>
              <w:rPr>
                <w:rFonts w:ascii="Calibri" w:hAnsi="Calibri"/>
                <w:b/>
                <w:color w:val="0B2545"/>
                <w:sz w:val="18"/>
              </w:rPr>
              <w:t>Acción</w:t>
            </w:r>
          </w:p>
        </w:tc>
        <w:tc>
          <w:tcPr>
            <w:tcW w:type="dxa" w:w="3660"/>
            <w:shd w:fill="F2F4F7"/>
            <w:tcMar>
              <w:top w:w="80" w:type="dxa"/>
              <w:start w:w="120" w:type="dxa"/>
              <w:bottom w:w="80" w:type="dxa"/>
              <w:end w:w="120" w:type="dxa"/>
            </w:tcMar>
            <w:vAlign w:val="center"/>
          </w:tcPr>
          <w:p>
            <w:pPr>
              <w:jc w:val="center"/>
            </w:pPr>
            <w:r>
              <w:rPr>
                <w:rFonts w:ascii="Calibri" w:hAnsi="Calibri"/>
                <w:b/>
                <w:color w:val="0B2545"/>
                <w:sz w:val="18"/>
              </w:rPr>
              <w:t>Resultado</w:t>
            </w:r>
          </w:p>
        </w:tc>
      </w:tr>
      <w:tr>
        <w:tc>
          <w:tcPr>
            <w:tcW w:type="dxa" w:w="600"/>
            <w:tcMar>
              <w:top w:w="80" w:type="dxa"/>
              <w:start w:w="120" w:type="dxa"/>
              <w:bottom w:w="80" w:type="dxa"/>
              <w:end w:w="120" w:type="dxa"/>
            </w:tcMar>
            <w:vAlign w:val="center"/>
          </w:tcPr>
          <w:p>
            <w:pPr>
              <w:jc w:val="left"/>
            </w:pPr>
            <w:r>
              <w:rPr>
                <w:rFonts w:ascii="Calibri" w:hAnsi="Calibri"/>
                <w:b w:val="0"/>
                <w:color w:val="1F2937"/>
                <w:sz w:val="18"/>
              </w:rPr>
              <w:t>1</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No commitear aún HALLAZGO_PIPELINE_3B7.md</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Evitar canonizar contradicciones</w:t>
            </w:r>
          </w:p>
        </w:tc>
      </w:tr>
      <w:t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2</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Emitir versión corregida del hallazgo y ADR de composición</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Contrato técnico revisable</w:t>
            </w:r>
          </w:p>
        </w:tc>
      </w:tr>
      <w:tr>
        <w:tc>
          <w:tcPr>
            <w:tcW w:type="dxa" w:w="600"/>
            <w:tcMar>
              <w:top w:w="80" w:type="dxa"/>
              <w:start w:w="120" w:type="dxa"/>
              <w:bottom w:w="80" w:type="dxa"/>
              <w:end w:w="120" w:type="dxa"/>
            </w:tcMar>
            <w:vAlign w:val="center"/>
          </w:tcPr>
          <w:p>
            <w:pPr>
              <w:jc w:val="left"/>
            </w:pPr>
            <w:r>
              <w:rPr>
                <w:rFonts w:ascii="Calibri" w:hAnsi="Calibri"/>
                <w:b w:val="0"/>
                <w:color w:val="1F2937"/>
                <w:sz w:val="18"/>
              </w:rPr>
              <w:t>3</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Implementar y probar copy-forward por capa</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Dataset N+1 completo</w:t>
            </w:r>
          </w:p>
        </w:tc>
      </w:tr>
      <w:t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4</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Ejecutar 3.B.7 real</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Caranavi con 6.573 predios de staging</w:t>
            </w:r>
          </w:p>
        </w:tc>
      </w:tr>
      <w:tr>
        <w:tc>
          <w:tcPr>
            <w:tcW w:type="dxa" w:w="600"/>
            <w:tcMar>
              <w:top w:w="80" w:type="dxa"/>
              <w:start w:w="120" w:type="dxa"/>
              <w:bottom w:w="80" w:type="dxa"/>
              <w:end w:w="120" w:type="dxa"/>
            </w:tcMar>
            <w:vAlign w:val="center"/>
          </w:tcPr>
          <w:p>
            <w:pPr>
              <w:jc w:val="left"/>
            </w:pPr>
            <w:r>
              <w:rPr>
                <w:rFonts w:ascii="Calibri" w:hAnsi="Calibri"/>
                <w:b w:val="0"/>
                <w:color w:val="1F2937"/>
                <w:sz w:val="18"/>
              </w:rPr>
              <w:t>5</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Actualizar PLAN_MAESTRO y AGENTS.md</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Fuentes de verdad alineadas</w:t>
            </w:r>
          </w:p>
        </w:tc>
      </w:tr>
      <w:t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6</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Cerrar ADR 0045 y comenzar valuación</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Siguiente capacidad institucional</w:t>
            </w:r>
          </w:p>
        </w:tc>
      </w:tr>
      <w:tr>
        <w:tc>
          <w:tcPr>
            <w:tcW w:type="dxa" w:w="600"/>
            <w:tcMar>
              <w:top w:w="80" w:type="dxa"/>
              <w:start w:w="120" w:type="dxa"/>
              <w:bottom w:w="80" w:type="dxa"/>
              <w:end w:w="120" w:type="dxa"/>
            </w:tcMar>
            <w:vAlign w:val="center"/>
          </w:tcPr>
          <w:p>
            <w:pPr>
              <w:jc w:val="left"/>
            </w:pPr>
            <w:r>
              <w:rPr>
                <w:rFonts w:ascii="Calibri" w:hAnsi="Calibri"/>
                <w:b w:val="0"/>
                <w:color w:val="1F2937"/>
                <w:sz w:val="18"/>
              </w:rPr>
              <w:t>7</w:t>
            </w:r>
          </w:p>
        </w:tc>
        <w:tc>
          <w:tcPr>
            <w:tcW w:type="dxa" w:w="5100"/>
            <w:tcMar>
              <w:top w:w="80" w:type="dxa"/>
              <w:start w:w="120" w:type="dxa"/>
              <w:bottom w:w="80" w:type="dxa"/>
              <w:end w:w="120" w:type="dxa"/>
            </w:tcMar>
            <w:vAlign w:val="center"/>
          </w:tcPr>
          <w:p>
            <w:pPr>
              <w:jc w:val="left"/>
            </w:pPr>
            <w:r>
              <w:rPr>
                <w:rFonts w:ascii="Calibri" w:hAnsi="Calibri"/>
                <w:b w:val="0"/>
                <w:color w:val="1F2937"/>
                <w:sz w:val="18"/>
              </w:rPr>
              <w:t>Activar integración en CI y gate E2E por release</w:t>
            </w:r>
          </w:p>
        </w:tc>
        <w:tc>
          <w:tcPr>
            <w:tcW w:type="dxa" w:w="3660"/>
            <w:tcMar>
              <w:top w:w="80" w:type="dxa"/>
              <w:start w:w="120" w:type="dxa"/>
              <w:bottom w:w="80" w:type="dxa"/>
              <w:end w:w="120" w:type="dxa"/>
            </w:tcMar>
            <w:vAlign w:val="center"/>
          </w:tcPr>
          <w:p>
            <w:pPr>
              <w:jc w:val="left"/>
            </w:pPr>
            <w:r>
              <w:rPr>
                <w:rFonts w:ascii="Calibri" w:hAnsi="Calibri"/>
                <w:b w:val="0"/>
                <w:color w:val="1F2937"/>
                <w:sz w:val="18"/>
              </w:rPr>
              <w:t>Calidad reproducible</w:t>
            </w:r>
          </w:p>
        </w:tc>
      </w:tr>
      <w:tr>
        <w:tc>
          <w:tcPr>
            <w:tcW w:type="dxa" w:w="600"/>
            <w:shd w:fill="FAFBFC"/>
            <w:tcMar>
              <w:top w:w="80" w:type="dxa"/>
              <w:start w:w="120" w:type="dxa"/>
              <w:bottom w:w="80" w:type="dxa"/>
              <w:end w:w="120" w:type="dxa"/>
            </w:tcMar>
            <w:vAlign w:val="center"/>
          </w:tcPr>
          <w:p>
            <w:pPr>
              <w:jc w:val="left"/>
            </w:pPr>
            <w:r>
              <w:rPr>
                <w:rFonts w:ascii="Calibri" w:hAnsi="Calibri"/>
                <w:b w:val="0"/>
                <w:color w:val="1F2937"/>
                <w:sz w:val="18"/>
              </w:rPr>
              <w:t>8</w:t>
            </w:r>
          </w:p>
        </w:tc>
        <w:tc>
          <w:tcPr>
            <w:tcW w:type="dxa" w:w="5100"/>
            <w:shd w:fill="FAFBFC"/>
            <w:tcMar>
              <w:top w:w="80" w:type="dxa"/>
              <w:start w:w="120" w:type="dxa"/>
              <w:bottom w:w="80" w:type="dxa"/>
              <w:end w:w="120" w:type="dxa"/>
            </w:tcMar>
            <w:vAlign w:val="center"/>
          </w:tcPr>
          <w:p>
            <w:pPr>
              <w:jc w:val="left"/>
            </w:pPr>
            <w:r>
              <w:rPr>
                <w:rFonts w:ascii="Calibri" w:hAnsi="Calibri"/>
                <w:b w:val="0"/>
                <w:color w:val="1F2937"/>
                <w:sz w:val="18"/>
              </w:rPr>
              <w:t>Diseñar runbook de producción y restore</w:t>
            </w:r>
          </w:p>
        </w:tc>
        <w:tc>
          <w:tcPr>
            <w:tcW w:type="dxa" w:w="3660"/>
            <w:shd w:fill="FAFBFC"/>
            <w:tcMar>
              <w:top w:w="80" w:type="dxa"/>
              <w:start w:w="120" w:type="dxa"/>
              <w:bottom w:w="80" w:type="dxa"/>
              <w:end w:w="120" w:type="dxa"/>
            </w:tcMar>
            <w:vAlign w:val="center"/>
          </w:tcPr>
          <w:p>
            <w:pPr>
              <w:jc w:val="left"/>
            </w:pPr>
            <w:r>
              <w:rPr>
                <w:rFonts w:ascii="Calibri" w:hAnsi="Calibri"/>
                <w:b w:val="0"/>
                <w:color w:val="1F2937"/>
                <w:sz w:val="18"/>
              </w:rPr>
              <w:t>Preparación para piloto</w:t>
            </w:r>
          </w:p>
        </w:tc>
      </w:tr>
    </w:tbl>
    <w:p>
      <w:pPr>
        <w:spacing w:before="80" w:after="80"/>
      </w:pPr>
      <w:r>
        <w:rPr>
          <w:rFonts w:ascii="Calibri" w:hAnsi="Calibri"/>
          <w:i/>
          <w:color w:val="5F6B7A"/>
          <w:sz w:val="17"/>
        </w:rPr>
        <w:t>Fuente: conclusiones del informe.</w:t>
      </w:r>
    </w:p>
    <w:p>
      <w:pPr>
        <w:pStyle w:val="Heading1"/>
      </w:pPr>
      <w:r>
        <w:t>Apéndice A. Línea de base técnica</w:t>
      </w:r>
    </w:p>
    <w:p>
      <w:pPr>
        <w:spacing w:before="80" w:after="80"/>
      </w:pPr>
      <w:r>
        <w:rPr>
          <w:rFonts w:ascii="Calibri" w:hAnsi="Calibri"/>
          <w:b/>
          <w:color w:val="0B2545"/>
          <w:sz w:val="19"/>
        </w:rPr>
        <w:t>Tabla A1. Inventario técnico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pPr>
              <w:jc w:val="center"/>
            </w:pPr>
            <w:r>
              <w:rPr>
                <w:rFonts w:ascii="Calibri" w:hAnsi="Calibri"/>
                <w:b/>
                <w:color w:val="0B2545"/>
                <w:sz w:val="18"/>
              </w:rPr>
              <w:t>Componente</w:t>
            </w:r>
          </w:p>
        </w:tc>
        <w:tc>
          <w:tcPr>
            <w:tcW w:type="dxa" w:w="6660"/>
            <w:shd w:fill="F2F4F7"/>
            <w:tcMar>
              <w:top w:w="80" w:type="dxa"/>
              <w:start w:w="120" w:type="dxa"/>
              <w:bottom w:w="80" w:type="dxa"/>
              <w:end w:w="120" w:type="dxa"/>
            </w:tcMar>
            <w:vAlign w:val="center"/>
          </w:tcPr>
          <w:p>
            <w:pPr>
              <w:jc w:val="center"/>
            </w:pPr>
            <w:r>
              <w:rPr>
                <w:rFonts w:ascii="Calibri" w:hAnsi="Calibri"/>
                <w:b/>
                <w:color w:val="0B2545"/>
                <w:sz w:val="18"/>
              </w:rPr>
              <w:t>Estado actual</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Backend</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.NET 10; SG.Api, SG.Application, SG.Domain, SG.Infrastructure, SG.Contracts</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Frontend</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Blazor WebAssembly .NET 10; MapLibre GL JS 5.24.0</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Persistencia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PostgreSQL 16 + PostGIS; EF Core; 15 migraciones M001–M015</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Objetos</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MinIO</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Proxy</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Caddy</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Autenticación</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Identity + BCrypt + JWT + refresh</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GIS</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EPSG:32719; MVT on-the-fly</w:t>
            </w:r>
          </w:p>
        </w:tc>
      </w:tr>
      <w:tr>
        <w:tc>
          <w:tcPr>
            <w:tcW w:type="dxa" w:w="2700"/>
            <w:shd w:fill="FAFBFC"/>
            <w:tcMar>
              <w:top w:w="80" w:type="dxa"/>
              <w:start w:w="120" w:type="dxa"/>
              <w:bottom w:w="80" w:type="dxa"/>
              <w:end w:w="120" w:type="dxa"/>
            </w:tcMar>
            <w:vAlign w:val="center"/>
          </w:tcPr>
          <w:p>
            <w:pPr>
              <w:jc w:val="left"/>
            </w:pPr>
            <w:r>
              <w:rPr>
                <w:rFonts w:ascii="Calibri" w:hAnsi="Calibri"/>
                <w:b w:val="0"/>
                <w:color w:val="1F2937"/>
                <w:sz w:val="18"/>
              </w:rPr>
              <w:t>Pruebas</w:t>
            </w:r>
          </w:p>
        </w:tc>
        <w:tc>
          <w:tcPr>
            <w:tcW w:type="dxa" w:w="6660"/>
            <w:shd w:fill="FAFBFC"/>
            <w:tcMar>
              <w:top w:w="80" w:type="dxa"/>
              <w:start w:w="120" w:type="dxa"/>
              <w:bottom w:w="80" w:type="dxa"/>
              <w:end w:w="120" w:type="dxa"/>
            </w:tcMar>
            <w:vAlign w:val="center"/>
          </w:tcPr>
          <w:p>
            <w:pPr>
              <w:jc w:val="left"/>
            </w:pPr>
            <w:r>
              <w:rPr>
                <w:rFonts w:ascii="Calibri" w:hAnsi="Calibri"/>
                <w:b w:val="0"/>
                <w:color w:val="1F2937"/>
                <w:sz w:val="18"/>
              </w:rPr>
              <w:t>xUnit; Testcontainers; 325 tests de solución; E2E Playwright separado</w:t>
            </w:r>
          </w:p>
        </w:tc>
      </w:tr>
      <w:tr>
        <w:tc>
          <w:tcPr>
            <w:tcW w:type="dxa" w:w="2700"/>
            <w:tcMar>
              <w:top w:w="80" w:type="dxa"/>
              <w:start w:w="120" w:type="dxa"/>
              <w:bottom w:w="80" w:type="dxa"/>
              <w:end w:w="120" w:type="dxa"/>
            </w:tcMar>
            <w:vAlign w:val="center"/>
          </w:tcPr>
          <w:p>
            <w:pPr>
              <w:jc w:val="left"/>
            </w:pPr>
            <w:r>
              <w:rPr>
                <w:rFonts w:ascii="Calibri" w:hAnsi="Calibri"/>
                <w:b w:val="0"/>
                <w:color w:val="1F2937"/>
                <w:sz w:val="18"/>
              </w:rPr>
              <w:t>Gobernanza</w:t>
            </w:r>
          </w:p>
        </w:tc>
        <w:tc>
          <w:tcPr>
            <w:tcW w:type="dxa" w:w="6660"/>
            <w:tcMar>
              <w:top w:w="80" w:type="dxa"/>
              <w:start w:w="120" w:type="dxa"/>
              <w:bottom w:w="80" w:type="dxa"/>
              <w:end w:w="120" w:type="dxa"/>
            </w:tcMar>
            <w:vAlign w:val="center"/>
          </w:tcPr>
          <w:p>
            <w:pPr>
              <w:jc w:val="left"/>
            </w:pPr>
            <w:r>
              <w:rPr>
                <w:rFonts w:ascii="Calibri" w:hAnsi="Calibri"/>
                <w:b w:val="0"/>
                <w:color w:val="1F2937"/>
                <w:sz w:val="18"/>
              </w:rPr>
              <w:t>51 ADRs; develop/main; gitleaks; scripts de commit/SQL</w:t>
            </w:r>
          </w:p>
        </w:tc>
      </w:tr>
    </w:tbl>
    <w:p>
      <w:pPr>
        <w:spacing w:before="80" w:after="80"/>
      </w:pPr>
      <w:r>
        <w:rPr>
          <w:rFonts w:ascii="Calibri" w:hAnsi="Calibri"/>
          <w:i/>
          <w:color w:val="5F6B7A"/>
          <w:sz w:val="17"/>
        </w:rPr>
        <w:t>Fuente: archivos csproj, solución, migraciones, ADR y código.</w:t>
      </w:r>
    </w:p>
    <w:p>
      <w:pPr>
        <w:pStyle w:val="Heading1"/>
      </w:pPr>
      <w:r>
        <w:t>Apéndice B. Fuentes documentales principales</w:t>
      </w:r>
    </w:p>
    <w:p>
      <w:pPr>
        <w:pStyle w:val="ListBullet"/>
      </w:pPr>
      <w:r>
        <w:rPr>
          <w:rFonts w:ascii="Calibri" w:hAnsi="Calibri"/>
          <w:color w:val="1F2937"/>
          <w:sz w:val="22"/>
        </w:rPr>
        <w:t>AGENTS.md — contrato operativo y contexto maestro.</w:t>
      </w:r>
    </w:p>
    <w:p>
      <w:pPr>
        <w:pStyle w:val="ListBullet"/>
      </w:pPr>
      <w:r>
        <w:rPr>
          <w:rFonts w:ascii="Calibri" w:hAnsi="Calibri"/>
          <w:color w:val="1F2937"/>
          <w:sz w:val="22"/>
        </w:rPr>
        <w:t>docs/PLAN_MAESTRO.md — roadmap v1.1; requiere actualización.</w:t>
      </w:r>
    </w:p>
    <w:p>
      <w:pPr>
        <w:pStyle w:val="ListBullet"/>
      </w:pPr>
      <w:r>
        <w:rPr>
          <w:rFonts w:ascii="Calibri" w:hAnsi="Calibri"/>
          <w:color w:val="1F2937"/>
          <w:sz w:val="22"/>
        </w:rPr>
        <w:t>docs/decisiones/0045-modelo-valuacion-requisitos-datos.md — Propuesta reconstruida.</w:t>
      </w:r>
    </w:p>
    <w:p>
      <w:pPr>
        <w:pStyle w:val="ListBullet"/>
      </w:pPr>
      <w:r>
        <w:rPr>
          <w:rFonts w:ascii="Calibri" w:hAnsi="Calibri"/>
          <w:color w:val="1F2937"/>
          <w:sz w:val="22"/>
        </w:rPr>
        <w:t>docs/decisiones/0047-modelo-despliegue-nube-primero.md.</w:t>
      </w:r>
    </w:p>
    <w:p>
      <w:pPr>
        <w:pStyle w:val="ListBullet"/>
      </w:pPr>
      <w:r>
        <w:rPr>
          <w:rFonts w:ascii="Calibri" w:hAnsi="Calibri"/>
          <w:color w:val="1F2937"/>
          <w:sz w:val="22"/>
        </w:rPr>
        <w:t>docs/decisiones/0049-importacion-reemplazo-completo-versionado-siete-capas-shp-datasetversion.md.</w:t>
      </w:r>
    </w:p>
    <w:p>
      <w:pPr>
        <w:pStyle w:val="ListBullet"/>
      </w:pPr>
      <w:r>
        <w:rPr>
          <w:rFonts w:ascii="Calibri" w:hAnsi="Calibri"/>
          <w:color w:val="1F2937"/>
          <w:sz w:val="22"/>
        </w:rPr>
        <w:t>docs/decisiones/0050-carga-versionada-asincrona-recuperable.md.</w:t>
      </w:r>
    </w:p>
    <w:p>
      <w:pPr>
        <w:pStyle w:val="ListBullet"/>
      </w:pPr>
      <w:r>
        <w:rPr>
          <w:rFonts w:ascii="Calibri" w:hAnsi="Calibri"/>
          <w:color w:val="1F2937"/>
          <w:sz w:val="22"/>
        </w:rPr>
        <w:t>docs/decisiones/0051-preview-activacion-reconciliacion-dataset.md.</w:t>
      </w:r>
    </w:p>
    <w:p>
      <w:pPr>
        <w:pStyle w:val="ListBullet"/>
      </w:pPr>
      <w:r>
        <w:rPr>
          <w:rFonts w:ascii="Calibri" w:hAnsi="Calibri"/>
          <w:color w:val="1F2937"/>
          <w:sz w:val="22"/>
        </w:rPr>
        <w:t>docs/decisiones/0053-recuperacion-geometrias-invalidas-crudas.md.</w:t>
      </w:r>
    </w:p>
    <w:p>
      <w:pPr>
        <w:pStyle w:val="ListBullet"/>
      </w:pPr>
      <w:r>
        <w:rPr>
          <w:rFonts w:ascii="Calibri" w:hAnsi="Calibri"/>
          <w:color w:val="1F2937"/>
          <w:sz w:val="22"/>
        </w:rPr>
        <w:t>docs/decisiones/0054-tiles-mvt-on-the-fly-versionados.md.</w:t>
      </w:r>
    </w:p>
    <w:p>
      <w:pPr>
        <w:pStyle w:val="ListBullet"/>
      </w:pPr>
      <w:r>
        <w:rPr>
          <w:rFonts w:ascii="Calibri" w:hAnsi="Calibri"/>
          <w:color w:val="1F2937"/>
          <w:sz w:val="22"/>
        </w:rPr>
        <w:t>docs/decisiones/0055-visor-blazor-maplibre-versionado.md.</w:t>
      </w:r>
    </w:p>
    <w:p>
      <w:pPr>
        <w:pStyle w:val="ListBullet"/>
      </w:pPr>
      <w:r>
        <w:rPr>
          <w:rFonts w:ascii="Calibri" w:hAnsi="Calibri"/>
          <w:color w:val="1F2937"/>
          <w:sz w:val="22"/>
        </w:rPr>
        <w:t>docs/decisiones/0056-busqueda-y-ficha-predial-versionada.md.</w:t>
      </w:r>
    </w:p>
    <w:p>
      <w:pPr>
        <w:pStyle w:val="ListBullet"/>
      </w:pPr>
      <w:r>
        <w:rPr>
          <w:rFonts w:ascii="Calibri" w:hAnsi="Calibri"/>
          <w:color w:val="1F2937"/>
          <w:sz w:val="22"/>
        </w:rPr>
        <w:t>docs/decisiones/0057-croquis-imprimible-cliente-svg.md.</w:t>
      </w:r>
    </w:p>
    <w:p>
      <w:pPr>
        <w:pStyle w:val="ListBullet"/>
      </w:pPr>
      <w:r>
        <w:rPr>
          <w:rFonts w:ascii="Calibri" w:hAnsi="Calibri"/>
          <w:color w:val="1F2937"/>
          <w:sz w:val="22"/>
        </w:rPr>
        <w:t>docs/decisiones/0058-politica-de-ramas-y-releases.md.</w:t>
      </w:r>
    </w:p>
    <w:p>
      <w:pPr>
        <w:pStyle w:val="ListBullet"/>
      </w:pPr>
      <w:r>
        <w:rPr>
          <w:rFonts w:ascii="Calibri" w:hAnsi="Calibri"/>
          <w:color w:val="1F2937"/>
          <w:sz w:val="22"/>
        </w:rPr>
        <w:t>docs/decisiones/0059-geocodigo-ine-municipio-canonico.md.</w:t>
      </w:r>
    </w:p>
    <w:p>
      <w:pPr>
        <w:pStyle w:val="ListBullet"/>
      </w:pPr>
      <w:r>
        <w:rPr>
          <w:rFonts w:ascii="Calibri" w:hAnsi="Calibri"/>
          <w:color w:val="1F2937"/>
          <w:sz w:val="22"/>
        </w:rPr>
        <w:t>docs/decisiones/0060-pipeline-data-driven-por-esquema-municipal.md.</w:t>
      </w:r>
    </w:p>
    <w:p>
      <w:pPr>
        <w:pStyle w:val="ListBullet"/>
      </w:pPr>
      <w:r>
        <w:rPr>
          <w:rFonts w:ascii="Calibri" w:hAnsi="Calibri"/>
          <w:color w:val="1F2937"/>
          <w:sz w:val="22"/>
        </w:rPr>
        <w:t>docs/decisiones/0061-m-lector-2-anillos-no-cerrados-y-equivalencia-proyeccion-esri.md.</w:t>
      </w:r>
    </w:p>
    <w:p>
      <w:pPr>
        <w:pStyle w:val="ListBullet"/>
      </w:pPr>
      <w:r>
        <w:rPr>
          <w:rFonts w:ascii="Calibri" w:hAnsi="Calibri"/>
          <w:color w:val="1F2937"/>
          <w:sz w:val="22"/>
        </w:rPr>
        <w:t>docs/decisiones/0062-visor-multimunicipio-data-driven-y-hot-swap.md.</w:t>
      </w:r>
    </w:p>
    <w:p>
      <w:pPr>
        <w:pStyle w:val="ListBullet"/>
      </w:pPr>
      <w:r>
        <w:rPr>
          <w:rFonts w:ascii="Calibri" w:hAnsi="Calibri"/>
          <w:color w:val="1F2937"/>
          <w:sz w:val="22"/>
        </w:rPr>
        <w:t>docs/planes/DIMENSIONAMIENTO_FASE_3B_CATASTRO_PREDIAL_DGN.md.</w:t>
      </w:r>
    </w:p>
    <w:p>
      <w:pPr>
        <w:pStyle w:val="ListBullet"/>
      </w:pPr>
      <w:r>
        <w:rPr>
          <w:rFonts w:ascii="Calibri" w:hAnsi="Calibri"/>
          <w:color w:val="1F2937"/>
          <w:sz w:val="22"/>
        </w:rPr>
        <w:t>docs/planes/fase3b/EXTRACCION_CANONICA_3B1.md.</w:t>
      </w:r>
    </w:p>
    <w:p>
      <w:pPr>
        <w:pStyle w:val="ListBullet"/>
      </w:pPr>
      <w:r>
        <w:rPr>
          <w:rFonts w:ascii="Calibri" w:hAnsi="Calibri"/>
          <w:color w:val="1F2937"/>
          <w:sz w:val="22"/>
        </w:rPr>
        <w:t>docs/planes/fase3b/SANEO_PADRON_3B2.md.</w:t>
      </w:r>
    </w:p>
    <w:p>
      <w:pPr>
        <w:pStyle w:val="ListBullet"/>
      </w:pPr>
      <w:r>
        <w:rPr>
          <w:rFonts w:ascii="Calibri" w:hAnsi="Calibri"/>
          <w:color w:val="1F2937"/>
          <w:sz w:val="22"/>
        </w:rPr>
        <w:t>docs/planes/fase3b/ASOCIACION_NUMERACION_3B3.md.</w:t>
      </w:r>
    </w:p>
    <w:p>
      <w:pPr>
        <w:pStyle w:val="ListBullet"/>
      </w:pPr>
      <w:r>
        <w:rPr>
          <w:rFonts w:ascii="Calibri" w:hAnsi="Calibri"/>
          <w:color w:val="1F2937"/>
          <w:sz w:val="22"/>
        </w:rPr>
        <w:t>docs/planes/fase3b/TRIPLETA_PARCIAL_3B4.md.</w:t>
      </w:r>
    </w:p>
    <w:p>
      <w:pPr>
        <w:pStyle w:val="ListBullet"/>
      </w:pPr>
      <w:r>
        <w:rPr>
          <w:rFonts w:ascii="Calibri" w:hAnsi="Calibri"/>
          <w:color w:val="1F2937"/>
          <w:sz w:val="22"/>
        </w:rPr>
        <w:t>docs/planes/fase3b/GENERACION_SHAPEFILE_3B6.md.</w:t>
      </w:r>
    </w:p>
    <w:p>
      <w:pPr>
        <w:pStyle w:val="ListBullet"/>
      </w:pPr>
      <w:r>
        <w:rPr>
          <w:rFonts w:ascii="Calibri" w:hAnsi="Calibri"/>
          <w:color w:val="1F2937"/>
          <w:sz w:val="22"/>
        </w:rPr>
        <w:t>docs/informes/INFORME_CALIDAD_DATOS_UYUNI_V1.md.</w:t>
      </w:r>
    </w:p>
    <w:p>
      <w:pPr>
        <w:pStyle w:val="ListBullet"/>
      </w:pPr>
      <w:r>
        <w:rPr>
          <w:rFonts w:ascii="Calibri" w:hAnsi="Calibri"/>
          <w:color w:val="1F2937"/>
          <w:sz w:val="22"/>
        </w:rPr>
        <w:t>docs/informes/INFORME_CALIDAD_DATOS_CARANAVI_V1_HALLAZGOS.md.</w:t>
      </w:r>
    </w:p>
    <w:p>
      <w:pPr>
        <w:pStyle w:val="Heading1"/>
      </w:pPr>
      <w:r>
        <w:t>Apéndice C. Glosario</w:t>
      </w:r>
    </w:p>
    <w:p>
      <w:pPr>
        <w:spacing w:before="80" w:after="80"/>
      </w:pPr>
      <w:r>
        <w:rPr>
          <w:rFonts w:ascii="Calibri" w:hAnsi="Calibri"/>
          <w:b/>
          <w:color w:val="0B2545"/>
          <w:sz w:val="19"/>
        </w:rPr>
        <w:t>Tabla C1. Glosario de conceptos clave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pPr>
              <w:jc w:val="center"/>
            </w:pPr>
            <w:r>
              <w:rPr>
                <w:rFonts w:ascii="Calibri" w:hAnsi="Calibri"/>
                <w:b/>
                <w:color w:val="0B2545"/>
                <w:sz w:val="18"/>
              </w:rPr>
              <w:t>Término</w:t>
            </w:r>
          </w:p>
        </w:tc>
        <w:tc>
          <w:tcPr>
            <w:tcW w:type="dxa" w:w="7060"/>
            <w:shd w:fill="F2F4F7"/>
            <w:tcMar>
              <w:top w:w="80" w:type="dxa"/>
              <w:start w:w="120" w:type="dxa"/>
              <w:bottom w:w="80" w:type="dxa"/>
              <w:end w:w="120" w:type="dxa"/>
            </w:tcMar>
            <w:vAlign w:val="center"/>
          </w:tcPr>
          <w:p>
            <w:pPr>
              <w:jc w:val="center"/>
            </w:pPr>
            <w:r>
              <w:rPr>
                <w:rFonts w:ascii="Calibri" w:hAnsi="Calibri"/>
                <w:b/>
                <w:color w:val="0B2545"/>
                <w:sz w:val="18"/>
              </w:rPr>
              <w:t>Definición</w:t>
            </w:r>
          </w:p>
        </w:tc>
      </w:tr>
      <w:tr>
        <w:tc>
          <w:tcPr>
            <w:tcW w:type="dxa" w:w="2300"/>
            <w:tcMar>
              <w:top w:w="80" w:type="dxa"/>
              <w:start w:w="120" w:type="dxa"/>
              <w:bottom w:w="80" w:type="dxa"/>
              <w:end w:w="120" w:type="dxa"/>
            </w:tcMar>
            <w:vAlign w:val="center"/>
          </w:tcPr>
          <w:p>
            <w:pPr>
              <w:jc w:val="left"/>
            </w:pPr>
            <w:r>
              <w:rPr>
                <w:rFonts w:ascii="Calibri" w:hAnsi="Calibri"/>
                <w:b w:val="0"/>
                <w:color w:val="1F2937"/>
                <w:sz w:val="18"/>
              </w:rPr>
              <w:t>DatasetVersion</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Snapshot cartográfico versionado de un municipio.</w:t>
            </w:r>
          </w:p>
        </w:tc>
      </w:tr>
      <w:t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Tripleta</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(cod_uv, cod_man, cod_pred); clave predial dentro del municipio.</w:t>
            </w:r>
          </w:p>
        </w:tc>
      </w:tr>
      <w:tr>
        <w:tc>
          <w:tcPr>
            <w:tcW w:type="dxa" w:w="2300"/>
            <w:tcMar>
              <w:top w:w="80" w:type="dxa"/>
              <w:start w:w="120" w:type="dxa"/>
              <w:bottom w:w="80" w:type="dxa"/>
              <w:end w:w="120" w:type="dxa"/>
            </w:tcMar>
            <w:vAlign w:val="center"/>
          </w:tcPr>
          <w:p>
            <w:pPr>
              <w:jc w:val="left"/>
            </w:pPr>
            <w:r>
              <w:rPr>
                <w:rFonts w:ascii="Calibri" w:hAnsi="Calibri"/>
                <w:b w:val="0"/>
                <w:color w:val="1F2937"/>
                <w:sz w:val="18"/>
              </w:rPr>
              <w:t>Geocódigo INE</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Código DDPPMM de seis dígitos; 051201 Uyuni, 022001 Caranavi.</w:t>
            </w:r>
          </w:p>
        </w:tc>
      </w:tr>
      <w:t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PreviewListo</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Estado de una versión cargada y evaluada antes de activación.</w:t>
            </w:r>
          </w:p>
        </w:tc>
      </w:tr>
      <w:tr>
        <w:tc>
          <w:tcPr>
            <w:tcW w:type="dxa" w:w="2300"/>
            <w:tcMar>
              <w:top w:w="80" w:type="dxa"/>
              <w:start w:w="120" w:type="dxa"/>
              <w:bottom w:w="80" w:type="dxa"/>
              <w:end w:w="120" w:type="dxa"/>
            </w:tcMar>
            <w:vAlign w:val="center"/>
          </w:tcPr>
          <w:p>
            <w:pPr>
              <w:jc w:val="left"/>
            </w:pPr>
            <w:r>
              <w:rPr>
                <w:rFonts w:ascii="Calibri" w:hAnsi="Calibri"/>
                <w:b w:val="0"/>
                <w:color w:val="1F2937"/>
                <w:sz w:val="18"/>
              </w:rPr>
              <w:t>O1</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Geometría no nula que PostGIS considera inválida.</w:t>
            </w:r>
          </w:p>
        </w:tc>
      </w:tr>
      <w:t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O4</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Geometría genuinamente nula.</w:t>
            </w:r>
          </w:p>
        </w:tc>
      </w:tr>
      <w:tr>
        <w:tc>
          <w:tcPr>
            <w:tcW w:type="dxa" w:w="2300"/>
            <w:tcMar>
              <w:top w:w="80" w:type="dxa"/>
              <w:start w:w="120" w:type="dxa"/>
              <w:bottom w:w="80" w:type="dxa"/>
              <w:end w:w="120" w:type="dxa"/>
            </w:tcMar>
            <w:vAlign w:val="center"/>
          </w:tcPr>
          <w:p>
            <w:pPr>
              <w:jc w:val="left"/>
            </w:pPr>
            <w:r>
              <w:rPr>
                <w:rFonts w:ascii="Calibri" w:hAnsi="Calibri"/>
                <w:b w:val="0"/>
                <w:color w:val="1F2937"/>
                <w:sz w:val="18"/>
              </w:rPr>
              <w:t>Copy-forward</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Composición de N+1 copiando capas no modificadas desde la versión base.</w:t>
            </w:r>
          </w:p>
        </w:tc>
      </w:tr>
      <w:t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MVT</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Mapbox Vector Tile generado desde PostGIS.</w:t>
            </w:r>
          </w:p>
        </w:tc>
      </w:tr>
      <w:tr>
        <w:tc>
          <w:tcPr>
            <w:tcW w:type="dxa" w:w="2300"/>
            <w:tcMar>
              <w:top w:w="80" w:type="dxa"/>
              <w:start w:w="120" w:type="dxa"/>
              <w:bottom w:w="80" w:type="dxa"/>
              <w:end w:w="120" w:type="dxa"/>
            </w:tcMar>
            <w:vAlign w:val="center"/>
          </w:tcPr>
          <w:p>
            <w:pPr>
              <w:jc w:val="left"/>
            </w:pPr>
            <w:r>
              <w:rPr>
                <w:rFonts w:ascii="Calibri" w:hAnsi="Calibri"/>
                <w:b w:val="0"/>
                <w:color w:val="1F2937"/>
                <w:sz w:val="18"/>
              </w:rPr>
              <w:t>DGN</w:t>
            </w:r>
          </w:p>
        </w:tc>
        <w:tc>
          <w:tcPr>
            <w:tcW w:type="dxa" w:w="7060"/>
            <w:tcMar>
              <w:top w:w="80" w:type="dxa"/>
              <w:start w:w="120" w:type="dxa"/>
              <w:bottom w:w="80" w:type="dxa"/>
              <w:end w:w="120" w:type="dxa"/>
            </w:tcMar>
            <w:vAlign w:val="center"/>
          </w:tcPr>
          <w:p>
            <w:pPr>
              <w:jc w:val="left"/>
            </w:pPr>
            <w:r>
              <w:rPr>
                <w:rFonts w:ascii="Calibri" w:hAnsi="Calibri"/>
                <w:b w:val="0"/>
                <w:color w:val="1F2937"/>
                <w:sz w:val="18"/>
              </w:rPr>
              <w:t>Formato CAD de MicroStation usado como fuente de Caranavi.</w:t>
            </w:r>
          </w:p>
        </w:tc>
      </w:tr>
      <w:tr>
        <w:tc>
          <w:tcPr>
            <w:tcW w:type="dxa" w:w="2300"/>
            <w:shd w:fill="FAFBFC"/>
            <w:tcMar>
              <w:top w:w="80" w:type="dxa"/>
              <w:start w:w="120" w:type="dxa"/>
              <w:bottom w:w="80" w:type="dxa"/>
              <w:end w:w="120" w:type="dxa"/>
            </w:tcMar>
            <w:vAlign w:val="center"/>
          </w:tcPr>
          <w:p>
            <w:pPr>
              <w:jc w:val="left"/>
            </w:pPr>
            <w:r>
              <w:rPr>
                <w:rFonts w:ascii="Calibri" w:hAnsi="Calibri"/>
                <w:b w:val="0"/>
                <w:color w:val="1F2937"/>
                <w:sz w:val="18"/>
              </w:rPr>
              <w:t>GAM</w:t>
            </w:r>
          </w:p>
        </w:tc>
        <w:tc>
          <w:tcPr>
            <w:tcW w:type="dxa" w:w="7060"/>
            <w:shd w:fill="FAFBFC"/>
            <w:tcMar>
              <w:top w:w="80" w:type="dxa"/>
              <w:start w:w="120" w:type="dxa"/>
              <w:bottom w:w="80" w:type="dxa"/>
              <w:end w:w="120" w:type="dxa"/>
            </w:tcMar>
            <w:vAlign w:val="center"/>
          </w:tcPr>
          <w:p>
            <w:pPr>
              <w:jc w:val="left"/>
            </w:pPr>
            <w:r>
              <w:rPr>
                <w:rFonts w:ascii="Calibri" w:hAnsi="Calibri"/>
                <w:b w:val="0"/>
                <w:color w:val="1F2937"/>
                <w:sz w:val="18"/>
              </w:rPr>
              <w:t>Gobierno Autónomo Municipal.</w:t>
            </w:r>
          </w:p>
        </w:tc>
      </w:tr>
    </w:tbl>
    <w:p>
      <w:pPr>
        <w:pStyle w:val="Heading1"/>
      </w:pPr>
      <w:r>
        <w:t>Cierre</w:t>
      </w:r>
    </w:p>
    <w:p>
      <w:pPr/>
      <w:r>
        <w:rPr>
          <w:rFonts w:ascii="Calibri" w:hAnsi="Calibri"/>
          <w:i w:val="0"/>
          <w:color w:val="1F2937"/>
          <w:sz w:val="22"/>
        </w:rPr>
        <w:t>SG_SAUL_CATASTRO tiene una base técnica inusualmente sólida para su etapa: arquitectura separada, pruebas reales, auditoría, versionado GIS, documentación y trabajo con datos municipales concretos. Su mayor fortaleza es la disciplina de evidencia. Su mayor riesgo es que la velocidad de avance deje documentos y contratos semánticos detrás del código.</w:t>
      </w:r>
    </w:p>
    <w:p>
      <w:pPr/>
      <w:r>
        <w:rPr>
          <w:rFonts w:ascii="Calibri" w:hAnsi="Calibri"/>
          <w:i w:val="0"/>
          <w:color w:val="1F2937"/>
          <w:sz w:val="22"/>
        </w:rPr>
        <w:t>La prioridad correcta es consolidar: corregir fuentes de verdad, cerrar 3.B.7 sin romper snapshots, formalizar identidad y valuación, y convertir la excelencia técnica en operación municipal comprobada. Si cada siguiente fase mantiene el mismo rigor —gates, linaje, pruebas, restore, privacidad y aprobación institucional— el proyecto puede convertirse en un referente serio y sostenible para Bolivia.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6"/>
      </w:rPr>
      <w:t xml:space="preserve">Corte: 24/07/2026  ·  HEAD d4b2d12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FD8E3"/>
      </w:pBdr>
    </w:pPr>
    <w:r>
      <w:rPr>
        <w:rFonts w:ascii="Calibri" w:hAnsi="Calibri"/>
        <w:b/>
        <w:color w:val="5F6B7A"/>
        <w:sz w:val="17"/>
      </w:rPr>
      <w:t>SG_SAUL_CATASTRO  |  Informe integral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integral de estado y consolidación de SG_SAUL_CATASTRO</dc:title>
  <dc:subject>Avance, situación actual y hoja de ruta completa</dc:subject>
  <dc:creator>SG_SAUL_CATASTRO</dc:creator>
  <cp:keywords>catastro, Bolivia, Uyuni, Caranavi, PostGIS, Blazor, importación</cp:keywords>
  <dc:description>generated by python-docx</dc:description>
  <cp:lastModifiedBy/>
  <cp:revision>1</cp:revision>
  <dcterms:created xsi:type="dcterms:W3CDTF">2013-12-23T23:15:00Z</dcterms:created>
  <dcterms:modified xsi:type="dcterms:W3CDTF">2013-12-23T23:15:00Z</dcterms:modified>
  <cp:category/>
</cp:coreProperties>
</file>