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0546875"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Fiscal Sponsor Agreement </w:t>
      </w:r>
    </w:p>
    <w:p w:rsidR="00000000" w:rsidDel="00000000" w:rsidP="00000000" w:rsidRDefault="00000000" w:rsidRPr="00000000" w14:paraId="00000002">
      <w:pPr>
        <w:widowControl w:val="0"/>
        <w:spacing w:before="125.906982421875" w:line="233.60694408416748" w:lineRule="auto"/>
        <w:ind w:left="0" w:right="182.386474609375" w:firstLine="0"/>
        <w:rPr>
          <w:rFonts w:ascii="Cambria" w:cs="Cambria" w:eastAsia="Cambria" w:hAnsi="Cambria"/>
        </w:rPr>
      </w:pPr>
      <w:r w:rsidDel="00000000" w:rsidR="00000000" w:rsidRPr="00000000">
        <w:rPr>
          <w:rFonts w:ascii="Cambria" w:cs="Cambria" w:eastAsia="Cambria" w:hAnsi="Cambria"/>
          <w:rtl w:val="0"/>
        </w:rPr>
        <w:t xml:space="preserve">This Fiscal Sponsorship Agreement ("Agreement") is entered into as of </w:t>
      </w:r>
      <w:r w:rsidDel="00000000" w:rsidR="00000000" w:rsidRPr="00000000">
        <w:rPr>
          <w:rFonts w:ascii="Cambria" w:cs="Cambria" w:eastAsia="Cambria" w:hAnsi="Cambria"/>
          <w:b w:val="1"/>
          <w:bCs w:val="1"/>
          <w:rtl w:val="0"/>
        </w:rPr>
        <w:t xml:space="preserve">[DATE] </w:t>
      </w:r>
      <w:r w:rsidDel="00000000" w:rsidR="00000000" w:rsidRPr="00000000">
        <w:rPr>
          <w:rFonts w:ascii="Cambria" w:cs="Cambria" w:eastAsia="Cambria" w:hAnsi="Cambria"/>
          <w:rtl w:val="0"/>
        </w:rPr>
        <w:t xml:space="preserve">by and between:</w:t>
      </w:r>
    </w:p>
    <w:p w:rsidR="00000000" w:rsidDel="00000000" w:rsidP="00000000" w:rsidRDefault="00000000" w:rsidRPr="00000000" w14:paraId="00000003">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POCACITO NETWORK, a nonprofit organization exempt from federal income tax under Section 501(c)(3) of the Internal Revenue Code, with principal offices at </w:t>
      </w:r>
      <w:r w:rsidDel="00000000" w:rsidR="00000000" w:rsidRPr="00000000">
        <w:rPr>
          <w:rFonts w:ascii="Cambria" w:cs="Cambria" w:eastAsia="Cambria" w:hAnsi="Cambria"/>
          <w:highlight w:val="white"/>
          <w:rtl w:val="0"/>
        </w:rPr>
        <w:t xml:space="preserve">1004 Fern Ct, Charlottesville, VA 22901, USA</w:t>
      </w:r>
      <w:r w:rsidDel="00000000" w:rsidR="00000000" w:rsidRPr="00000000">
        <w:rPr>
          <w:rFonts w:ascii="Cambria" w:cs="Cambria" w:eastAsia="Cambria" w:hAnsi="Cambria"/>
          <w:rtl w:val="0"/>
        </w:rPr>
        <w:t xml:space="preserve"> ("Fiscal Sponsor"),</w:t>
      </w:r>
    </w:p>
    <w:p w:rsidR="00000000" w:rsidDel="00000000" w:rsidP="00000000" w:rsidRDefault="00000000" w:rsidRPr="00000000" w14:paraId="00000004">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and</w:t>
      </w:r>
    </w:p>
    <w:p w:rsidR="00000000" w:rsidDel="00000000" w:rsidP="00000000" w:rsidRDefault="00000000" w:rsidRPr="00000000" w14:paraId="00000005">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HROMADA, an unincorporated project led by Thomas D. Protzman, with principal address at 501 New Mark Esplanade, Rockville MD 20850, USA ("Sponsored Organization" or "Project").</w:t>
      </w:r>
    </w:p>
    <w:p w:rsidR="00000000" w:rsidDel="00000000" w:rsidP="00000000" w:rsidRDefault="00000000" w:rsidRPr="00000000" w14:paraId="00000006">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WHEREAS, Hromada is a project that connects US donors with Ukrainian municipalities for renewable energy reconstruction projects;</w:t>
      </w:r>
    </w:p>
    <w:p w:rsidR="00000000" w:rsidDel="00000000" w:rsidP="00000000" w:rsidRDefault="00000000" w:rsidRPr="00000000" w14:paraId="00000007">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WHEREAS, Pocacito has determined that sponsorship of Hromada would be consistent with its charitable mission and tax-exempt purposes;</w:t>
      </w:r>
    </w:p>
    <w:p w:rsidR="00000000" w:rsidDel="00000000" w:rsidP="00000000" w:rsidRDefault="00000000" w:rsidRPr="00000000" w14:paraId="00000008">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WHEREAS, the parties wish to establish a fiscal sponsorship relationship whereby POCACITO Network assumes administrative, financial, and legal responsibility for Hromada for purposes of receiving tax-deductible contributions and grant funding;</w:t>
      </w:r>
    </w:p>
    <w:p w:rsidR="00000000" w:rsidDel="00000000" w:rsidP="00000000" w:rsidRDefault="00000000" w:rsidRPr="00000000" w14:paraId="00000009">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NOW, THEREFORE, in consideration of the mutual covenants and agreements set forth herein, the parties agree as follows: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982421875" w:line="233.60694408416748" w:lineRule="auto"/>
        <w:ind w:left="7.507171630859375" w:right="182.386474609375" w:firstLine="0.220794677734375"/>
        <w:rPr>
          <w:rFonts w:ascii="Cambria" w:cs="Cambria" w:eastAsia="Cambria" w:hAnsi="Cambria"/>
          <w:sz w:val="22.079999923706055"/>
          <w:szCs w:val="22.079999923706055"/>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0"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 The Fiscal Sponsor hereby agrees to sponsor the Project and to assume administrative, financial, and legal responsibility for purposes of the requirements of funding organizations. The Sponsored Organization agrees to implement and operate the Project, in accordance with the terms of this agreement and with any requirements imposed by funding organizations.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86.993408203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 The Project shall be operated in a manner consistent with the Fiscal Sponsor's tax-exempt  status and as described in this agreement. No material changes in the purposes or activities  of the Project shall be made without prior written permission of the Fiscal Sponsor and in  accordance with any requirements imposed by funding organizations, nor shall the  Sponsored Organization carry on activities or use funds in any way that jeopardizes the  Fiscal Sponsor's tax-exempt status.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318.173828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 The Sponsored Organization shall not, and shall not permit the Project to, attempt to  influence legislation or participate or intervene in any political campaign on behalf (or in  opposition to) any candidate for public office or otherwise engage in the carrying on of  propaganda (within the meaning of section 501(c)(3) of the Internal Revenue Code of  1986).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760.653076171875" w:left="720" w:hanging="360"/>
        <w:rPr>
          <w:rFonts w:ascii="Cambria" w:cs="Cambria" w:eastAsia="Cambria" w:hAnsi="Cambria"/>
          <w:sz w:val="22.079999923706055"/>
          <w:szCs w:val="22.079999923706055"/>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mbria" w:cs="Cambria" w:eastAsia="Cambria" w:hAnsi="Cambria"/>
          <w:sz w:val="22.079999923706055"/>
          <w:szCs w:val="22.079999923706055"/>
          <w:rtl w:val="0"/>
        </w:rPr>
        <w:t>The Sponsored Organization shall provide the Fiscal Sponsor with monthly financial reports, due by the fifteenth (15th) day of each month for the preceding month. Reports shall include: all disbursements made, recipients and purposes, current fund balances, and a summary of Project activities. The Sponsored Organization shall additionally provide comprehensive quarterly narrative reports, due April 15, July 15, October 15, and January 15, covering program outcomes, partnership developments, and planned activities for the upcoming quarter.</w:t>
        <w:br/>
        <w:t>The Sponsored Organization shall provide all information and prepare all reports, including interim and final reports, required by funding organizations, with the Fiscal Sponsor’s assistance and final approval.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760.653076171875" w:left="72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The Fiscal Sponsor shall provide the Sponsored Organization with monthly account statements showing all receipts, disbursements, and current balances, and shall furnish copies of any tax filings or reports that include Project activities within fifteen (15) days of filing.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205.782470703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5</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On behalf of the Sponsored Organization, the Fiscal Sponsor shall establish and operate for  the use of the Project a designated account ("Account") segregated on the Fiscal Sponsor's  books. All amounts deposited into a Project's Account shall be used in its support, less  administrative charges, if any, and subject to the conditions set forth below.  </w:t>
      </w:r>
    </w:p>
    <w:p>
      <w:pPr>
        <w:spacing w:before="200" w:after="0" w:line="233" w:lineRule="auto"/>
        <w:ind w:left="720" w:hanging="360" w:right="0"/>
      </w:pPr>
      <w:r>
        <w:rPr>
          <w:rFonts w:ascii="Cambria" w:hAnsi="Cambria"/>
          <w:sz w:val="22.079999923706055"/>
          <w:szCs w:val="22.079999923706055"/>
        </w:rPr>
        <w:t>6. The Fiscal Sponsor shall disburse funds from the Account upon written request by the Project Director (Thomas D. Protzman) on properly completed disbursement request forms accompanied by required documentation (invoices, contracts, wire transfer instructions, or other supporting materials), subject to the Fiscal Sponsor's review and approval and its retained variance power under Section 15. All disbursement requests shall be submitted by the Project Director and reviewed and approved by a designated representative of the Fiscal Sponsor. Disbursements of $5,000 or less shall be processed within ten (10) business days of receipt of properly documented requests. Disbursements above $5,000 require written approval from a designated representative of the Fiscal Sponsor within five (5) business days of submission, after which processing shall occur within ten (10) business days. The Fiscal Sponsor may refuse any disbursement that, in its judgment, would be inconsistent with its tax-exempt purposes, applicable law, or OFAC regulations. Disbursements shall be restricted to the support and implementation of the Project only.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0" w:left="72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International wire transfers to Ukrainian municipalities or partner organizations shall include appropriate documentation of the charitable purpose and beneficiary identification. International wire transfers may require additional processing time beyond the standard ten (10) business day period due to compliance screening, correspondent banking procedures, or other factors outside the Fiscal Sponsor's control. The Fiscal Sponsor shall notify the Project Director of any anticipated delays. Wire transfer fees and currency conversion costs shall be charged to the Project Account.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335.5151367187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br/>
        <w:t>7. The Sponsored Organization designates Thomas D. Protzman to act as authorizing official (hereinafter referred to as the "Project Director"). The Project Director shall act as principal coordinator of the Project's daily business with the Fiscal Sponsor and shall have authority to sign disbursement requests.</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r>
      <w:r w:rsidDel="00000000" w:rsidR="00000000" w:rsidRPr="00000000">
        <w:rPr>
          <w:rFonts w:ascii="Cambria" w:cs="Cambria" w:eastAsia="Cambria" w:hAnsi="Cambria"/>
          <w:sz w:val="22.079999923706055"/>
          <w:szCs w:val="22.079999923706055"/>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54718017578" w:lineRule="auto"/>
        <w:ind w:left="372.5856018066406" w:right="335.51513671875" w:firstLine="0"/>
        <w:rPr>
          <w:rFonts w:ascii="Cambria" w:cs="Cambria" w:eastAsia="Cambria" w:hAnsi="Cambria"/>
          <w:sz w:val="22.079999923706055"/>
          <w:szCs w:val="22.07999992370605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335.51513671875" w:left="72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All disbursement requests submitted by the Project Director shall require approval by a designated representative of the Fiscal Sponsor before processing. The Project Director may not approve disbursements payable to himself or to entities in which he holds a financial interest.</w:t>
      </w:r>
    </w:p>
    <w:p>
      <w:pPr>
        <w:spacing w:before="200" w:after="0" w:line="233" w:lineRule="auto"/>
        <w:ind w:left="720" w:right="0"/>
      </w:pPr>
      <w:r>
        <w:rPr>
          <w:rFonts w:ascii="Cambria" w:hAnsi="Cambria"/>
          <w:sz w:val="22.079999923706055"/>
          <w:szCs w:val="22.079999923706055"/>
        </w:rPr>
        <w:t>In the event the Project Director is unable to fulfill their duties due to incapacitation, absence, or other cause, Sloan T. Austermann shall serve as the alternate Project Director with the same authority granted to the Project Director under this Agreement. The Project Director shall notify the Fiscal Sponsor in writing of any change to the alternate Project Director.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152.032470703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8</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The Fiscal Sponsor and Sponsored Organization shall maintain all financial records relating  to the Project according to generally accepted accounting principles, retain records as long  as required by law, and make records available to auditors as required by law.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127.9650878906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9. The Fiscal Sponsor and the Sponsored Organization shall reflect the activities of the Project, to the extent required, on their state and federal government tax returns and financial reports. All disbursements from an Account shall be treated as payments made to or on behalf of the Sponsored Organization to accomplish the purposes of the Project. The Sponsored Organization shall cooperate with the Fiscal Sponsor in fulfilling all tax reporting obligations, including providing necessary documentation. Tax filings related to the Project shall be made under the Fiscal Sponsor's Federal Employer Identification Number during the term of this Agreement.</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92.64038085937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w:t>
      </w:r>
      <w:r w:rsidDel="00000000" w:rsidR="00000000" w:rsidRPr="00000000">
        <w:rPr>
          <w:rFonts w:ascii="Cambria" w:cs="Cambria" w:eastAsia="Cambria" w:hAnsi="Cambria"/>
          <w:sz w:val="22.079999923706055"/>
          <w:szCs w:val="22.079999923706055"/>
          <w:rtl w:val="0"/>
        </w:rPr>
        <w:t xml:space="preserve">0</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In consideration of the Fiscal Sponsor's agreement to sponsor the Project, and  to cover the Fiscal Sponsor's expenses in connection with the Project as outlined above, the  Project shall pay the following fees, charges, and expenses: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0" w:left="72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The Fiscal Sponsor agrees to provide fiscal sponsorship services at zero cost to the Project. This zero-cost period is guaranteed through March 31, 2027, or until the Project establishes its own 501(c)(3) status, whichever comes first (the "Zero-Cost Period"). After the Zero-Cost Period expires, administrative fees may only be introduced with ninety (90) days written notice and mutual written agreement by both parties. Until such agreement is reached, the zero-cost rate remains in effect. No fees shall accrue during any wind-down or transition period following termination under Section 11.</w:t>
      </w:r>
      <w:r w:rsidDel="00000000" w:rsidR="00000000" w:rsidRPr="00000000">
        <w:rPr>
          <w:rtl w:val="0"/>
        </w:rPr>
      </w:r>
    </w:p>
    <w:p>
      <w:pPr>
        <w:spacing w:before="200" w:after="0" w:line="233" w:lineRule="auto"/>
        <w:ind w:left="720" w:right="0"/>
      </w:pPr>
      <w:r>
        <w:rPr>
          <w:rFonts w:ascii="Cambria" w:hAnsi="Cambria"/>
          <w:sz w:val="22.079999923706055"/>
          <w:szCs w:val="22.079999923706055"/>
        </w:rPr>
        <w:t>If the Zero-Cost Period has expired and the parties are unable to reach mutual written agreement on administrative fees within ninety (90) days of the Fiscal Sponsor's written notice proposing fees, the zero percent (0%) rate shall continue during an additional ninety (90) day wind-down period, during which either party may terminate this Agreement in accordance with Section 11. This provision ensures that no Project funds are held in limbo or rendered inaccessible due to the absence of a fee agreement.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753.71337890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w:t>
      </w:r>
      <w:r w:rsidDel="00000000" w:rsidR="00000000" w:rsidRPr="00000000">
        <w:rPr>
          <w:rFonts w:ascii="Cambria" w:cs="Cambria" w:eastAsia="Cambria" w:hAnsi="Cambria"/>
          <w:sz w:val="22.079999923706055"/>
          <w:szCs w:val="22.079999923706055"/>
          <w:rtl w:val="0"/>
        </w:rPr>
        <w:t xml:space="preserve">1</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w:cs="Cambria" w:eastAsia="Cambria" w:hAnsi="Cambria"/>
          <w:sz w:val="22.079999923706055"/>
          <w:szCs w:val="22.079999923706055"/>
          <w:rtl w:val="0"/>
        </w:rPr>
        <w:t xml:space="preserve"> This agreement shall be subject to annual review and shall terminate if any of the following events occur:</w:t>
      </w:r>
    </w:p>
    <w:p w:rsidR="00000000" w:rsidDel="00000000" w:rsidP="00000000" w:rsidRDefault="00000000" w:rsidRPr="00000000" w14:paraId="0000001B">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 The Fiscal Sponsor requests the Sponsored Organization to cease activities that it deems might jeopardize its tax-exempt status and the Project fails to comply within a period of ten (10) days;</w:t>
      </w:r>
    </w:p>
    <w:p w:rsidR="00000000" w:rsidDel="00000000" w:rsidP="00000000" w:rsidRDefault="00000000" w:rsidRPr="00000000" w14:paraId="0000001C">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 The Sponsored Organization fails to perform or observe any other covenant of this agreement, and this failure remains unremedied fifteen (15) days after notice in writing;</w:t>
      </w:r>
    </w:p>
    <w:p w:rsidR="00000000" w:rsidDel="00000000" w:rsidP="00000000" w:rsidRDefault="00000000" w:rsidRPr="00000000" w14:paraId="0000001D">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c. Upon expiration of thirty (30) days after either the Sponsored Organization or the Fiscal Sponsor has given written notice of its intent to terminate the agreement;</w:t>
      </w:r>
    </w:p>
    <w:p w:rsidR="00000000" w:rsidDel="00000000" w:rsidP="00000000" w:rsidRDefault="00000000" w:rsidRPr="00000000" w14:paraId="0000001E">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d. Automatically, within sixty (60) days of the Sponsored Organization receiving its own IRS 501(c)(3) determination letter, upon which the Fiscal Sponsor shall transfer all remaining Account funds, financial records, and Project assets to the newly established tax-exempt organization within thirty (30) days of such determination.</w:t>
      </w:r>
    </w:p>
    <w:p w:rsidR="00000000" w:rsidDel="00000000" w:rsidP="00000000" w:rsidRDefault="00000000" w:rsidRPr="00000000" w14:paraId="0000001F">
      <w:pPr>
        <w:widowControl w:val="0"/>
        <w:spacing w:before="200" w:line="233" w:lineRule="auto" w:after="0"/>
        <w:ind w:right="753.71337890625" w:left="108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Upon termination of this Agreement for any reason, both parties shall comply with any termination conditions imposed by funding organizations.</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r>
    </w:p>
    <w:p w:rsidR="00000000" w:rsidDel="00000000" w:rsidP="00000000" w:rsidRDefault="00000000" w:rsidRPr="00000000" w14:paraId="00000020">
      <w:pPr>
        <w:widowControl w:val="0"/>
        <w:spacing w:before="200" w:line="233" w:lineRule="auto" w:after="0"/>
        <w:ind w:right="753.71337890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12. Upon initiation of the transition to independent 501(c)(3) status (or upon any other termination of this Agreement), the parties shall develop a written transition plan within fifteen (15) days that addresses:</w:t>
      </w:r>
    </w:p>
    <w:p w:rsidR="00000000" w:rsidDel="00000000" w:rsidP="00000000" w:rsidRDefault="00000000" w:rsidRPr="00000000" w14:paraId="00000021">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 Transfer of all Account funds, financial records, and donor records to the Sponsored Organization or its designated successor;</w:t>
      </w:r>
    </w:p>
    <w:p w:rsidR="00000000" w:rsidDel="00000000" w:rsidP="00000000" w:rsidRDefault="00000000" w:rsidRPr="00000000" w14:paraId="00000022">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 Assignment or novation of outstanding grant agreements to the new entity, subject to funder approval;</w:t>
      </w:r>
    </w:p>
    <w:p w:rsidR="00000000" w:rsidDel="00000000" w:rsidP="00000000" w:rsidRDefault="00000000" w:rsidRPr="00000000" w14:paraId="00000023">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c. Notification to donors regarding the change in tax-exempt status and handling of any recurring gifts;</w:t>
      </w:r>
    </w:p>
    <w:p w:rsidR="00000000" w:rsidDel="00000000" w:rsidP="00000000" w:rsidRDefault="00000000" w:rsidRPr="00000000" w14:paraId="00000024">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d. The Fiscal Sponsor shall continue to process previously approved disbursements and fulfill existing contractual commitments for up to thirty (30) days following termination. Any disbursements beyond this period require mutual written agreement.</w:t>
      </w:r>
    </w:p>
    <w:p w:rsidR="00000000" w:rsidDel="00000000" w:rsidP="00000000" w:rsidRDefault="00000000" w:rsidRPr="00000000" w14:paraId="00000025">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e. A final accounting and reconciliation of all Project funds.</w:t>
      </w:r>
    </w:p>
    <w:p w:rsidR="00000000" w:rsidDel="00000000" w:rsidP="00000000" w:rsidRDefault="00000000" w:rsidRPr="00000000" w14:paraId="00000026">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13. Regarding intellectual property and project assets:</w:t>
      </w:r>
    </w:p>
    <w:p w:rsidR="00000000" w:rsidDel="00000000" w:rsidP="00000000" w:rsidRDefault="00000000" w:rsidRPr="00000000" w14:paraId="00000027">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a. All intellectual property created, developed, or acquired in connection with the Project, including but not limited to the Hromada name, branding, logos, website, domain names (hromadaproject.org and any related domains), software code, donor databases, content, curriculum, and social media accounts, shall remain the property of the Sponsored Organization and/or Thomas D. Protzman.</w:t>
      </w:r>
    </w:p>
    <w:p w:rsidR="00000000" w:rsidDel="00000000" w:rsidP="00000000" w:rsidRDefault="00000000" w:rsidRPr="00000000" w14:paraId="00000028">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 The Fiscal Sponsor claims no ownership interest in Project intellectual property or assets, except as required for the limited purpose of fulfilling its fiscal sponsorship duties under this Agreement.</w:t>
      </w:r>
    </w:p>
    <w:p w:rsidR="00000000" w:rsidDel="00000000" w:rsidP="00000000" w:rsidRDefault="00000000" w:rsidRPr="00000000" w14:paraId="00000029">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c. Upon termination of this Agreement for any reason, the Fiscal Sponsor shall transfer or assign all Project intellectual property, domain registrations, social media account access, and related assets to the Sponsored Organization or its designated successor organization within thirty (30) days of termination.</w:t>
      </w:r>
    </w:p>
    <w:p w:rsidR="00000000" w:rsidDel="00000000" w:rsidP="00000000" w:rsidRDefault="00000000" w:rsidRPr="00000000" w14:paraId="0000002A">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d. The Sponsored Organization grants the Fiscal Sponsor a limited, non-exclusive license to use the Hromada name and materials solely for purposes of fundraising, grant applications, and reporting activities conducted on behalf of the Project during the term of this Agreement.</w:t>
      </w:r>
    </w:p>
    <w:p w:rsidR="00000000" w:rsidDel="00000000" w:rsidP="00000000" w:rsidRDefault="00000000" w:rsidRPr="00000000" w14:paraId="0000002B">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14. The Sponsored Organization retains decision-making authority over Project strategy, programmatic design, partnerships with Ukrainian municipalities, hiring of contractors or staff, and day-to-day operations, subject to the Fiscal Sponsor's reserved variance power under Section 15, provided such decisions: (a) comply with Section 501(c)(3) requirements, (b) do not jeopardize the Fiscal Sponsor's tax-exempt status, and (c) are consistent with approved grant terms where applicable. The Fiscal Sponsor provides administrative and fiduciary oversight, and the parties intend for the Project team to manage day-to-day operations within the framework of that oversight.</w:t>
      </w:r>
    </w:p>
    <w:p>
      <w:pPr>
        <w:spacing w:before="200" w:after="0" w:line="233" w:lineRule="auto"/>
        <w:ind w:left="720" w:hanging="360" w:right="0"/>
      </w:pPr>
      <w:r>
        <w:rPr>
          <w:rFonts w:ascii="Cambria" w:hAnsi="Cambria"/>
          <w:sz w:val="22.079999923706055"/>
          <w:szCs w:val="22.079999923706055"/>
        </w:rPr>
        <w:t xml:space="preserve">15. Variance Power and Fund Control. The Fiscal Sponsor retains ultimate discretion and control over the use of all donated funds received under this Agreement. Donor designations to specific projects or purposes are treated as non-binding recommendations and are honored to the extent consistent with the Fiscal Sponsor's charitable purposes and legal obligations.</w:t>
      </w:r>
    </w:p>
    <w:p>
      <w:pPr>
        <w:spacing w:before="200" w:after="0" w:line="233" w:lineRule="auto"/>
        <w:ind w:left="720" w:right="0"/>
      </w:pPr>
      <w:r>
        <w:rPr>
          <w:rFonts w:ascii="Cambria" w:hAnsi="Cambria"/>
          <w:sz w:val="22.079999923706055"/>
          <w:szCs w:val="22.079999923706055"/>
        </w:rPr>
        <w:t xml:space="preserve">The Fiscal Sponsor reserves the right to redirect, withhold, or refuse any disbursement if, in its sole judgment, such disbursement would be inconsistent with its tax-exempt purposes, applicable law, or donor intent.</w:t>
      </w:r>
    </w:p>
    <w:p>
      <w:pPr>
        <w:spacing w:before="200" w:after="0" w:line="233" w:lineRule="auto"/>
        <w:ind w:left="720" w:right="0"/>
      </w:pPr>
      <w:r>
        <w:rPr>
          <w:rFonts w:ascii="Cambria" w:hAnsi="Cambria"/>
          <w:sz w:val="22.079999923706055"/>
          <w:szCs w:val="22.079999923706055"/>
        </w:rPr>
        <w:t>The Fiscal Sponsor's exercise of variance power under this section is limited to ensuring compliance with applicable law, IRS requirements, U.S. sanctions laws and regulations administered by the Office of Foreign Assets Control (OFAC), and the Fiscal Sponsor's tax-exempt purposes. Subject to this reserved authority, the Sponsored Organization retains full and operational autonomy as described in Section 14.</w:t>
      </w:r>
    </w:p>
    <w:p w:rsidR="00000000" w:rsidDel="00000000" w:rsidP="00000000" w:rsidRDefault="00000000" w:rsidRPr="00000000" w14:paraId="0000002C">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16. The Fiscal Sponsor agrees to apply for grants on behalf of the Project as requested by the Project Director, and to pass through grant funds received to the Project Account, less any administrative fees agreed upon in writing, within fifteen (15) business days of receipt. The Sponsored Organization shall be responsible for preparing grant proposals and reports, with the Fiscal Sponsor providing final review and signature authority.</w:t>
      </w:r>
    </w:p>
    <w:p w:rsidR="00000000" w:rsidDel="00000000" w:rsidP="00000000" w:rsidRDefault="00000000" w:rsidRPr="00000000" w14:paraId="0000002C">
      <w:pPr>
        <w:widowControl w:val="0"/>
        <w:spacing w:before="200" w:line="233" w:lineRule="auto" w:after="0"/>
        <w:ind w:right="200.60791015625" w:left="720"/>
        <w:rPr>
          <w:rFonts w:ascii="Cambria" w:cs="Cambria" w:eastAsia="Cambria" w:hAnsi="Cambria"/>
          <w:sz w:val="22.079999923706055"/>
          <w:szCs w:val="22.079999923706055"/>
        </w:rPr>
      </w:pPr>
      <w:r>
        <w:rPr>
          <w:rFonts w:ascii="Cambria" w:cs="Cambria" w:eastAsia="Cambria" w:hAnsi="Cambria"/>
          <w:sz w:val="22.079999923706055"/>
          <w:szCs w:val="22.079999923706055"/>
          <w:rtl w:val="0"/>
        </w:rPr>
        <w:t xml:space="preserve">In the event the Sponsored Organization pursues or receives government funding, including but not limited to grants from the United States Agency for International Development (USAID), the Department of State, or other federal or state agencies, the parties shall negotiate in good faith a supplemental addendum to this Agreement addressing any additional audit, reporting, or compliance requirements imposed by the funding agency. The Fiscal Sponsor shall cooperate with the Sponsored Organization in meeting such requirements, provided that the Fiscal Sponsor shall not be obligated to accept government funding that would, in its reasonable judgment, impose undue administrative burden or legal risk inconsistent with its organizational capacity.</w:t>
      </w:r>
    </w:p>
    <w:p w:rsidR="00000000" w:rsidDel="00000000" w:rsidP="00000000" w:rsidRDefault="00000000" w:rsidRPr="00000000" w14:paraId="0000002D">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17. All donor-facing communications, including the Project website, fundraising materials, and donation pages, shall identify the Project as "Hromada, a project of POCACITO NETWORK" and include the Fiscal Sponsor's 501(c)(3) status and EIN for tax-deductibility purposes. The Fiscal Sponsor shall issue all tax receipts for donations to the Project and maintain donor records in accordance with IRS requirements.</w:t>
      </w:r>
    </w:p>
    <w:p w:rsidR="00000000" w:rsidDel="00000000" w:rsidP="00000000" w:rsidRDefault="00000000" w:rsidRPr="00000000" w14:paraId="0000002E">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18. The Sponsored Organization shall ensure that all Project activities and disbursements comply with applicable U.S. sanctions laws administered by the Office of Foreign Assets Control (OFAC), anti-money laundering regulations, and any other applicable export control or anti-terrorism financing laws. The Sponsored Organization shall conduct reasonable due diligence on all recipient organizations and municipalities prior to requesting disbursements and shall maintain records of such diligence. The Fiscal Sponsor reserves the right to delay or decline any disbursement that it reasonably believes may violate applicable law.</w:t>
      </w:r>
    </w:p>
    <w:p w:rsidR="00000000" w:rsidDel="00000000" w:rsidP="00000000" w:rsidRDefault="00000000" w:rsidRPr="00000000" w14:paraId="0000002E">
      <w:pPr>
        <w:widowControl w:val="0"/>
        <w:spacing w:before="200" w:line="233" w:lineRule="auto" w:after="0"/>
        <w:ind w:right="200.60791015625" w:left="720"/>
        <w:rPr>
          <w:rFonts w:ascii="Cambria" w:cs="Cambria" w:eastAsia="Cambria" w:hAnsi="Cambria"/>
          <w:sz w:val="22.079999923706055"/>
          <w:szCs w:val="22.079999923706055"/>
        </w:rPr>
      </w:pPr>
      <w:r>
        <w:rPr>
          <w:rFonts w:ascii="Cambria" w:cs="Cambria" w:eastAsia="Cambria" w:hAnsi="Cambria"/>
          <w:sz w:val="22.079999923706055"/>
          <w:szCs w:val="22.079999923706055"/>
          <w:rtl w:val="0"/>
        </w:rPr>
        <w:t xml:space="preserve">The Sponsored Organization shall maintain and follow a written sanctions compliance policy, a copy of which shall be provided to the Fiscal Sponsor prior to the first international disbursement and updated annually thereafter. At minimum, the policy shall include: (a) screening of all recipient municipalities, officials, and contractors against the U.S. Treasury Department’s Specially Designated Nationals (SDN) List and other applicable sanctions lists prior to each disbursement; (b) documentation of screening results retained for a minimum of five (5) years; (c) end-use monitoring procedures to verify that funds are used for their intended charitable purpose; and (d) procedures for immediately reporting any potential sanctions match or compliance concern to the Fiscal Sponsor. The Fiscal Sponsor may suspend disbursements pending resolution of any compliance concern identified under this section.</w:t>
      </w:r>
    </w:p>
    <w:p w:rsidR="00000000" w:rsidDel="00000000" w:rsidP="00000000" w:rsidRDefault="00000000" w:rsidRPr="00000000" w14:paraId="0000002F">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19. The Sponsored Organization shall indemnify and hold harmless the Fiscal Sponsor from any claims, damages, or liabilities arising from the Project's activities, except those resulting from the Fiscal Sponsor's own negligence or willful misconduct. The Fiscal Sponsor shall maintain its existing general liability and directors &amp; officers insurance coverage. The Sponsored Organization shall obtain and maintain any additional insurance coverage reasonably required by the nature of Project activities, including coverage for international operations, subject to mutual agreement on scope and cost.</w:t>
      </w:r>
    </w:p>
    <w:p>
      <w:pPr>
        <w:spacing w:before="200" w:after="0" w:line="233" w:lineRule="auto"/>
        <w:ind w:left="720" w:right="0"/>
      </w:pPr>
      <w:r>
        <w:rPr>
          <w:rFonts w:ascii="Cambria" w:hAnsi="Cambria"/>
          <w:sz w:val="22.079999923706055"/>
          <w:szCs w:val="22.079999923706055"/>
        </w:rPr>
        <w:t>Because the Sponsored Organization is an unincorporated project without independent legal personhood, Thomas D. Protzman, as Project Director, and Sloan T. Austermann, as Alternate Project Director, jointly and severally assume all obligations of the Sponsored Organization under this Agreement, including but not limited to indemnification (this Section), sanctions compliance (Section 18), record-keeping (Section 8), reporting (Section 4), and transition obligations (Section 12). The Project Director may form a limited liability entity to assume these obligations, and this Agreement shall be assignable to such entity upon written notice to and acknowledgment by the Fiscal Sponsor, provided that such assignment shall not relieve the Project Director or Alternate Project Director of personal liability until the Fiscal Sponsor has provided such written acknowledgment.</w:t>
      </w:r>
    </w:p>
    <w:p>
      <w:pPr>
        <w:spacing w:before="200" w:after="0" w:line="233" w:lineRule="auto"/>
        <w:ind w:left="720" w:right="0"/>
      </w:pPr>
      <w:r>
        <w:rPr>
          <w:rFonts w:ascii="Cambria" w:hAnsi="Cambria"/>
          <w:sz w:val="22.079999923706055"/>
          <w:szCs w:val="22.079999923706055"/>
        </w:rPr>
        <w:t xml:space="preserve">The Project Director shall obtain and maintain adequate insurance coverage appropriate to the scope and risk profile of the Project, including at minimum general liability insurance. The Project Director shall provide proof of coverage to the Fiscal Sponsor upon request. The specific types and amounts of coverage shall be mutually agreed upon by the parties within sixty (60) days of the effective date of this Agreement, and reviewed annually thereafter.</w:t>
      </w:r>
    </w:p>
    <w:p w:rsidR="00000000" w:rsidDel="00000000" w:rsidP="00000000" w:rsidRDefault="00000000" w:rsidRPr="00000000" w14:paraId="00000030">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20. The parties agree to resolve any disputes arising under this Agreement first through good-faith discussion between the Project Director and a designated representative of the Fiscal Sponsor. If unresolved within thirty (30) days, the parties shall engage a mutually agreed-upon mediator before pursuing any other remedies. Mediation costs shall be shared equally.</w:t>
      </w:r>
    </w:p>
    <w:p w:rsidR="00000000" w:rsidDel="00000000" w:rsidP="00000000" w:rsidRDefault="00000000" w:rsidRPr="00000000" w14:paraId="00000031">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21. Each party shall maintain the confidentiality of non-public information received from the other party in connection with this Agreement, including donor information, financial records, and partner organization details. This obligation shall survive termination of this Agreement for a period of two (2) years.</w:t>
      </w:r>
    </w:p>
    <w:p>
      <w:pPr>
        <w:spacing w:before="200" w:after="0" w:line="233" w:lineRule="auto"/>
        <w:ind w:left="720" w:hanging="360" w:right="0"/>
      </w:pPr>
      <w:r>
        <w:rPr>
          <w:rFonts w:ascii="Cambria" w:hAnsi="Cambria"/>
          <w:sz w:val="22.079999923706055"/>
          <w:szCs w:val="22.079999923706055"/>
        </w:rPr>
        <w:t>22. Conflict of Interest. The Project Director and any individual with authority over disbursement requests shall disclose in writing to the Fiscal Sponsor any financial interest, family relationship, or business relationship with any vendor, contractor, grantee, or partner receiving funds under this Agreement. Such disclosures shall be made prior to any related disbursement request and updated annually. The Fiscal Sponsor may require recusal or additional review for any transaction involving a disclosed conflict. In the event indemnification obligations under Section 19 require disbursement of Project funds to or on behalf of the Project Director, such disbursements shall be approved by the Fiscal Sponsor's designated representative independently, without requiring the Project Director's approval.</w:t>
      </w:r>
    </w:p>
    <w:p>
      <w:pPr>
        <w:spacing w:before="200" w:after="0" w:line="233" w:lineRule="auto"/>
        <w:ind w:left="720" w:hanging="360" w:right="0"/>
      </w:pPr>
      <w:r>
        <w:rPr>
          <w:rFonts w:ascii="Cambria" w:hAnsi="Cambria"/>
          <w:sz w:val="22.079999923706055"/>
          <w:szCs w:val="22.079999923706055"/>
        </w:rPr>
        <w:t xml:space="preserve">23. Gift Acceptance. The Fiscal Sponsor accepts the following types of charitable contributions on behalf of the Sponsored Organization: cash, check, wire transfer, ACH transfer, credit/debit card, donor-advised fund (DAF) grants, and corporate matching gifts. Acceptance of non-cash gifts including but not limited to securities, cryptocurrency, real property, or in-kind donations requires prior written approval from the Fiscal Sponsor. The Fiscal Sponsor reserves the right to decline any gift that would create undue administrative burden or legal risk.</w:t>
      </w:r>
    </w:p>
    <w:p w:rsidR="00000000" w:rsidDel="00000000" w:rsidP="00000000" w:rsidRDefault="00000000" w:rsidRPr="00000000" w14:paraId="00000032">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24. Force Majeure. Neither party shall be liable for any failure or delay in performing its obligations under this Agreement to the extent such failure or delay results from circumstances beyond its reasonable control, including but not limited to: armed conflict or military operations affecting Ukraine, changes in U.S. or international sanctions, disruption of international banking or wire transfer channels, natural disasters, pandemics, or actions by governmental authorities. The affected party shall notify the other party promptly and use reasonable efforts to mitigate the impact. Obligations shall resume once the force majeure condition ceases. If a force majeure event prevents performance for more than ninety (90) consecutive days, either party may terminate this Agreement upon thirty (30) days written notice, subject to the transition provisions of Section 12.</w:t>
      </w:r>
    </w:p>
    <w:p w:rsidR="00000000" w:rsidDel="00000000" w:rsidP="00000000" w:rsidRDefault="00000000" w:rsidRPr="00000000" w14:paraId="00000032">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25. This Agreement shall be governed by and construed in accordance with the laws of the Commonwealth of Virginia, without regard to its conflict of laws provisions.</w:t>
      </w:r>
    </w:p>
    <w:p>
      <w:pPr>
        <w:spacing w:before="200" w:after="0" w:line="233" w:lineRule="auto"/>
        <w:ind w:left="720" w:right="0"/>
      </w:pPr>
      <w:r>
        <w:rPr>
          <w:rFonts w:ascii="Cambria" w:hAnsi="Cambria"/>
          <w:sz w:val="22.079999923706055"/>
          <w:szCs w:val="22.079999923706055"/>
        </w:rPr>
        <w:t>In the event of litigation, venue shall be in the Commonwealth of Virginia.</w:t>
      </w:r>
    </w:p>
    <w:p w:rsidR="00000000" w:rsidDel="00000000" w:rsidP="00000000" w:rsidRDefault="00000000" w:rsidRPr="00000000" w14:paraId="00000033">
      <w:pPr>
        <w:widowControl w:val="0"/>
        <w:spacing w:before="200" w:line="233" w:lineRule="auto" w:after="0"/>
        <w:ind w:right="200.60791015625"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26. This Agreement constitutes the entire understanding between the parties and supersedes all prior agreements relating to its subject matter. This Agreement may be amended only by written instrument signed by both parties.</w:t>
      </w:r>
    </w:p>
    <w:p w:rsidR="00000000" w:rsidDel="00000000" w:rsidP="00000000" w:rsidRDefault="00000000" w:rsidRPr="00000000" w14:paraId="00000034">
      <w:pPr>
        <w:widowControl w:val="0"/>
        <w:spacing w:before="207.60101318359375" w:line="232.50688076019287" w:lineRule="auto"/>
        <w:ind w:left="379.8725891113281" w:right="200.60791015625" w:firstLine="0"/>
        <w:rPr>
          <w:rFonts w:ascii="Cambria" w:cs="Cambria" w:eastAsia="Cambria" w:hAnsi="Cambria"/>
          <w:sz w:val="22.079999923706055"/>
          <w:szCs w:val="22.079999923706055"/>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1619873046875" w:line="234.70582008361816" w:lineRule="auto"/>
        <w:ind w:left="3.630218505859375" w:right="579.063720703125" w:firstLine="9.936065673828125"/>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sectPr>
          <w:headerReference r:id="rId6" w:type="default"/>
          <w:headerReference r:id="rId7" w:type="first"/>
          <w:footerReference r:id="rId8" w:type="default"/>
          <w:footerReference r:id="rId9" w:type="first"/>
          <w:headerReference w:type="even" r:id="rId10"/>
          <w:footerReference w:type="even" r:id="rId11"/>
          <w:pgSz w:h="15840" w:w="12240" w:orient="portrait"/>
          <w:pgMar w:bottom="1757.091064453125" w:top="1428.00048828125" w:left="1439.3376159667969" w:right="1400.545654296875" w:header="0" w:footer="720"/>
          <w:pgNumType w:start="1"/>
          <w:titlePg w:val="1"/>
        </w:sect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 witness whereof, the parties hereto have executed this Agreement on the day and year first  written above</w:t>
      </w:r>
      <w:r w:rsidDel="00000000" w:rsidR="00000000" w:rsidRPr="00000000">
        <w:rPr>
          <w:rFonts w:ascii="Cambria" w:cs="Cambria" w:eastAsia="Cambria" w:hAnsi="Cambria"/>
          <w:sz w:val="22.079999923706055"/>
          <w:szCs w:val="22.079999923706055"/>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568603515625" w:line="240" w:lineRule="auto"/>
        <w:ind w:left="0" w:right="0" w:firstLine="0"/>
        <w:rPr>
          <w:rFonts w:ascii="Cambria" w:cs="Cambria" w:eastAsia="Cambria" w:hAnsi="Cambria"/>
          <w:b w:val="1"/>
          <w:bCs w:val="1"/>
          <w:sz w:val="22.079999923706055"/>
          <w:szCs w:val="22.079999923706055"/>
        </w:rPr>
        <w:sectPr>
          <w:type w:val="continuous"/>
          <w:pgSz w:h="15840" w:w="12240" w:orient="portrait"/>
          <w:pgMar w:bottom="1757.091064453125" w:top="1428.00048828125" w:left="1439.3376159667969" w:right="2746.1456298828125" w:header="0" w:footer="720"/>
          <w:cols w:equalWidth="0" w:num="2">
            <w:col w:space="0" w:w="4040"/>
            <w:col w:space="0" w:w="4040"/>
          </w:cols>
        </w:sect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568603515625" w:line="240" w:lineRule="auto"/>
        <w:ind w:left="0" w:right="0" w:firstLine="0"/>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Accepted for the Fiscal Sponsor: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0.6623840332031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________________________________________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Authorized signer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6623840332031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______________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6669921875" w:line="240" w:lineRule="auto"/>
        <w:ind w:left="13.68957519531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rPr>
          <w:rFonts w:ascii="Cambria" w:cs="Cambria" w:eastAsia="Cambria" w:hAnsi="Cambria"/>
          <w:b w:val="1"/>
          <w:bCs w:val="1"/>
          <w:sz w:val="22.079999923706055"/>
          <w:szCs w:val="22.079999923706055"/>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rPr>
          <w:rFonts w:ascii="Cambria" w:cs="Cambria" w:eastAsia="Cambria" w:hAnsi="Cambria"/>
          <w:b w:val="1"/>
          <w:bCs w:val="1"/>
          <w:sz w:val="22.079999923706055"/>
          <w:szCs w:val="22.079999923706055"/>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For the Sponsored Organization: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0"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_________________________________________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Authorized signer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6669921875" w:line="240"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Date</w:t>
      </w:r>
    </w:p>
    <w:sectPr>
      <w:type w:val="continuous"/>
      <w:pgSz w:h="15840" w:w="12240" w:orient="portrait"/>
      <w:pgMar w:bottom="1757.091064453125" w:top="1428.00048828125" w:left="1439.3376159667969" w:right="2746.1456298828125" w:header="0" w:footer="720"/>
      <w:cols w:equalWidth="0" w:num="1">
        <w:col w:space="0" w:w="805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widowControl w:val="0"/>
      <w:spacing w:line="240" w:lineRule="auto"/>
      <w:ind w:left="0.662078857421875" w:firstLine="0"/>
      <w:rPr/>
    </w:pPr>
    <w:r w:rsidDel="00000000" w:rsidR="00000000" w:rsidRPr="00000000">
      <w:rPr/>
      <w:drawing>
        <wp:inline distB="114300" distT="114300" distL="114300" distR="114300">
          <wp:extent cx="1815445" cy="72675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445" cy="72675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pP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