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Safety Signal Review Capstone Report</w:t>
      </w:r>
    </w:p>
    <w:p>
      <w:pPr>
        <w:jc w:val="center"/>
      </w:pPr>
      <w:r>
        <w:rPr>
          <w:i/>
        </w:rPr>
        <w:t>Synthetic training dataset • StudyDrug-A</w:t>
      </w:r>
    </w:p>
    <w:p>
      <w:pPr>
        <w:pStyle w:val="Heading1"/>
      </w:pPr>
      <w:r>
        <w:t>1. Executive Summary</w:t>
      </w:r>
    </w:p>
    <w:p>
      <w:r>
        <w:t>The synthetic dataset contains 120 adverse-reaction reports. StudyDrug-A contributes 80 reports and the comparator group contributes 40. The review identified ALT increased as one potential signal: 31/80 StudyDrug-A reports (38.8%) versus 6/40 comparator reports (15.0%). The descriptive PRR is 2.58 and ROR is 3.59. This finding should be treated as a signal-prioritization result requiring further clinical and case-level assessment, not as proof of causality.</w:t>
      </w:r>
    </w:p>
    <w:p>
      <w:pPr>
        <w:pStyle w:val="Heading1"/>
      </w:pPr>
      <w:r>
        <w:t>2. Dataset Summary</w:t>
      </w:r>
    </w:p>
    <w:p>
      <w:r>
        <w:t>Total reports: 120. Serious reports overall: 26 (21.7%). StudyDrug-A serious reports: 21 (26.2%).</w:t>
      </w:r>
    </w:p>
    <w:p>
      <w:r>
        <w:t>The dataset is synthetic and does not provide exposure denominators, so the percentages above describe the reporting dataset and should not be interpreted as incidence rates.</w:t>
      </w:r>
    </w:p>
    <w:p>
      <w:pPr>
        <w:pStyle w:val="Heading1"/>
      </w:pPr>
      <w:r>
        <w:t>3. Event Pattern</w:t>
      </w:r>
    </w:p>
    <w:p>
      <w:r>
        <w:t>ALT increased: 37 reports.</w:t>
      </w:r>
    </w:p>
    <w:p>
      <w:r>
        <w:t>Fatigue: 23 reports.</w:t>
      </w:r>
    </w:p>
    <w:p>
      <w:r>
        <w:t>Headache: 19 reports.</w:t>
      </w:r>
    </w:p>
    <w:p>
      <w:r>
        <w:t>Dizziness: 15 reports.</w:t>
      </w:r>
    </w:p>
    <w:p>
      <w:r>
        <w:t>Nausea: 13 reports.</w:t>
      </w:r>
    </w:p>
    <w:p>
      <w:r>
        <w:t>Vomiting: 7 reports.</w:t>
      </w:r>
    </w:p>
    <w:p>
      <w:r>
        <w:t>Rash: 6 reports.</w:t>
      </w:r>
    </w:p>
    <w:p>
      <w:pPr>
        <w:pStyle w:val="Heading1"/>
      </w:pPr>
      <w:r>
        <w:t>4. Potential Signal Assessment</w:t>
      </w:r>
    </w:p>
    <w:p>
      <w:r>
        <w:t>Potential signal: ALT increased with StudyDrug-A. The event appears in 31 StudyDrug-A reports compared with 6 reports among 40 comparator reports. The 2×2 table is StudyDrug-A: 31 event / 49 non-event; comparator: 6 event / 34 non-event. PRR = 2.58; ROR = 3.59; Pearson chi-square = 7.05.</w:t>
      </w:r>
    </w:p>
    <w:p>
      <w:r>
        <w:t>Interpretation: the aggregate pattern is sufficiently notable for follow-up in this training exercise. It should not be described as a confirmed adverse drug reaction solely on the basis of disproportionality.</w:t>
      </w:r>
    </w:p>
    <w:p>
      <w:pPr>
        <w:pStyle w:val="Heading1"/>
      </w:pPr>
      <w:r>
        <w:t>5. Alternative Explanations</w:t>
      </w:r>
    </w:p>
    <w:p>
      <w:r>
        <w:t>• Confounding by underlying disease or patient characteristics.</w:t>
      </w:r>
    </w:p>
    <w:p>
      <w:r>
        <w:t>• Differential reporting or stimulated reporting.</w:t>
      </w:r>
    </w:p>
    <w:p>
      <w:r>
        <w:t>• Changes in laboratory testing, monitoring, prescribing, or exposure.</w:t>
      </w:r>
    </w:p>
    <w:p>
      <w:r>
        <w:t>• Concomitant medicines or other clinical causes of elevated liver enzymes.</w:t>
      </w:r>
    </w:p>
    <w:p>
      <w:r>
        <w:t>• Duplicate, incomplete, or inconsistently coded reports.</w:t>
      </w:r>
    </w:p>
    <w:p>
      <w:r>
        <w:t>• Random variation in a small synthetic dataset.</w:t>
      </w:r>
    </w:p>
    <w:p>
      <w:pPr>
        <w:pStyle w:val="Heading1"/>
      </w:pPr>
      <w:r>
        <w:t>6. Follow-up Evidence Questions</w:t>
      </w:r>
    </w:p>
    <w:p>
      <w:r>
        <w:t>• Can individual cases be reviewed for chronology, indication, dose, concomitant medicines, and laboratory values?</w:t>
      </w:r>
    </w:p>
    <w:p>
      <w:r>
        <w:t>• Are there duplicate or linked reports?</w:t>
      </w:r>
    </w:p>
    <w:p>
      <w:r>
        <w:t>• Is there dechallenge/rechallenge information?</w:t>
      </w:r>
    </w:p>
    <w:p>
      <w:r>
        <w:t>• Are ALT increases accompanied by bilirubin increases or clinical liver injury features?</w:t>
      </w:r>
    </w:p>
    <w:p>
      <w:r>
        <w:t>• Is there a time trend or subgroup concentration by region, reporter type, age, or other available variables?</w:t>
      </w:r>
    </w:p>
    <w:p>
      <w:r>
        <w:t>• Does the finding persist when coding terms are reviewed at an appropriate clinical grouping level?</w:t>
      </w:r>
    </w:p>
    <w:p>
      <w:r>
        <w:t>• How does the finding compare with clinical-trial and post-authorisation data?</w:t>
      </w:r>
    </w:p>
    <w:p>
      <w:pPr>
        <w:pStyle w:val="Heading1"/>
      </w:pPr>
      <w:r>
        <w:t>7. Risk-Minimization Questions</w:t>
      </w:r>
    </w:p>
    <w:p>
      <w:r>
        <w:t>• Is existing product information adequate for monitoring/management of liver-related laboratory abnormalities?</w:t>
      </w:r>
    </w:p>
    <w:p>
      <w:r>
        <w:t>• Would targeted monitoring or clearer laboratory-management guidance be justified if the signal is confirmed?</w:t>
      </w:r>
    </w:p>
    <w:p>
      <w:r>
        <w:t>• Is additional communication needed for healthcare professionals or patients?</w:t>
      </w:r>
    </w:p>
    <w:p>
      <w:r>
        <w:t>• What evidence threshold should trigger an update to risk-minimization measures?</w:t>
      </w:r>
    </w:p>
    <w:p>
      <w:pPr>
        <w:pStyle w:val="Heading1"/>
      </w:pPr>
      <w:r>
        <w:t>8. Limitations</w:t>
      </w:r>
    </w:p>
    <w:p>
      <w:r>
        <w:t>Synthetic dataset; no exposure denominator; no patient-level clinical details beyond supplied fields; no confirmed causality; no external case-series validation; small sample size; and no adjustment for confounding. Results are for educational practice only.</w:t>
      </w:r>
    </w:p>
    <w:p>
      <w:pPr>
        <w:pStyle w:val="Heading1"/>
      </w:pPr>
      <w:r>
        <w:t>9. Conclusion</w:t>
      </w:r>
    </w:p>
    <w:p>
      <w:r>
        <w:t>ALT increased with StudyDrug-A is the selected potential signal for this capstone. The appropriate next step is structured validation and clinical assessment rather than immediate causal or regulatory conclusions.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