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drawing>
          <wp:inline xmlns:a="http://schemas.openxmlformats.org/drawingml/2006/main" xmlns:pic="http://schemas.openxmlformats.org/drawingml/2006/picture">
            <wp:extent cx="1512000" cy="843907"/>
            <wp:docPr id="1" name="Picture 1"/>
            <wp:cNvGraphicFramePr>
              <a:graphicFrameLocks noChangeAspect="1"/>
            </wp:cNvGraphicFramePr>
            <a:graphic>
              <a:graphicData uri="http://schemas.openxmlformats.org/drawingml/2006/picture">
                <pic:pic>
                  <pic:nvPicPr>
                    <pic:cNvPr id="0" name="logoXAI.png"/>
                    <pic:cNvPicPr/>
                  </pic:nvPicPr>
                  <pic:blipFill>
                    <a:blip r:embed="rId9"/>
                    <a:stretch>
                      <a:fillRect/>
                    </a:stretch>
                  </pic:blipFill>
                  <pic:spPr>
                    <a:xfrm>
                      <a:off x="0" y="0"/>
                      <a:ext cx="1512000" cy="843907"/>
                    </a:xfrm>
                    <a:prstGeom prst="rect"/>
                  </pic:spPr>
                </pic:pic>
              </a:graphicData>
            </a:graphic>
          </wp:inline>
        </w:drawing>
      </w:r>
    </w:p>
    <w:p>
      <w:pPr>
        <w:spacing w:before="0" w:after="0"/>
        <w:jc w:val="center"/>
      </w:pPr>
      <w:r>
        <w:rPr>
          <w:b/>
          <w:color w:val="CC4026"/>
          <w:sz w:val="56"/>
        </w:rPr>
        <w:t>LogX AI</w:t>
      </w:r>
    </w:p>
    <w:p>
      <w:pPr>
        <w:spacing w:before="40" w:after="40"/>
        <w:jc w:val="center"/>
      </w:pPr>
      <w:r>
        <w:rPr>
          <w:b/>
          <w:color w:val="005080"/>
          <w:sz w:val="26"/>
        </w:rPr>
        <w:t>Le compagnon de trafic radioamateur nouvelle génération</w:t>
      </w:r>
    </w:p>
    <w:p>
      <w:pPr>
        <w:spacing w:after="40"/>
        <w:jc w:val="center"/>
      </w:pPr>
      <w:r>
        <w:rPr>
          <w:b/>
          <w:i w:val="0"/>
          <w:sz w:val="21"/>
        </w:rPr>
        <w:t>Logbook intelligent · Concours · Activations · Propagation · Copilote IA</w:t>
      </w:r>
    </w:p>
    <w:p>
      <w:pPr>
        <w:spacing w:after="200"/>
        <w:jc w:val="center"/>
      </w:pPr>
      <w:r>
        <w:rPr>
          <w:b w:val="0"/>
          <w:i/>
          <w:color w:val="4A5170"/>
          <w:sz w:val="21"/>
        </w:rPr>
        <w:t>Tout-en-un, en local, sans abonnement.</w:t>
      </w:r>
    </w:p>
    <w:p>
      <w:pPr>
        <w:spacing w:after="200"/>
      </w:pPr>
      <w:r>
        <w:rPr>
          <w:b w:val="0"/>
          <w:i w:val="0"/>
          <w:sz w:val="21"/>
        </w:rPr>
        <w:t xml:space="preserve">Vous connaissez la situation : un logiciel pour le log de tous les jours, un autre pour les concours, un site web pour la propagation, un tableur pour les activations POTA, et une pile d'onglets ouverts pour le cluster, les cartes et les QSL. </w:t>
      </w:r>
      <w:r>
        <w:rPr>
          <w:b/>
          <w:i w:val="0"/>
          <w:sz w:val="21"/>
        </w:rPr>
        <w:t>LogX AI réunit tout cela dans une seule application</w:t>
      </w:r>
      <w:r>
        <w:rPr>
          <w:b w:val="0"/>
          <w:i w:val="0"/>
          <w:sz w:val="21"/>
        </w:rPr>
        <w:t>, qui tourne entièrement sur votre ordinateur et s'utilise depuis votre navigateur — du QSO du dimanche matin à la DXpédition multi-poste.</w:t>
      </w:r>
    </w:p>
    <w:p>
      <w:pPr>
        <w:spacing w:before="80" w:after="120"/>
      </w:pPr>
      <w:r>
        <w:rPr>
          <w:b/>
          <w:color w:val="CC4026"/>
          <w:sz w:val="30"/>
        </w:rPr>
        <w:t>Ce qui le rend unique</w:t>
      </w:r>
    </w:p>
    <w:p>
      <w:pPr>
        <w:spacing w:after="120"/>
      </w:pPr>
      <w:r>
        <w:rPr>
          <w:b/>
          <w:color w:val="005080"/>
        </w:rPr>
        <w:t xml:space="preserve">🏠 Tout tourne chez vous.  </w:t>
      </w:r>
      <w:r>
        <w:t>LogX AI est un serveur local : vos QSO, votre configuration et votre historique restent sur votre disque. Aucun compte à créer, aucun cloud imposé, aucune donnée ne quitte votre poste sans que vous l'ayez explicitement configuré. Et sur le terrain en /P sans réseau, l'essentiel continue de fonctionner.</w:t>
      </w:r>
    </w:p>
    <w:p>
      <w:pPr>
        <w:spacing w:after="120"/>
      </w:pPr>
      <w:r>
        <w:rPr>
          <w:b/>
          <w:color w:val="005080"/>
        </w:rPr>
        <w:t xml:space="preserve">🤖 Un copilote IA — jamais une obligation.  </w:t>
      </w:r>
      <w:r>
        <w:t>Branchez la clé API de votre choix (Claude, ChatGPT, Gemini, Mistral, Grok ou DeepSeek) : le copilote connaît déjà votre log, votre concours et les spots du moment. Il classe les meilleures cibles en points réels, débriefe votre contest, et peut même lire le règlement PDF d'un concours inconnu pour l'ajouter à la base — toujours avec votre relecture avant enregistrement. Sans clé ? Tout le reste fonctionne à 100 %.</w:t>
      </w:r>
    </w:p>
    <w:p>
      <w:pPr>
        <w:spacing w:after="120"/>
      </w:pPr>
      <w:r>
        <w:rPr>
          <w:b/>
          <w:color w:val="005080"/>
        </w:rPr>
        <w:t xml:space="preserve">🏆 Le score juste, selon le vrai règlement.  </w:t>
      </w:r>
      <w:r>
        <w:t>36 concours suivis nativement (REF, IARU, CQ WW/WPX, ARRL...) avec leur échange exact (n° de série, département, zone CQ, classe Field Day...) et leur barème exact — km, km × locators, multiplicateurs. Le calendrier mondial complète la liste, l'analyse IA d'un règlement couvre le reste.</w:t>
      </w:r>
    </w:p>
    <w:p>
      <w:pPr>
        <w:spacing w:after="120"/>
      </w:pPr>
      <w:r>
        <w:rPr>
          <w:b/>
          <w:color w:val="005080"/>
        </w:rPr>
        <w:t xml:space="preserve">📻 Multi-poste sans rien installer ailleurs.  </w:t>
      </w:r>
      <w:r>
        <w:t>Les autres postes du shack — PC, tablette, téléphone — rejoignent le même log en ouvrant une simple adresse WiFi. Jusqu'à 40 opérateurs en mode radioclub, un chat intégré, et un écran mural à projeter : le flux des QSO en direct, visible depuis la salle à manger pendant que les copains mangent. C'est aussi ça, la radio conviviale.</w:t>
      </w:r>
    </w:p>
    <w:p>
      <w:pPr>
        <w:spacing w:after="120"/>
      </w:pPr>
      <w:r>
        <w:rPr>
          <w:b/>
          <w:color w:val="005080"/>
        </w:rPr>
        <w:t xml:space="preserve">🏕️ Plus de 415 000 références d'activation embarquées.  </w:t>
      </w:r>
      <w:r>
        <w:t>SOTA, POTA, WWFF, IOTA et châteaux WCA : bases complètes en local, recherche instantanée, validation de référence, spots des activateurs en direct, progression de votre activation en temps réel et park-to-park détecté.</w:t>
      </w:r>
    </w:p>
    <w:p>
      <w:pPr>
        <w:spacing w:before="160" w:after="120"/>
      </w:pPr>
      <w:r>
        <w:rPr>
          <w:b/>
          <w:color w:val="CC4026"/>
          <w:sz w:val="30"/>
        </w:rPr>
        <w:t>Tour d'horizon</w:t>
      </w:r>
    </w:p>
    <w:p>
      <w:pPr>
        <w:spacing w:after="100"/>
      </w:pPr>
      <w:r>
        <w:rPr>
          <w:b/>
        </w:rPr>
        <w:t xml:space="preserve">La saisie la plus rapide possible — </w:t>
      </w:r>
      <w:r>
        <w:t>Autocomplétion, fiche du correspondant qui apparaît toute seule (pays, drapeau, nom, historique de vos contacts), distance/cap/points calculés dès le locator tapé, alerte « nouveau pays à vie », mode ESM où la touche Entrée enchaîne tout l'échange comme sur N1MM — et un décodeur CW intégré qui lit le morse au micro de votre PC, sans logiciel tiers.</w:t>
      </w:r>
    </w:p>
    <w:p>
      <w:pPr>
        <w:spacing w:after="100"/>
      </w:pPr>
      <w:r>
        <w:rPr>
          <w:b/>
        </w:rPr>
        <w:t xml:space="preserve">En concours, un vrai coéquipier — </w:t>
      </w:r>
      <w:r>
        <w:t>Need list classée par valeur réelle en points, carte des priorités, coach de rythme (RUN ou Search &amp; Pounce ?), bandmap avec QSY au clic, macros F1-F8, keyer vocal à PTT automatique qui épelle en alphabet OACI. Après l'épreuve : vérification complète du log, export au bon format automatiquement (EDI, Cabrillo ou ADIF), score en direct en ligne.</w:t>
      </w:r>
    </w:p>
    <w:p>
      <w:pPr>
        <w:spacing w:after="100"/>
      </w:pPr>
      <w:r>
        <w:rPr>
          <w:b/>
        </w:rPr>
        <w:t xml:space="preserve">La propagation, sans quitter le logiciel — </w:t>
      </w:r>
      <w:r>
        <w:t>Indices solaires en permanence dans la barre de statut, MUF et verdict par bande, ouvertures par région du monde, Sporadique-E, tropo, météores, balises NCDXF — et un panneau EME complet : position de la Lune, fenêtre commune avec votre correspondant, Doppler et bilan de liaison, à partir de deux simples locators. Plus un annuaire WebSDR et la chasse aux DXpéditions annoncées.</w:t>
      </w:r>
    </w:p>
    <w:p>
      <w:pPr>
        <w:spacing w:after="100"/>
      </w:pPr>
      <w:r>
        <w:rPr>
          <w:b/>
        </w:rPr>
        <w:t xml:space="preserve">Votre station, pilotée — </w:t>
      </w:r>
      <w:r>
        <w:t>CAT natif Icom/Yaesu/Kenwood/Elecraft/Xiegu par câble série, TCI pour les SDR, rigctld pour le reste. Amplificateurs Elecraft, Icom et SPE Expert. Rotor pointé d'un clic sur le cap calculé. FT8/FT4 loggués automatiquement depuis WSJT-X.</w:t>
      </w:r>
    </w:p>
    <w:p>
      <w:pPr>
        <w:spacing w:after="100"/>
      </w:pPr>
      <w:r>
        <w:rPr>
          <w:b/>
        </w:rPr>
        <w:t xml:space="preserve">Après le contact — </w:t>
      </w:r>
      <w:r>
        <w:t>Diplômes à vie (DXCC, départements, zones, Worked Matrix bande × mode), records DX par bande, et cinq services QSL synchronisés en un clic : eQSL, LoTW (sans installer TQSL), ClubLog, QRZCQ, HRDLog.</w:t>
      </w:r>
    </w:p>
    <w:p>
      <w:pPr>
        <w:spacing w:before="160" w:after="120"/>
      </w:pPr>
      <w:r>
        <w:rPr>
          <w:b/>
          <w:color w:val="CC4026"/>
          <w:sz w:val="30"/>
        </w:rPr>
        <w:t>LogX AI en chiffres</w:t>
      </w:r>
    </w:p>
    <w:tbl>
      <w:tblPr>
        <w:tblStyle w:val="LightGrid-Accent1"/>
        <w:tblW w:type="auto" w:w="0"/>
        <w:jc w:val="center"/>
        <w:tblLook w:firstColumn="1" w:firstRow="1" w:lastColumn="0" w:lastRow="0" w:noHBand="0" w:noVBand="1" w:val="04A0"/>
      </w:tblPr>
      <w:tblGrid>
        <w:gridCol w:w="4986"/>
        <w:gridCol w:w="4986"/>
      </w:tblGrid>
      <w:tr>
        <w:tc>
          <w:tcPr>
            <w:tcW w:type="dxa" w:w="3685"/>
          </w:tcPr>
          <w:p>
            <w:r>
              <w:rPr>
                <w:b/>
                <w:sz w:val="19"/>
              </w:rPr>
              <w:t>Références d'activation embarquées</w:t>
            </w:r>
          </w:p>
        </w:tc>
        <w:tc>
          <w:tcPr>
            <w:tcW w:type="dxa" w:w="5953"/>
          </w:tcPr>
          <w:p>
            <w:r>
              <w:rPr>
                <w:sz w:val="19"/>
              </w:rPr>
              <w:t>415 000+  (181 045 sommets SOTA · 93 676 parcs POTA · 68 446 réf. WWFF · 71 362 châteaux WCA · 1 178 groupes IOTA)</w:t>
            </w:r>
          </w:p>
        </w:tc>
      </w:tr>
      <w:tr>
        <w:tc>
          <w:tcPr>
            <w:tcW w:type="dxa" w:w="3685"/>
          </w:tcPr>
          <w:p>
            <w:r>
              <w:rPr>
                <w:b/>
                <w:sz w:val="19"/>
              </w:rPr>
              <w:t>Concours suivis avec scoring exact</w:t>
            </w:r>
          </w:p>
        </w:tc>
        <w:tc>
          <w:tcPr>
            <w:tcW w:type="dxa" w:w="5953"/>
          </w:tcPr>
          <w:p>
            <w:r>
              <w:rPr>
                <w:sz w:val="19"/>
              </w:rPr>
              <w:t>36 + calendrier mondial + analyse IA de tout règlement</w:t>
            </w:r>
          </w:p>
        </w:tc>
      </w:tr>
      <w:tr>
        <w:tc>
          <w:tcPr>
            <w:tcW w:type="dxa" w:w="3685"/>
          </w:tcPr>
          <w:p>
            <w:r>
              <w:rPr>
                <w:b/>
                <w:sz w:val="19"/>
              </w:rPr>
              <w:t>Bandes</w:t>
            </w:r>
          </w:p>
        </w:tc>
        <w:tc>
          <w:tcPr>
            <w:tcW w:type="dxa" w:w="5953"/>
          </w:tcPr>
          <w:p>
            <w:r>
              <w:rPr>
                <w:sz w:val="19"/>
              </w:rPr>
              <w:t>17, de 1.8 MHz à 47 GHz</w:t>
            </w:r>
          </w:p>
        </w:tc>
      </w:tr>
      <w:tr>
        <w:tc>
          <w:tcPr>
            <w:tcW w:type="dxa" w:w="3685"/>
          </w:tcPr>
          <w:p>
            <w:r>
              <w:rPr>
                <w:b/>
                <w:sz w:val="19"/>
              </w:rPr>
              <w:t>Modes ADIF reconnus</w:t>
            </w:r>
          </w:p>
        </w:tc>
        <w:tc>
          <w:tcPr>
            <w:tcW w:type="dxa" w:w="5953"/>
          </w:tcPr>
          <w:p>
            <w:r>
              <w:rPr>
                <w:sz w:val="19"/>
              </w:rPr>
              <w:t>49</w:t>
            </w:r>
          </w:p>
        </w:tc>
      </w:tr>
      <w:tr>
        <w:tc>
          <w:tcPr>
            <w:tcW w:type="dxa" w:w="3685"/>
          </w:tcPr>
          <w:p>
            <w:r>
              <w:rPr>
                <w:b/>
                <w:sz w:val="19"/>
              </w:rPr>
              <w:t>Langues de l'interface</w:t>
            </w:r>
          </w:p>
        </w:tc>
        <w:tc>
          <w:tcPr>
            <w:tcW w:type="dxa" w:w="5953"/>
          </w:tcPr>
          <w:p>
            <w:r>
              <w:rPr>
                <w:sz w:val="19"/>
              </w:rPr>
              <w:t>8 (français, anglais, allemand, espagnol, italien, portugais, néerlandais, polonais)</w:t>
            </w:r>
          </w:p>
        </w:tc>
      </w:tr>
      <w:tr>
        <w:tc>
          <w:tcPr>
            <w:tcW w:type="dxa" w:w="3685"/>
          </w:tcPr>
          <w:p>
            <w:r>
              <w:rPr>
                <w:b/>
                <w:sz w:val="19"/>
              </w:rPr>
              <w:t>Fournisseurs IA au choix</w:t>
            </w:r>
          </w:p>
        </w:tc>
        <w:tc>
          <w:tcPr>
            <w:tcW w:type="dxa" w:w="5953"/>
          </w:tcPr>
          <w:p>
            <w:r>
              <w:rPr>
                <w:sz w:val="19"/>
              </w:rPr>
              <w:t>6 — et 100 % fonctionnel sans aucun</w:t>
            </w:r>
          </w:p>
        </w:tc>
      </w:tr>
      <w:tr>
        <w:tc>
          <w:tcPr>
            <w:tcW w:type="dxa" w:w="3685"/>
          </w:tcPr>
          <w:p>
            <w:r>
              <w:rPr>
                <w:b/>
                <w:sz w:val="19"/>
              </w:rPr>
              <w:t>Abonnement, compte, cloud obligatoire</w:t>
            </w:r>
          </w:p>
        </w:tc>
        <w:tc>
          <w:tcPr>
            <w:tcW w:type="dxa" w:w="5953"/>
          </w:tcPr>
          <w:p>
            <w:r>
              <w:rPr>
                <w:sz w:val="19"/>
              </w:rPr>
              <w:t>0</w:t>
            </w:r>
          </w:p>
        </w:tc>
      </w:tr>
      <w:tr>
        <w:tc>
          <w:tcPr>
            <w:tcW w:type="dxa" w:w="3685"/>
          </w:tcPr>
          <w:p>
            <w:r>
              <w:rPr>
                <w:b/>
                <w:sz w:val="19"/>
              </w:rPr>
              <w:t>Tests automatiques validant chaque version</w:t>
            </w:r>
          </w:p>
        </w:tc>
        <w:tc>
          <w:tcPr>
            <w:tcW w:type="dxa" w:w="5953"/>
          </w:tcPr>
          <w:p>
            <w:r>
              <w:rPr>
                <w:sz w:val="19"/>
              </w:rPr>
              <w:t>470</w:t>
            </w:r>
          </w:p>
        </w:tc>
      </w:tr>
    </w:tbl>
    <w:p>
      <w:pPr>
        <w:spacing w:before="200" w:after="120"/>
      </w:pPr>
      <w:r>
        <w:rPr>
          <w:b/>
          <w:color w:val="CC4026"/>
          <w:sz w:val="30"/>
        </w:rPr>
        <w:t>L'essayer prend deux minutes</w:t>
      </w:r>
    </w:p>
    <w:p>
      <w:pPr>
        <w:spacing w:after="80"/>
      </w:pPr>
      <w:r>
        <w:rPr>
          <w:b w:val="0"/>
          <w:i w:val="0"/>
          <w:sz w:val="21"/>
        </w:rPr>
        <w:t xml:space="preserve">Un seul fichier </w:t>
      </w:r>
      <w:r>
        <w:rPr>
          <w:b/>
          <w:i w:val="0"/>
          <w:sz w:val="21"/>
        </w:rPr>
        <w:t>LogXAI.exe</w:t>
      </w:r>
      <w:r>
        <w:rPr>
          <w:b w:val="0"/>
          <w:i w:val="0"/>
          <w:sz w:val="21"/>
        </w:rPr>
        <w:t xml:space="preserve"> : double-cliquez, votre navigateur s'ouvre, vous êtes dans le logiciel. Pas de Python, pas d'installation, pas de compte. Vos données vivent dans votre profil Windows — l'application ne touche à rien d'autre.</w:t>
      </w:r>
    </w:p>
    <w:p>
      <w:pPr>
        <w:spacing w:after="200"/>
      </w:pPr>
      <w:r>
        <w:rPr>
          <w:b w:val="0"/>
          <w:i/>
          <w:color w:val="4A5170"/>
          <w:sz w:val="21"/>
        </w:rPr>
        <w:t>Windows 10/11 · macOS possible · Autres postes via navigateur (toutes plateformes)</w:t>
      </w:r>
    </w:p>
    <w:p>
      <w:pPr>
        <w:spacing w:after="80"/>
      </w:pPr>
      <w:r>
        <w:rPr>
          <w:b/>
          <w:i w:val="0"/>
          <w:sz w:val="21"/>
        </w:rPr>
        <w:t>LogX AI</w:t>
      </w:r>
      <w:r>
        <w:rPr>
          <w:b w:val="0"/>
          <w:i w:val="0"/>
          <w:sz w:val="21"/>
        </w:rPr>
        <w:t xml:space="preserve"> est développé par </w:t>
      </w:r>
      <w:r>
        <w:rPr>
          <w:b/>
          <w:i w:val="0"/>
          <w:sz w:val="21"/>
        </w:rPr>
        <w:t>F4GLD</w:t>
      </w:r>
      <w:r>
        <w:rPr>
          <w:b w:val="0"/>
          <w:i w:val="0"/>
          <w:sz w:val="21"/>
        </w:rPr>
        <w:t xml:space="preserve"> avec l'assistance de l'IA, pour la communauté radioamateur. Vos retours font le logiciel : chaque idée, chaque bug signalé compte.</w:t>
      </w:r>
    </w:p>
    <w:p>
      <w:pPr>
        <w:spacing w:before="40" w:after="0"/>
      </w:pPr>
      <w:r>
        <w:rPr>
          <w:b/>
          <w:color w:val="CC4026"/>
          <w:sz w:val="28"/>
        </w:rPr>
        <w:t>73 !</w:t>
      </w:r>
    </w:p>
    <w:sectPr w:rsidR="00FC693F" w:rsidRPr="0006063C" w:rsidSect="00034616">
      <w:pgSz w:w="12240" w:h="15840"/>
      <w:pgMar w:top="907" w:right="1134"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0122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